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4738e86277d741eeb627d1655d2e9450"/>
        <w:lock w:val="sdtLocked"/>
        <w:richText/>
      </w:sdtPr>
      <w:sdtContent>
        <w:p w14:paraId="7D2CBA99" w14:textId="77777777">
          <w:pPr>
            <w:tabs>
              <w:tab w:val="center" w:pos="4513"/>
              <w:tab w:val="right" w:pos="9026"/>
            </w:tabs>
          </w:pPr>
        </w:p>
        <w:p w14:paraId="37FF67E2" w14:textId="77777777">
          <w:pPr>
            <w:tabs>
              <w:tab w:val="center" w:pos="4513"/>
              <w:tab w:val="right" w:pos="9026"/>
            </w:tabs>
            <w:ind w:left="1247" w:firstLine="3793"/>
            <w:jc w:val="center"/>
            <w:rPr>
              <w:b/>
              <w:bCs/>
            </w:rPr>
          </w:pPr>
          <w:r>
            <w:rPr>
              <w:b/>
              <w:bCs/>
              <w:lang w:val="en-US"/>
            </w:rPr>
            <mc:AlternateContent>
              <mc:Choice Requires="wps">
                <w:drawing>
                  <wp:anchor distT="0" distB="0" distL="114300" distR="114300" simplePos="0" relativeHeight="251659264" behindDoc="0" locked="0" layoutInCell="0" allowOverlap="1" wp14:anchorId="49005392" wp14:editId="2C92D1D8">
                    <wp:simplePos x="0" y="0"/>
                    <wp:positionH relativeFrom="page">
                      <wp:posOffset>0</wp:posOffset>
                    </wp:positionH>
                    <wp:positionV relativeFrom="page">
                      <wp:posOffset>190500</wp:posOffset>
                    </wp:positionV>
                    <wp:extent cx="7560310" cy="266700"/>
                    <wp:effectExtent l="0" t="0" r="0" b="0"/>
                    <wp:wrapNone/>
                    <wp:docPr id="2" name="MSIPCMf86649718e59c0f46021281a" descr="{&quot;HashCode&quot;:-703152319,&quot;Height&quot;:841.0,&quot;Width&quot;:595.0,&quot;Placement&quot;:&quot;Header&quot;,&quot;Index&quot;:&quot;FirstPage&quot;,&quot;Section&quot;:1,&quot;Top&quot;:0.0,&quot;Left&quot;:0.0}"/>
                    <wp:cNvGraphicFramePr/>
                    <a:graphic xmlns:a="http://schemas.openxmlformats.org/drawingml/2006/main">
                      <a:graphicData uri="http://schemas.microsoft.com/office/word/2010/wordprocessingShape">
                        <wps:wsp>
                          <wps:cNvSpPr txBox="1"/>
                          <wps:spPr>
                            <a:xfrm>
                              <a:off x="0" y="0"/>
                              <a:ext cx="7560310" cy="266700"/>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7DF2752A" w14:textId="77777777">
                                <w:pPr>
                                  <w:jc w:val="right"/>
                                  <w:rPr>
                                    <w:rFonts w:ascii="Calibri" w:hAnsi="Calibri" w:cs="Calibri"/>
                                    <w:color w:val="000000"/>
                                    <w:sz w:val="20"/>
                                  </w:rPr>
                                </w:pPr>
                              </w:p>
                            </w:txbxContent>
                          </wps:txbx>
                          <wps:bodyPr rot="0" spcFirstLastPara="0" vertOverflow="overflow" horzOverflow="overflow" vert="horz" wrap="square" lIns="91440" tIns="0" rIns="254000" bIns="0" numCol="1" spcCol="0" rtlCol="0"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MSIPCMf86649718e59c0f46021281a" o:spid="_x0000_s1026" type="#_x0000_t202" alt="{&quot;HashCode&quot;:-703152319,&quot;Height&quot;:841.0,&quot;Width&quot;:595.0,&quot;Placement&quot;:&quot;Header&quot;,&quot;Index&quot;:&quot;FirstPage&quot;,&quot;Section&quot;:1,&quot;Top&quot;:0.0,&quot;Left&quot;:0.0}" style="position:absolute;left:0;text-align:left;margin-left:0;margin-top:15pt;width:595.3pt;height:21pt;z-index:251659264;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z9IEnGwMAADkGAAAOAAAAZHJzL2Uyb0RvYy54bWysVEtv2zAMvg/YfxB02GmpH3WcOKtTpCmy FUjbAOnQsyLLsTFbciUlcVf0v4+S5fSxHYZhF4kiKYr8+Iln521doT2TqhQ8xcGJjxHjVGQl36b4 +91iMMZIacIzUgnOUvzIFD6ffvxwdmgmLBSFqDImEQThanJoUlxo3Uw8T9GC1USdiIZxMOZC1kTD UW69TJIDRK8rL/T92DsImTVSUKYUaC87I57a+HnOqL7Nc8U0qlIMuWm7SrtuzOpNz8hkK0lTlNSl Qf4hi5qUHB49hrokmqCdLH8LVZdUCiVyfUJF7Yk8LymzNUA1gf+umnVBGmZrAXBUc4RJ/b+w9Ga/ kqjMUhxixEkNLbpeX63m1/k4jqNkFIzZMKF+HsV+GITjgGCUMUUBwadPDzuhv3wjqpiLjHWnyWDk nwbD8DRIPjs7K7eFdtZxBAxxhvsy04XTD5PhUb+qCGU14/2dPgwBonSyC3DFM9a6AN22KKXSK7J1 yTi/NZAA2Ok8A6e9E43T+MenlyzvXwXlsyHHoVETwGjdAEq6vRAtkLzXK1Canre5rM0O3URgB5o9 HqnFWo0oKEfDGIABEwVbGMcj33LPe7ndQO5fmaiREVIsIWvLKLJfKg2ZgGvvYh7jYlFWlaVvxdEh xfHp0LcXjha4UXHjC0lADCd1tHxKgjDyL8JksIjHo0G0iIaDZOSPB36QXCSxHyXR5eLZxAuiSVFm GePLkrP+iwTR31HQfdaO3PaTvElViarMTB0mN1PdvJJoT+CvboAFPwzQUMQrL+9tOtYM1fW7rdIz Pet6YyTdblrXyI3IHqGPUgC+0ArVUMuYJTGskfDvQQmzTN/CklcCQBVOwqgQ8uef9MYfsAArRgeY IylWDzsiGUbVFYePmgRRBGG1PYAgrRAOIx8YgDa9mu/quYC6A5uWFY2zrnoxl6K+h1k3M8+BiXAK j6ZY9+JcwwkMMCspm82sDDOmIXrJ1w01oXuU79p7IhtHNA343Yh+1JDJO751vuYmF7OdFnlpyWiQ 7eAE7M0B5pPtgpulZgC+Pluvl4k//QUAAP//AwBQSwMEFAAGAAgAAAAhADekejrcAAAABwEAAA8A AABkcnMvZG93bnJldi54bWxMj0FPg0AQhe8m/ofNmHizu0VTLWVoWhNuJoaq6XWBEYjsLGEXCv/e 7UlPk5f38t43yX42nZhocK1lhPVKgSAubdVyjfD5kT28gHBec6U7y4SwkIN9enuT6LiyF85pOvla hBJ2sUZovO9jKV3ZkNFuZXvi4H3bwWgf5FDLatCXUG46GSm1kUa3HBYa3dNrQ+XPaTQI49PhWCw2 mt7ej+evfM54ybMz4v3dfNiB8DT7vzBc8QM6pIGpsCNXTnQI4RGP8KjCvbrrrdqAKBCeIwUyTeR/ /vQXAAD//wMAUEsBAi0AFAAGAAgAAAAhALaDOJL+AAAA4QEAABMAAAAAAAAAAAAAAAAAAAAAAFtD b250ZW50X1R5cGVzXS54bWxQSwECLQAUAAYACAAAACEAOP0h/9YAAACUAQAACwAAAAAAAAAAAAAA AAAvAQAAX3JlbHMvLnJlbHNQSwECLQAUAAYACAAAACEAc/SBJxsDAAA5BgAADgAAAAAAAAAAAAAA AAAuAgAAZHJzL2Uyb0RvYy54bWxQSwECLQAUAAYACAAAACEAN6R6OtwAAAAHAQAADwAAAAAAAAAA AAAAAAB1BQAAZHJzL2Rvd25yZXYueG1sUEsFBgAAAAAEAAQA8wAAAH4GAAAAAA== " o:allowincell="f" filled="f" stroked="f" strokeweight=".5pt">
                    <v:textbox inset=",0,20pt,0">
                      <w:txbxContent>
                        <w:p w14:paraId="7DF2752A" w14:textId="77777777">
                          <w:pPr>
                            <w:jc w:val="right"/>
                            <w:rPr>
                              <w:rFonts w:ascii="Calibri" w:hAnsi="Calibri" w:eastAsia="Times New Roman" w:cs="Calibri"/>
                              <w:color w:val="000000"/>
                              <w:sz w:val="20"/>
                            </w:rPr>
                          </w:pPr>
                        </w:p>
                      </w:txbxContent>
                    </v:textbox>
                    <w10:wrap anchorx="page" anchory="page"/>
                  </v:shape>
                </w:pict>
              </mc:Fallback>
            </mc:AlternateContent>
          </w:r>
          <w:r>
            <w:rPr>
              <w:b/>
              <w:bCs/>
            </w:rPr>
            <w:t xml:space="preserve">      </w:t>
            <w:tab/>
            <w:t xml:space="preserve"> Projektas</w:t>
          </w:r>
        </w:p>
        <w:p w14:paraId="5C411CF2" w14:textId="77777777">
          <w:pPr>
            <w:tabs>
              <w:tab w:val="center" w:pos="4513"/>
              <w:tab w:val="right" w:pos="9026"/>
            </w:tabs>
            <w:jc w:val="center"/>
            <w:rPr>
              <w:b/>
              <w:bCs/>
            </w:rPr>
          </w:pPr>
          <w:r>
            <w:rPr>
              <w:b/>
              <w:bCs/>
            </w:rPr>
            <w:tab/>
            <w:tab/>
          </w:r>
        </w:p>
        <w:p w14:paraId="1A23B052" w14:textId="77777777">
          <w:pPr>
            <w:jc w:val="center"/>
            <w:rPr>
              <w:b/>
              <w:caps/>
            </w:rPr>
          </w:pPr>
          <w:r>
            <w:rPr>
              <w:b/>
              <w:caps/>
            </w:rPr>
            <w:t>LIETUVOS RESPUBLIKOS ENERGETIKOS MINISTRAS</w:t>
          </w:r>
        </w:p>
        <w:p w14:paraId="662FF32F" w14:textId="77777777">
          <w:pPr>
            <w:ind w:firstLine="851"/>
            <w:jc w:val="center"/>
            <w:rPr>
              <w:b/>
              <w:caps/>
            </w:rPr>
          </w:pPr>
        </w:p>
        <w:p w14:paraId="58913128" w14:textId="77777777">
          <w:pPr>
            <w:jc w:val="center"/>
            <w:rPr>
              <w:b/>
              <w:caps/>
            </w:rPr>
          </w:pPr>
          <w:r>
            <w:rPr>
              <w:b/>
              <w:caps/>
            </w:rPr>
            <w:t>įsakymas</w:t>
          </w:r>
        </w:p>
        <w:p w14:paraId="5517B8A0" w14:textId="77777777">
          <w:pPr>
            <w:ind w:firstLine="131"/>
            <w:jc w:val="center"/>
            <w:rPr>
              <w:b/>
              <w:caps/>
            </w:rPr>
          </w:pPr>
          <w:r>
            <w:rPr>
              <w:b/>
              <w:caps/>
            </w:rPr>
            <w:t>DĖL lietuvos respublikos energetikos ministro 2012 m. GRUODŽIO 11 d. įsakymo nr. 1-261 „</w:t>
          </w:r>
          <w:r>
            <w:rPr>
              <w:b/>
              <w:bCs/>
              <w:caps/>
              <w:color w:val="000000"/>
            </w:rPr>
            <w:t xml:space="preserve">DĖL NAUJŲ perdavimo ar skirstymo sistemų nedujofikuotoje teritorijoje įrengimo, NAUJŲ VARTOTOJŲ </w:t>
          </w:r>
          <w:r>
            <w:rPr>
              <w:b/>
              <w:bCs/>
              <w:caps/>
            </w:rPr>
            <w:t>GAMTINIŲ DUJŲ SISTEMŲ PRIJUNGIMO PRIE PERDAVIMO AR SKIRSTYMO SISTEMŲ IR vartotojų gamtinių dujų sistemų įrengimo tvarkos aprašo PATVIRTINIMO</w:t>
          </w:r>
          <w:r>
            <w:rPr>
              <w:b/>
              <w:caps/>
            </w:rPr>
            <w:t>“ pakeitimo</w:t>
          </w:r>
        </w:p>
        <w:p w14:paraId="0A12BDF3" w14:textId="77777777">
          <w:pPr>
            <w:ind w:firstLine="851"/>
            <w:jc w:val="center"/>
            <w:rPr>
              <w:b/>
              <w:caps/>
            </w:rPr>
          </w:pPr>
        </w:p>
        <w:p w14:paraId="0C0DD55E" w14:textId="4B9F2C03">
          <w:pPr>
            <w:jc w:val="center"/>
          </w:pPr>
          <w:r>
            <w:t xml:space="preserve">2020 m. </w:t>
            <w:tab/>
            <w:tab/>
            <w:t>Nr.</w:t>
          </w:r>
        </w:p>
        <w:p w14:paraId="0703C018" w14:textId="485111A6">
          <w:pPr>
            <w:jc w:val="center"/>
          </w:pPr>
          <w:r>
            <w:t>Vilnius</w:t>
          </w:r>
        </w:p>
        <w:p w14:paraId="35ECFCE9" w14:textId="77777777">
          <w:pPr>
            <w:ind w:firstLine="851"/>
            <w:jc w:val="both"/>
          </w:pPr>
        </w:p>
        <w:sdt>
          <w:sdtPr>
            <w:alias w:val="1 p."/>
            <w:tag w:val="part_2051b405465c4d23a4ab7efc48a6e1c9"/>
            <w:lock w:val="sdtLocked"/>
            <w:richText/>
          </w:sdtPr>
          <w:sdtContent>
            <w:p w14:paraId="5FAF4637" w14:textId="2C77E4F5">
              <w:pPr>
                <w:widowControl w:val="0"/>
                <w:tabs>
                  <w:tab w:val="left" w:pos="993"/>
                </w:tabs>
                <w:ind w:firstLine="851"/>
                <w:jc w:val="both"/>
              </w:pPr>
              <w:sdt>
                <w:sdtPr>
                  <w:alias w:val="Numeris"/>
                  <w:tag w:val="nr_2051b405465c4d23a4ab7efc48a6e1c9"/>
                  <w:lock w:val="sdtLocked"/>
                  <w:richText/>
                </w:sdtPr>
                <w:sdtContent>
                  <w:r>
                    <w:t>1</w:t>
                  </w:r>
                </w:sdtContent>
              </w:sdt>
              <w:r>
                <w:t>. P a k e i č i u Naujų perdavimo ar skirstymo sistemų nedujofikuotoje teritorijoje įrengimo, naujų vartotojų gamtinių dujų sistemų prijungimo prie perdavimo ar skirstymo sistemų ir vartotojų gamtinių dujų sistemų įrengimo tvarkos aprašą, patvirtintą Lietuvos Respublikos energetikos ministro 2012 m. gruodžio 11 d. įsakymu Nr. 1-261 „Dėl Naujų perdavimo ar skirstymo sistemų nedujofikuotoje teritorijoje įrengimo, naujų vartotojų gamtinių dujų sistemų prijungimo prie perdavimo ar skirstymo sistemų ir vartotojų gamtinių dujų sistemų įrengimo tvarkos aprašo patvirtinimo“:</w:t>
              </w:r>
            </w:p>
            <w:sdt>
              <w:sdtPr>
                <w:alias w:val="1.1 pp."/>
                <w:tag w:val="part_fe664dda79d3437fb625109b233abfc5"/>
                <w:lock w:val="sdtLocked"/>
                <w:richText/>
              </w:sdtPr>
              <w:sdtContent>
                <w:p w14:paraId="6225A86F" w14:textId="5F9C263A">
                  <w:pPr>
                    <w:widowControl w:val="0"/>
                    <w:tabs>
                      <w:tab w:val="left" w:pos="993"/>
                    </w:tabs>
                    <w:ind w:firstLine="851"/>
                    <w:jc w:val="both"/>
                  </w:pPr>
                  <w:sdt>
                    <w:sdtPr>
                      <w:alias w:val="Numeris"/>
                      <w:tag w:val="nr_fe664dda79d3437fb625109b233abfc5"/>
                      <w:lock w:val="sdtLocked"/>
                      <w:richText/>
                    </w:sdtPr>
                    <w:sdtContent>
                      <w:r>
                        <w:t>1.1</w:t>
                      </w:r>
                    </w:sdtContent>
                  </w:sdt>
                  <w:r>
                    <w:t>. Pakeičiu 33 punktą ir jį išdėstau taip:</w:t>
                  </w:r>
                </w:p>
                <w:sdt>
                  <w:sdtPr>
                    <w:alias w:val="citata"/>
                    <w:tag w:val="part_b2245fa103804199aac247c4e19b4fce"/>
                    <w:lock w:val="sdtLocked"/>
                    <w:richText/>
                  </w:sdtPr>
                  <w:sdtContent>
                    <w:sdt>
                      <w:sdtPr>
                        <w:alias w:val="33 p."/>
                        <w:tag w:val="part_449041f84e8a48e88300839b105cb4b5"/>
                        <w:lock w:val="sdtLocked"/>
                        <w:richText/>
                      </w:sdtPr>
                      <w:sdtContent>
                        <w:p w14:paraId="71961E2D" w14:textId="5BB196BF">
                          <w:pPr>
                            <w:widowControl w:val="0"/>
                            <w:tabs>
                              <w:tab w:val="left" w:pos="993"/>
                            </w:tabs>
                            <w:ind w:firstLine="851"/>
                            <w:jc w:val="both"/>
                            <w:rPr>
                              <w:lang w:val="en-US"/>
                            </w:rPr>
                          </w:pPr>
                          <w:r>
                            <w:t>„</w:t>
                          </w:r>
                          <w:sdt>
                            <w:sdtPr>
                              <w:alias w:val="Numeris"/>
                              <w:tag w:val="nr_449041f84e8a48e88300839b105cb4b5"/>
                              <w:lock w:val="sdtLocked"/>
                              <w:richText/>
                            </w:sdtPr>
                            <w:sdtContent>
                              <w:r>
                                <w:t>33</w:t>
                              </w:r>
                            </w:sdtContent>
                          </w:sdt>
                          <w:r>
                            <w:t>. Bendra vartotojų grupe laikoma buitinių vartotojų grupė, susidedanti iš dviejų ir daugiau buitinių vartotojų, pateikusių prašymą prijungti vartotojo dujų sistemą prie skirstymo sistemos. Bendrai vartotojų grupei prijungti reikalinga skirstymo sistema įrengiama vadovaujantis šiomis sąlygomis:</w:t>
                          </w:r>
                        </w:p>
                        <w:sdt>
                          <w:sdtPr>
                            <w:alias w:val="33.1 pp."/>
                            <w:tag w:val="part_a7156cc227d94022a21d3cde6429c5b8"/>
                            <w:lock w:val="sdtLocked"/>
                            <w:richText/>
                          </w:sdtPr>
                          <w:sdtContent>
                            <w:p w14:paraId="09277076" w14:textId="1C018E51">
                              <w:pPr>
                                <w:widowControl w:val="0"/>
                                <w:tabs>
                                  <w:tab w:val="left" w:pos="1276"/>
                                </w:tabs>
                                <w:ind w:firstLine="851"/>
                                <w:jc w:val="both"/>
                                <w:textAlignment w:val="center"/>
                                <w:rPr>
                                  <w:rFonts w:eastAsia="Calibri"/>
                                  <w:szCs w:val="24"/>
                                </w:rPr>
                              </w:pPr>
                              <w:sdt>
                                <w:sdtPr>
                                  <w:alias w:val="Numeris"/>
                                  <w:tag w:val="nr_a7156cc227d94022a21d3cde6429c5b8"/>
                                  <w:lock w:val="sdtLocked"/>
                                  <w:richText/>
                                </w:sdtPr>
                                <w:sdtContent>
                                  <w:r>
                                    <w:rPr>
                                      <w:rFonts w:eastAsia="Calibri"/>
                                      <w:szCs w:val="24"/>
                                    </w:rPr>
                                    <w:t>33</w:t>
                                  </w:r>
                                  <w:r>
                                    <w:t>.</w:t>
                                  </w:r>
                                  <w:r>
                                    <w:rPr>
                                      <w:rFonts w:eastAsia="Calibri"/>
                                      <w:szCs w:val="24"/>
                                    </w:rPr>
                                    <w:t>1</w:t>
                                  </w:r>
                                </w:sdtContent>
                              </w:sdt>
                              <w:r>
                                <w:rPr>
                                  <w:rFonts w:eastAsia="Calibri"/>
                                  <w:szCs w:val="24"/>
                                </w:rPr>
                                <w:t xml:space="preserve">. </w:t>
                              </w:r>
                              <w:r>
                                <w:rPr>
                                  <w:szCs w:val="24"/>
                                </w:rPr>
                                <w:t>skirstomasis dujotiekis įrengiamas iki visų bendrai vartotojų grupei priskiriamų vartotojų; </w:t>
                              </w:r>
                            </w:p>
                          </w:sdtContent>
                        </w:sdt>
                        <w:sdt>
                          <w:sdtPr>
                            <w:alias w:val="33.2 pp."/>
                            <w:tag w:val="part_075add51f0454397bce4206f9c00e96e"/>
                            <w:lock w:val="sdtLocked"/>
                            <w:richText/>
                          </w:sdtPr>
                          <w:sdtContent>
                            <w:p w14:paraId="272072EA" w14:textId="74556939">
                              <w:pPr>
                                <w:widowControl w:val="0"/>
                                <w:tabs>
                                  <w:tab w:val="left" w:pos="1276"/>
                                </w:tabs>
                                <w:ind w:firstLine="851"/>
                                <w:jc w:val="both"/>
                                <w:textAlignment w:val="center"/>
                                <w:rPr>
                                  <w:rFonts w:eastAsia="Calibri"/>
                                  <w:szCs w:val="24"/>
                                </w:rPr>
                              </w:pPr>
                              <w:sdt>
                                <w:sdtPr>
                                  <w:alias w:val="Numeris"/>
                                  <w:tag w:val="nr_075add51f0454397bce4206f9c00e96e"/>
                                  <w:lock w:val="sdtLocked"/>
                                  <w:richText/>
                                </w:sdtPr>
                                <w:sdtContent>
                                  <w:r>
                                    <w:rPr>
                                      <w:rFonts w:eastAsia="Calibri"/>
                                      <w:szCs w:val="24"/>
                                    </w:rPr>
                                    <w:t>33.2</w:t>
                                  </w:r>
                                </w:sdtContent>
                              </w:sdt>
                              <w:r>
                                <w:rPr>
                                  <w:rFonts w:eastAsia="Calibri"/>
                                  <w:szCs w:val="24"/>
                                </w:rPr>
                                <w:t xml:space="preserve">. visas įrengiamos skirstymo sistemos ilgis (metrais), </w:t>
                              </w:r>
                              <w:r>
                                <w:rPr>
                                  <w:rFonts w:eastAsia="Calibri"/>
                                </w:rPr>
                                <w:t>įtraukiant skirstomojo dujotiekio vartotojo atšakas,</w:t>
                              </w:r>
                              <w:r>
                                <w:rPr>
                                  <w:rFonts w:eastAsia="Calibri"/>
                                  <w:szCs w:val="24"/>
                                </w:rPr>
                                <w:t xml:space="preserve"> dalinamas iš prašymus prijungti vartotojo dujų sistemą prie skirstymo sistemos pateikusių vartotojų skaičiaus (įrengiamos skirstymo sistemos ilgis (metrais) lygiomis dalimis padalinamas kiekvienam bendros vartotojų grupės vartotojui);</w:t>
                              </w:r>
                            </w:p>
                          </w:sdtContent>
                        </w:sdt>
                        <w:sdt>
                          <w:sdtPr>
                            <w:alias w:val="33.3 pp."/>
                            <w:tag w:val="part_49e38fb12bee43268240bb533a8d2c53"/>
                            <w:lock w:val="sdtLocked"/>
                            <w:richText/>
                          </w:sdtPr>
                          <w:sdtContent>
                            <w:p w14:paraId="74073DEC" w14:textId="6C9A57C0">
                              <w:pPr>
                                <w:widowControl w:val="0"/>
                                <w:tabs>
                                  <w:tab w:val="left" w:pos="1276"/>
                                </w:tabs>
                                <w:ind w:firstLine="851"/>
                                <w:jc w:val="both"/>
                                <w:textAlignment w:val="center"/>
                                <w:rPr>
                                  <w:rFonts w:eastAsia="Calibri"/>
                                  <w:szCs w:val="24"/>
                                </w:rPr>
                              </w:pPr>
                              <w:sdt>
                                <w:sdtPr>
                                  <w:alias w:val="Numeris"/>
                                  <w:tag w:val="nr_49e38fb12bee43268240bb533a8d2c53"/>
                                  <w:lock w:val="sdtLocked"/>
                                  <w:richText/>
                                </w:sdtPr>
                                <w:sdtContent>
                                  <w:r>
                                    <w:rPr>
                                      <w:rFonts w:eastAsia="Calibri"/>
                                      <w:szCs w:val="24"/>
                                    </w:rPr>
                                    <w:t>33.3</w:t>
                                  </w:r>
                                </w:sdtContent>
                              </w:sdt>
                              <w:r>
                                <w:rPr>
                                  <w:rFonts w:eastAsia="Calibri"/>
                                  <w:szCs w:val="24"/>
                                </w:rPr>
                                <w:t>. bendrai vartotojų grupei formuoti prašymai renkami ne ilgiau kaip 30 kalendorinių dienų nuo pirmojo prašymo suteikti naujo vartotojo dujų sistemos prijungimo paslaugą bei kitų operatoriaus nustatytų dokumentų bei informacijos pateikimo operatoriui;</w:t>
                              </w:r>
                            </w:p>
                          </w:sdtContent>
                        </w:sdt>
                        <w:sdt>
                          <w:sdtPr>
                            <w:alias w:val="33.4 pp."/>
                            <w:tag w:val="part_95717c88fb274778abd980e552bab78f"/>
                            <w:lock w:val="sdtLocked"/>
                            <w:richText/>
                          </w:sdtPr>
                          <w:sdtContent>
                            <w:p w14:paraId="219AC61D" w14:textId="4A2B233C">
                              <w:pPr>
                                <w:widowControl w:val="0"/>
                                <w:tabs>
                                  <w:tab w:val="left" w:pos="1276"/>
                                </w:tabs>
                                <w:ind w:firstLine="851"/>
                                <w:jc w:val="both"/>
                                <w:textAlignment w:val="center"/>
                                <w:rPr>
                                  <w:rFonts w:eastAsia="Calibri"/>
                                  <w:szCs w:val="24"/>
                                </w:rPr>
                              </w:pPr>
                              <w:sdt>
                                <w:sdtPr>
                                  <w:alias w:val="Numeris"/>
                                  <w:tag w:val="nr_95717c88fb274778abd980e552bab78f"/>
                                  <w:lock w:val="sdtLocked"/>
                                  <w:richText/>
                                </w:sdtPr>
                                <w:sdtContent>
                                  <w:r>
                                    <w:rPr>
                                      <w:rFonts w:eastAsia="Calibri"/>
                                      <w:szCs w:val="24"/>
                                    </w:rPr>
                                    <w:t>33.4</w:t>
                                  </w:r>
                                </w:sdtContent>
                              </w:sdt>
                              <w:r>
                                <w:rPr>
                                  <w:rFonts w:eastAsia="Calibri"/>
                                  <w:szCs w:val="24"/>
                                </w:rPr>
                                <w:t xml:space="preserve">. jeigu per </w:t>
                              </w:r>
                              <w:r>
                                <w:rPr>
                                  <w:rFonts w:eastAsia="Calibri"/>
                                  <w:szCs w:val="24"/>
                                  <w:lang w:val="en-US"/>
                                </w:rPr>
                                <w:t>20</w:t>
                              </w:r>
                              <w:r>
                                <w:rPr>
                                  <w:rFonts w:eastAsia="Calibri"/>
                                  <w:szCs w:val="24"/>
                                </w:rPr>
                                <w:t xml:space="preserve"> kalendorinių dienų nuo Aprašo 33.3 papunktyje nurodyto termino pabaigos bendros vartotojų grupės vartotojas nesudaro prijungimo paslaugos sutarties arba sudaro prijungimo paslaugos sutartį, bet per nustatytą 10 kalendorinių dienų terminą nesumoka prijungimo įmokos, toks vartotojas pašalinamas iš bendros vartotojų grupės operatoriui apie tai raštu pranešus pašalintam vartotojui. Pašalinus vartotoją iš bendros vartotojų grupės operatorius perskaičiuoja prijungimo įmokas likusiems bendros vartotojų grupės vartotojams, atsižvelgdamas į Aprašo 33.1 ir 33.2 papunkčiuose nurodytas sąlygas, ir nustato 10 kalendorinių dienų terminą perskaičiuotai prijungimo įmokai sumokėti;</w:t>
                              </w:r>
                            </w:p>
                          </w:sdtContent>
                        </w:sdt>
                        <w:sdt>
                          <w:sdtPr>
                            <w:alias w:val="33.5 pp."/>
                            <w:tag w:val="part_529923c5a86b46a1a2eeb18906b75b35"/>
                            <w:lock w:val="sdtLocked"/>
                            <w:richText/>
                          </w:sdtPr>
                          <w:sdtContent>
                            <w:p w14:paraId="186171E4" w14:textId="489D8FD0">
                              <w:pPr>
                                <w:widowControl w:val="0"/>
                                <w:tabs>
                                  <w:tab w:val="left" w:pos="1418"/>
                                  <w:tab w:val="left" w:pos="2410"/>
                                  <w:tab w:val="left" w:pos="2977"/>
                                </w:tabs>
                                <w:ind w:firstLine="851"/>
                                <w:jc w:val="both"/>
                                <w:textAlignment w:val="center"/>
                                <w:rPr>
                                  <w:rFonts w:eastAsia="Calibri"/>
                                  <w:szCs w:val="24"/>
                                </w:rPr>
                              </w:pPr>
                              <w:sdt>
                                <w:sdtPr>
                                  <w:alias w:val="Numeris"/>
                                  <w:tag w:val="nr_529923c5a86b46a1a2eeb18906b75b35"/>
                                  <w:lock w:val="sdtLocked"/>
                                  <w:richText/>
                                </w:sdtPr>
                                <w:sdtContent>
                                  <w:r>
                                    <w:rPr>
                                      <w:rFonts w:eastAsia="Calibri"/>
                                      <w:szCs w:val="24"/>
                                    </w:rPr>
                                    <w:t>33.5</w:t>
                                  </w:r>
                                </w:sdtContent>
                              </w:sdt>
                              <w:r>
                                <w:rPr>
                                  <w:rFonts w:eastAsia="Calibri"/>
                                  <w:szCs w:val="24"/>
                                </w:rPr>
                                <w:t>. bendros vartotojų grupės dujofikavimas pradedamas įgyvendinti, kai prijungimo paslaugos sutartis sudaro ir prijungimo įmokas sumoka visi prašymus prijungti vartotojo dujų sistemą prie skirstymo sistemos pateikę vartotojai arba visi vartotojai, kuriems buvo perskaičiuotos prijungimo įmokos pagal Aprašo 33.4 papunktį.“</w:t>
                              </w:r>
                            </w:p>
                          </w:sdtContent>
                        </w:sdt>
                      </w:sdtContent>
                    </w:sdt>
                  </w:sdtContent>
                </w:sdt>
              </w:sdtContent>
            </w:sdt>
            <w:sdt>
              <w:sdtPr>
                <w:alias w:val="1.2 pp."/>
                <w:tag w:val="part_bc7e5189ceb24bf291b5e862217da78a"/>
                <w:lock w:val="sdtLocked"/>
                <w:richText/>
              </w:sdtPr>
              <w:sdtContent>
                <w:p w14:paraId="2ADEB4F0" w14:textId="580155FF">
                  <w:pPr>
                    <w:widowControl w:val="0"/>
                    <w:tabs>
                      <w:tab w:val="left" w:pos="1418"/>
                      <w:tab w:val="left" w:pos="2410"/>
                      <w:tab w:val="left" w:pos="2977"/>
                    </w:tabs>
                    <w:ind w:firstLine="851"/>
                    <w:jc w:val="both"/>
                    <w:textAlignment w:val="center"/>
                  </w:pPr>
                  <w:sdt>
                    <w:sdtPr>
                      <w:alias w:val="Numeris"/>
                      <w:tag w:val="nr_bc7e5189ceb24bf291b5e862217da78a"/>
                      <w:lock w:val="sdtLocked"/>
                      <w:richText/>
                    </w:sdtPr>
                    <w:sdtContent>
                      <w:r>
                        <w:t>1.2</w:t>
                      </w:r>
                    </w:sdtContent>
                  </w:sdt>
                  <w:r>
                    <w:t>. Pakeičiu 34 punktą ir jį išdėstau taip:</w:t>
                  </w:r>
                </w:p>
                <w:sdt>
                  <w:sdtPr>
                    <w:alias w:val="citata"/>
                    <w:tag w:val="part_9c3b9569d1434c81b526da755d9d68d7"/>
                    <w:lock w:val="sdtLocked"/>
                    <w:richText/>
                  </w:sdtPr>
                  <w:sdtContent>
                    <w:sdt>
                      <w:sdtPr>
                        <w:alias w:val="34 p."/>
                        <w:tag w:val="part_86b3e227090b4bbdb4d8028748a460b5"/>
                        <w:lock w:val="sdtLocked"/>
                        <w:richText/>
                      </w:sdtPr>
                      <w:sdtContent>
                        <w:p w14:paraId="6D0D64A7" w14:textId="1E3DE981">
                          <w:pPr>
                            <w:widowControl w:val="0"/>
                            <w:tabs>
                              <w:tab w:val="left" w:pos="993"/>
                            </w:tabs>
                            <w:ind w:firstLine="851"/>
                            <w:jc w:val="both"/>
                          </w:pPr>
                          <w:r>
                            <w:t>„</w:t>
                          </w:r>
                          <w:sdt>
                            <w:sdtPr>
                              <w:alias w:val="Numeris"/>
                              <w:tag w:val="nr_86b3e227090b4bbdb4d8028748a460b5"/>
                              <w:lock w:val="sdtLocked"/>
                              <w:richText/>
                            </w:sdtPr>
                            <w:sdtContent>
                              <w:r>
                                <w:t>34</w:t>
                              </w:r>
                            </w:sdtContent>
                          </w:sdt>
                          <w:r>
                            <w:t>. Naujiems buitiniams vartotojams bendroje vartotojų grupėje, naujiems buitiniams vartotojams,</w:t>
                          </w:r>
                          <w:r>
                            <w:rPr>
                              <w:b/>
                              <w:bCs/>
                            </w:rPr>
                            <w:t xml:space="preserve"> </w:t>
                          </w:r>
                          <w:r>
                            <w:rPr>
                              <w:rFonts w:eastAsia="Calibri"/>
                            </w:rPr>
                            <w:t>naujiems nebuitiniams vartotojams</w:t>
                          </w:r>
                          <w:r>
                            <w:rPr>
                              <w:b/>
                              <w:bCs/>
                            </w:rPr>
                            <w:t xml:space="preserve"> </w:t>
                          </w:r>
                          <w:r>
                            <w:t xml:space="preserve">nustatomos jų dujų sistemų prijungimo prie skirstymo sistemos </w:t>
                          </w:r>
                          <w:r>
                            <w:rPr>
                              <w:color w:val="000000"/>
                            </w:rPr>
                            <w:t xml:space="preserve">ekonominės sąlygos pagal Prijungimo įkainių nustatymo metodikos reikalavimus. Neištirtose archeologinio ar povandeninio kultūros paveldo objektų ar vietovių teritorijose bei apsaugos zonose naujos dujų perdavimo ar skirstymo sistemos neplanuojamos ir </w:t>
                          </w:r>
                          <w:r>
                            <w:t>neįrengiamos, išskyrus paveldo pritaikymo atveju, tuomet būtinas suderinimas su Kultūros paveldo departamentu.“</w:t>
                          </w:r>
                        </w:p>
                      </w:sdtContent>
                    </w:sdt>
                  </w:sdtContent>
                </w:sdt>
              </w:sdtContent>
            </w:sdt>
            <w:sdt>
              <w:sdtPr>
                <w:alias w:val="1.3 pp."/>
                <w:tag w:val="part_d4724352449d4b8d9f921dadb6856208"/>
                <w:lock w:val="sdtLocked"/>
                <w:richText/>
              </w:sdtPr>
              <w:sdtContent>
                <w:p w14:paraId="1CA55F70" w14:textId="1A3F90E1">
                  <w:pPr>
                    <w:widowControl w:val="0"/>
                    <w:tabs>
                      <w:tab w:val="left" w:pos="993"/>
                    </w:tabs>
                    <w:ind w:firstLine="851"/>
                    <w:jc w:val="both"/>
                  </w:pPr>
                  <w:sdt>
                    <w:sdtPr>
                      <w:alias w:val="Numeris"/>
                      <w:tag w:val="nr_d4724352449d4b8d9f921dadb6856208"/>
                      <w:lock w:val="sdtLocked"/>
                      <w:richText/>
                    </w:sdtPr>
                    <w:sdtContent>
                      <w:r>
                        <w:t>1.3</w:t>
                      </w:r>
                    </w:sdtContent>
                  </w:sdt>
                  <w:r>
                    <w:t>. Pripažįstu netekusiais galios 35 ir 36 punktus.</w:t>
                  </w:r>
                </w:p>
              </w:sdtContent>
            </w:sdt>
            <w:sdt>
              <w:sdtPr>
                <w:alias w:val="1.4 pp."/>
                <w:tag w:val="part_26f614178c684d30aa9032f897fbc8ae"/>
                <w:lock w:val="sdtLocked"/>
                <w:richText/>
              </w:sdtPr>
              <w:sdtContent>
                <w:p w14:paraId="11D83DE7" w14:textId="0A78310C">
                  <w:pPr>
                    <w:widowControl w:val="0"/>
                    <w:tabs>
                      <w:tab w:val="left" w:pos="993"/>
                    </w:tabs>
                    <w:ind w:firstLine="851"/>
                    <w:jc w:val="both"/>
                  </w:pPr>
                  <w:sdt>
                    <w:sdtPr>
                      <w:alias w:val="Numeris"/>
                      <w:tag w:val="nr_26f614178c684d30aa9032f897fbc8ae"/>
                      <w:lock w:val="sdtLocked"/>
                      <w:richText/>
                    </w:sdtPr>
                    <w:sdtContent>
                      <w:r>
                        <w:t>1.4</w:t>
                      </w:r>
                    </w:sdtContent>
                  </w:sdt>
                  <w:r>
                    <w:t>. Pripažįstu netekusiu galios 3 priedą.</w:t>
                  </w:r>
                </w:p>
              </w:sdtContent>
            </w:sdt>
          </w:sdtContent>
        </w:sdt>
        <w:sdt>
          <w:sdtPr>
            <w:alias w:val="2 p."/>
            <w:tag w:val="part_b98574ea00e540d39d71d86d5adbb879"/>
            <w:lock w:val="sdtLocked"/>
            <w:richText/>
          </w:sdtPr>
          <w:sdtContent>
            <w:p w14:paraId="383CFECA" w14:textId="2DDE9BA0">
              <w:pPr>
                <w:widowControl w:val="0"/>
                <w:tabs>
                  <w:tab w:val="left" w:pos="993"/>
                </w:tabs>
                <w:ind w:firstLine="851"/>
                <w:jc w:val="both"/>
              </w:pPr>
              <w:sdt>
                <w:sdtPr>
                  <w:alias w:val="Numeris"/>
                  <w:tag w:val="nr_b98574ea00e540d39d71d86d5adbb879"/>
                  <w:lock w:val="sdtLocked"/>
                  <w:richText/>
                </w:sdtPr>
                <w:sdtContent>
                  <w:r>
                    <w:t>2</w:t>
                  </w:r>
                </w:sdtContent>
              </w:sdt>
              <w:r>
                <w:t xml:space="preserve">. N u s t a t a u, kad iki šio įsakymo įsigaliojimo pradėtos procedūros dėl vartotojų prijungimo prie skirstymo sistemos (pateiktas prašymas prijungti vartotojo dujų sistemą prie skirstymo sistemos) yra užbaigiamos pagal iki šio įsakymo įsigaliojimo galiojusią naujų perdavimo ar skirstymo sistemų nedujofikuotoje teritorijoje įrengimo ir naujų vartotojų gamtinių dujų sistemų prijungimo prie perdavimo ar skirstymo sistemų </w:t>
              </w:r>
              <w:r>
                <w:rPr>
                  <w:color w:val="000000"/>
                </w:rPr>
                <w:t>ir vartotojų gamtinių dujų sistemų įrengimo tvarką.</w:t>
              </w:r>
            </w:p>
            <w:p w14:paraId="0F4B1A5E" w14:textId="77777777">
              <w:pPr>
                <w:widowControl w:val="0"/>
                <w:tabs>
                  <w:tab w:val="left" w:pos="993"/>
                </w:tabs>
                <w:ind w:firstLine="851"/>
                <w:jc w:val="both"/>
                <w:rPr>
                  <w:color w:val="000000"/>
                </w:rPr>
              </w:pPr>
            </w:p>
            <w:p w14:paraId="17D60639" w14:textId="2B76B691">
              <w:pPr>
                <w:jc w:val="both"/>
              </w:pPr>
            </w:p>
            <w:p w14:paraId="0446AF26" w14:textId="332C713B">
              <w:pPr>
                <w:jc w:val="both"/>
              </w:pPr>
            </w:p>
            <w:p w14:paraId="4B00B1AF" w14:textId="77777777">
              <w:pPr>
                <w:jc w:val="both"/>
              </w:pPr>
            </w:p>
          </w:sdtContent>
        </w:sdt>
        <w:sdt>
          <w:sdtPr>
            <w:alias w:val="signatura"/>
            <w:tag w:val="part_7472382845fe4dee827ad466495f3b1d"/>
            <w:lock w:val="sdtLocked"/>
            <w:richText/>
          </w:sdtPr>
          <w:sdtContent>
            <w:p w14:paraId="3E8D75F7" w14:textId="2C33D710">
              <w:pPr>
                <w:jc w:val="both"/>
              </w:pPr>
              <w:r>
                <w:t>Energetikos ministras</w:t>
                <w:tab/>
                <w:tab/>
                <w:tab/>
                <w:tab/>
                <w:tab/>
                <w:tab/>
                <w:tab/>
                <w:tab/>
              </w:r>
            </w:p>
          </w:sdtContent>
        </w:sdt>
      </w:sdtContent>
    </w:sdt>
    <w:sectPr>
      <w:headerReference w:type="even" r:id="rId11"/>
      <w:headerReference w:type="default" r:id="rId12"/>
      <w:footerReference w:type="even" r:id="rId13"/>
      <w:footerReference w:type="default" r:id="rId14"/>
      <w:headerReference w:type="first" r:id="rId15"/>
      <w:footerReference w:type="first" r:id="rId16"/>
      <w:pgSz w:w="11906" w:h="16838" w:code="9"/>
      <w:pgMar w:top="1134" w:right="851" w:bottom="1134" w:left="1701" w:header="567" w:footer="567" w:gutter="0"/>
      <w:pgNumType w:start="1"/>
      <w:cols w:space="1296"/>
      <w:titlePg/>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6A4E022" w14:textId="77777777">
      <w:pPr>
        <w:jc w:val="both"/>
      </w:pPr>
      <w:r>
        <w:separator/>
      </w:r>
    </w:p>
  </w:endnote>
  <w:endnote w:type="continuationSeparator" w:id="0">
    <w:p w14:paraId="45F251AE" w14:textId="77777777">
      <w:pPr>
        <w:jc w:val="both"/>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7441D4" w14:textId="77777777">
    <w:pPr>
      <w:framePr w:wrap="auto" w:vAnchor="text" w:hAnchor="margin" w:xAlign="center" w:y="1"/>
      <w:tabs>
        <w:tab w:val="center" w:pos="4153"/>
        <w:tab w:val="right" w:pos="8306"/>
      </w:tabs>
      <w:jc w:val="both"/>
    </w:pPr>
    <w:r>
      <w:fldChar w:fldCharType="begin"/>
    </w:r>
    <w:r>
      <w:instrText xml:space="preserve">PAGE  </w:instrText>
    </w:r>
    <w:r>
      <w:fldChar w:fldCharType="separate"/>
    </w:r>
    <w:r>
      <w:t>1</w:t>
    </w:r>
    <w:r>
      <w:fldChar w:fldCharType="end"/>
    </w:r>
  </w:p>
  <w:p w14:paraId="3E0E2AEC" w14:textId="77777777">
    <w:pPr>
      <w:tabs>
        <w:tab w:val="center" w:pos="4153"/>
        <w:tab w:val="right" w:pos="8306"/>
      </w:tabs>
      <w:jc w:val="both"/>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6DBF89" w14:textId="77777777">
    <w:pPr>
      <w:tabs>
        <w:tab w:val="center" w:pos="4153"/>
        <w:tab w:val="right" w:pos="8306"/>
      </w:tabs>
      <w:jc w:val="both"/>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EA281A" w14:textId="77777777">
    <w:pPr>
      <w:tabs>
        <w:tab w:val="center" w:pos="4153"/>
        <w:tab w:val="right" w:pos="8306"/>
      </w:tabs>
      <w:jc w:val="both"/>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2270A4E" w14:textId="77777777">
      <w:pPr>
        <w:jc w:val="both"/>
      </w:pPr>
      <w:r>
        <w:separator/>
      </w:r>
    </w:p>
  </w:footnote>
  <w:footnote w:type="continuationSeparator" w:id="0">
    <w:p w14:paraId="73260DA0" w14:textId="77777777">
      <w:pPr>
        <w:jc w:val="both"/>
      </w:pPr>
      <w: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D93650" w14:textId="77777777">
    <w:pPr>
      <w:tabs>
        <w:tab w:val="center" w:pos="4153"/>
        <w:tab w:val="right" w:pos="8306"/>
      </w:tabs>
      <w:jc w:val="both"/>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793B89" w14:textId="54F734B6">
    <w:pPr>
      <w:tabs>
        <w:tab w:val="center" w:pos="4153"/>
        <w:tab w:val="right" w:pos="8306"/>
      </w:tabs>
      <w:jc w:val="center"/>
    </w:pPr>
    <w:r>
      <w:rPr>
        <w:lang w:val="en-US"/>
      </w:rPr>
      <mc:AlternateContent>
        <mc:Choice Requires="wps">
          <w:drawing>
            <wp:anchor distT="0" distB="0" distL="114300" distR="114300" simplePos="0" relativeHeight="251659264" behindDoc="0" locked="0" layoutInCell="0" allowOverlap="1" wp14:anchorId="2AADFB6A" wp14:editId="5F6101E8">
              <wp:simplePos x="0" y="0"/>
              <wp:positionH relativeFrom="page">
                <wp:posOffset>0</wp:posOffset>
              </wp:positionH>
              <wp:positionV relativeFrom="page">
                <wp:posOffset>190500</wp:posOffset>
              </wp:positionV>
              <wp:extent cx="7560310" cy="266700"/>
              <wp:effectExtent l="0" t="0" r="0" b="0"/>
              <wp:wrapNone/>
              <wp:docPr id="1" name="MSIPCM357c43079b0fc430493fecb1" descr="{&quot;HashCode&quot;:-703152319,&quot;Height&quot;:841.0,&quot;Width&quot;:595.0,&quot;Placement&quot;:&quot;Header&quot;,&quot;Index&quot;:&quot;Primary&quot;,&quot;Section&quot;:1,&quot;Top&quot;:0.0,&quot;Left&quot;:0.0}"/>
              <wp:cNvGraphicFramePr/>
              <a:graphic xmlns:a="http://schemas.openxmlformats.org/drawingml/2006/main">
                <a:graphicData uri="http://schemas.microsoft.com/office/word/2010/wordprocessingShape">
                  <wps:wsp>
                    <wps:cNvSpPr txBox="1"/>
                    <wps:spPr>
                      <a:xfrm>
                        <a:off x="0" y="0"/>
                        <a:ext cx="7560310" cy="266700"/>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79801498" w14:textId="1241BEE6">
                          <w:pPr>
                            <w:jc w:val="right"/>
                            <w:rPr>
                              <w:rFonts w:ascii="Calibri" w:hAnsi="Calibri" w:cs="Calibri"/>
                              <w:color w:val="000000"/>
                              <w:sz w:val="20"/>
                            </w:rPr>
                          </w:pPr>
                        </w:p>
                      </w:txbxContent>
                    </wps:txbx>
                    <wps:bodyPr rot="0" spcFirstLastPara="0" vertOverflow="overflow" horzOverflow="overflow" vert="horz" wrap="square" lIns="91440" tIns="0" rIns="254000" bIns="0" numCol="1" spcCol="0" rtlCol="0"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MSIPCM357c43079b0fc430493fecb1" o:spid="_x0000_s1027" type="#_x0000_t202" alt="{&quot;HashCode&quot;:-703152319,&quot;Height&quot;:841.0,&quot;Width&quot;:595.0,&quot;Placement&quot;:&quot;Header&quot;,&quot;Index&quot;:&quot;Primary&quot;,&quot;Section&quot;:1,&quot;Top&quot;:0.0,&quot;Left&quot;:0.0}" style="position:absolute;left:0;text-align:left;margin-left:0;margin-top:15pt;width:595.3pt;height:21pt;z-index:251659264;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lD6eRHAMAADcGAAAOAAAAZHJzL2Uyb0RvYy54bWysVE1v2zgQvS+w/0HgYU/rSLJlO3KjFIkD 7wZwWwPOImeaoiJiJVIl6VjZov99HynKbbp7KIpepOHMcD7ePM7V275tomeujVCyIOlFQiIumSqF fCrIXw+bySWJjKWypI2SvCAv3JC317/+cnXqVnyqatWUXEcIIs3q1BWktrZbxbFhNW+puVAdlzBW SrfU4qif4lLTE6K3TTxNkkV8UrrstGLcGGjvBiO59vGrijP7oaoMt1FTENRm/Vf778F94+srunrS tKsFC2XQH6iipUIi6TnUHbU0Omrxn1CtYFoZVdkLptpYVZVg3PeAbtLkm272Ne247wXgmO4Mk/l5 Ydn7552ORInZkUjSFiN6t7/frd/N5kuWzZJlfkgqJ2T5DGge4FVyw4Dgp98+HpV98yc19VqVfDit Jstkls6nszT/Pdi5eKptsF5mYEgwPIrS1kE/z+dn/a6hjLdcjnfGMBREGeQQ4F6WvA8Bht9Oi5bq l1dee1AA3Ax+abj7oLqgSc6Jt7wac0L52VHj1JkVENp3wMj2t6p3MAW9gdJNvK906/6YZQQ7SPZy JhbvbcSgXM4XgAUmBtt0sVgmnnnxl9udNvYPrtrICQXRqNrziT5vjUVGuI4uLplUG9E0nryNjE4F Wczmib9wtuBGI50vikCMIA2k/JSn0yy5neaTzeJyOck22XySL5PLSZLmt/kCw87uNp9dvDRb1aIs udwKyccHkmbfR8DwVAdq+yfyqlSjGlG6Plxtrrt1o6Nnipd6AAf+dkCjia+84tfleDO6G/++y9jN bJiNk2x/6MPADqp8wRy1Ar4YhenYRiDplhq7oxqvHkpsMvsBn6pRAFUFiUS10v/8n975AwtYSXTC FimI+XikmpOouZd4pnmaZQhr/QGC9sJ0niVgQHQY1fLYrhX6xutCWV50zrYZxUqr9hGb7salg4lK hqQFsaO4tjjBgE3J+M2Nl7FhOmq3ct8xF3pE+aF/pLoLRLPA770aFw1dfcO3wdfdlOrmaFUlPBkd sgOcwN4dsJ38FMImdevv67P3+rLvr/8FAAD//wMAUEsDBBQABgAIAAAAIQA3pHo63AAAAAcBAAAP AAAAZHJzL2Rvd25yZXYueG1sTI9BT4NAEIXvJv6HzZh4s7tFUy1laFoTbiaGqul1gRGI7CxhFwr/ 3u1JT5OX9/LeN8l+Np2YaHCtZYT1SoEgLm3Vco3w+ZE9vIBwXnOlO8uEsJCDfXp7k+i4shfOaTr5 WoQSdrFGaLzvYyld2ZDRbmV74uB928FoH+RQy2rQl1BuOhkptZFGtxwWGt3Ta0Plz2k0COPT4Vgs Npre3o/nr3zOeMmzM+L93XzYgfA0+78wXPEDOqSBqbAjV050COERj/Cowr26663agCgQniMFMk3k f/70FwAA//8DAFBLAQItABQABgAIAAAAIQC2gziS/gAAAOEBAAATAAAAAAAAAAAAAAAAAAAAAABb Q29udGVudF9UeXBlc10ueG1sUEsBAi0AFAAGAAgAAAAhADj9If/WAAAAlAEAAAsAAAAAAAAAAAAA AAAALwEAAF9yZWxzLy5yZWxzUEsBAi0AFAAGAAgAAAAhAKUPp5EcAwAANwYAAA4AAAAAAAAAAAAA AAAALgIAAGRycy9lMm9Eb2MueG1sUEsBAi0AFAAGAAgAAAAhADekejrcAAAABwEAAA8AAAAAAAAA AAAAAAAAdgUAAGRycy9kb3ducmV2LnhtbFBLBQYAAAAABAAEAPMAAAB/BgAAAAA= " o:allowincell="f" filled="f" stroked="f" strokeweight=".5pt">
              <v:textbox inset=",0,20pt,0">
                <w:txbxContent>
                  <w:p w14:paraId="79801498" w14:textId="1241BEE6">
                    <w:pPr>
                      <w:jc w:val="right"/>
                      <w:rPr>
                        <w:rFonts w:ascii="Calibri" w:hAnsi="Calibri" w:eastAsia="Times New Roman" w:cs="Calibri"/>
                        <w:color w:val="000000"/>
                        <w:sz w:val="20"/>
                      </w:rPr>
                    </w:pPr>
                  </w:p>
                </w:txbxContent>
              </v:textbox>
              <w10:wrap anchorx="page" anchory="page"/>
            </v:shape>
          </w:pict>
        </mc:Fallback>
      </mc:AlternateContent>
    </w:r>
    <w:r>
      <w:fldChar w:fldCharType="begin"/>
    </w:r>
    <w:r>
      <w:instrText xml:space="preserve"> PAGE </w:instrText>
    </w:r>
    <w:r>
      <w:fldChar w:fldCharType="separate"/>
    </w:r>
    <w:r>
      <w:t>2</w:t>
    </w:r>
    <w:r>
      <w:fldChar w:fldCharType="end"/>
    </w: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1E229E" w14:textId="1789221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95"/>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79C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0551417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359471182">
      <w:bodyDiv w:val="1"/>
      <w:marLeft w:val="0"/>
      <w:marRight w:val="0"/>
      <w:marTop w:val="0"/>
      <w:marBottom w:val="0"/>
      <w:divBdr>
        <w:top w:val="none" w:sz="0" w:space="0" w:color="auto"/>
        <w:left w:val="none" w:sz="0" w:space="0" w:color="auto"/>
        <w:bottom w:val="none" w:sz="0" w:space="0" w:color="auto"/>
        <w:right w:val="none" w:sz="0" w:space="0" w:color="auto"/>
      </w:divBdr>
      <w:divsChild>
        <w:div w:id="1251621462">
          <w:marLeft w:val="0"/>
          <w:marRight w:val="0"/>
          <w:marTop w:val="0"/>
          <w:marBottom w:val="0"/>
          <w:divBdr>
            <w:top w:val="none" w:sz="0" w:space="0" w:color="auto"/>
            <w:left w:val="none" w:sz="0" w:space="0" w:color="auto"/>
            <w:bottom w:val="none" w:sz="0" w:space="0" w:color="auto"/>
            <w:right w:val="none" w:sz="0" w:space="0" w:color="auto"/>
          </w:divBdr>
          <w:divsChild>
            <w:div w:id="934168609">
              <w:marLeft w:val="0"/>
              <w:marRight w:val="0"/>
              <w:marTop w:val="0"/>
              <w:marBottom w:val="0"/>
              <w:divBdr>
                <w:top w:val="none" w:sz="0" w:space="0" w:color="auto"/>
                <w:left w:val="none" w:sz="0" w:space="0" w:color="auto"/>
                <w:bottom w:val="none" w:sz="0" w:space="0" w:color="auto"/>
                <w:right w:val="none" w:sz="0" w:space="0" w:color="auto"/>
              </w:divBdr>
              <w:divsChild>
                <w:div w:id="128674741">
                  <w:marLeft w:val="0"/>
                  <w:marRight w:val="0"/>
                  <w:marTop w:val="0"/>
                  <w:marBottom w:val="0"/>
                  <w:divBdr>
                    <w:top w:val="none" w:sz="0" w:space="0" w:color="auto"/>
                    <w:left w:val="none" w:sz="0" w:space="0" w:color="auto"/>
                    <w:bottom w:val="none" w:sz="0" w:space="0" w:color="auto"/>
                    <w:right w:val="none" w:sz="0" w:space="0" w:color="auto"/>
                  </w:divBdr>
                  <w:divsChild>
                    <w:div w:id="1409616750">
                      <w:marLeft w:val="0"/>
                      <w:marRight w:val="0"/>
                      <w:marTop w:val="0"/>
                      <w:marBottom w:val="0"/>
                      <w:divBdr>
                        <w:top w:val="none" w:sz="0" w:space="0" w:color="auto"/>
                        <w:left w:val="none" w:sz="0" w:space="0" w:color="auto"/>
                        <w:bottom w:val="none" w:sz="0" w:space="0" w:color="auto"/>
                        <w:right w:val="none" w:sz="0" w:space="0" w:color="auto"/>
                      </w:divBdr>
                      <w:divsChild>
                        <w:div w:id="57168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7739062">
      <w:bodyDiv w:val="1"/>
      <w:marLeft w:val="0"/>
      <w:marRight w:val="0"/>
      <w:marTop w:val="0"/>
      <w:marBottom w:val="0"/>
      <w:divBdr>
        <w:top w:val="none" w:sz="0" w:space="0" w:color="auto"/>
        <w:left w:val="none" w:sz="0" w:space="0" w:color="auto"/>
        <w:bottom w:val="none" w:sz="0" w:space="0" w:color="auto"/>
        <w:right w:val="none" w:sz="0" w:space="0" w:color="auto"/>
      </w:divBdr>
    </w:div>
    <w:div w:id="977418260">
      <w:bodyDiv w:val="1"/>
      <w:marLeft w:val="0"/>
      <w:marRight w:val="0"/>
      <w:marTop w:val="0"/>
      <w:marBottom w:val="0"/>
      <w:divBdr>
        <w:top w:val="none" w:sz="0" w:space="0" w:color="auto"/>
        <w:left w:val="none" w:sz="0" w:space="0" w:color="auto"/>
        <w:bottom w:val="none" w:sz="0" w:space="0" w:color="auto"/>
        <w:right w:val="none" w:sz="0" w:space="0" w:color="auto"/>
      </w:divBdr>
    </w:div>
    <w:div w:id="1548494402">
      <w:bodyDiv w:val="1"/>
      <w:marLeft w:val="0"/>
      <w:marRight w:val="0"/>
      <w:marTop w:val="0"/>
      <w:marBottom w:val="0"/>
      <w:divBdr>
        <w:top w:val="none" w:sz="0" w:space="0" w:color="auto"/>
        <w:left w:val="none" w:sz="0" w:space="0" w:color="auto"/>
        <w:bottom w:val="none" w:sz="0" w:space="0" w:color="auto"/>
        <w:right w:val="none" w:sz="0" w:space="0" w:color="auto"/>
      </w:divBdr>
    </w:div>
    <w:div w:id="1769034288">
      <w:bodyDiv w:val="1"/>
      <w:marLeft w:val="0"/>
      <w:marRight w:val="0"/>
      <w:marTop w:val="0"/>
      <w:marBottom w:val="0"/>
      <w:divBdr>
        <w:top w:val="none" w:sz="0" w:space="0" w:color="auto"/>
        <w:left w:val="none" w:sz="0" w:space="0" w:color="auto"/>
        <w:bottom w:val="none" w:sz="0" w:space="0" w:color="auto"/>
        <w:right w:val="none" w:sz="0" w:space="0" w:color="auto"/>
      </w:divBdr>
    </w:div>
    <w:div w:id="2139446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CEA4B6B9CFAD4E4A95A13C1917E65531" ma:contentTypeVersion="11" ma:contentTypeDescription="Kurkite naują dokumentą." ma:contentTypeScope="" ma:versionID="d9d327a53ef296b6bbcb6e1b6ec07492">
  <xsd:schema xmlns:xsd="http://www.w3.org/2001/XMLSchema" xmlns:xs="http://www.w3.org/2001/XMLSchema" xmlns:p="http://schemas.microsoft.com/office/2006/metadata/properties" xmlns:ns3="0a63f4af-13e4-4c9a-b24c-ef40c4f9c284" xmlns:ns4="8dd4e366-2e0c-4642-a866-017ec154aae8" targetNamespace="http://schemas.microsoft.com/office/2006/metadata/properties" ma:root="true" ma:fieldsID="3e4cc56925775e30d489fd27e2d715fc" ns3:_="" ns4:_="">
    <xsd:import namespace="0a63f4af-13e4-4c9a-b24c-ef40c4f9c284"/>
    <xsd:import namespace="8dd4e366-2e0c-4642-a866-017ec154aae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Location"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a63f4af-13e4-4c9a-b24c-ef40c4f9c28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Location" ma:index="12" nillable="true" ma:displayName="Location" ma:internalName="MediaServiceLocation"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dd4e366-2e0c-4642-a866-017ec154aae8" elementFormDefault="qualified">
    <xsd:import namespace="http://schemas.microsoft.com/office/2006/documentManagement/types"/>
    <xsd:import namespace="http://schemas.microsoft.com/office/infopath/2007/PartnerControls"/>
    <xsd:element name="SharedWithUsers" ma:index="16"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Bendrinta su išsamia informacija" ma:internalName="SharedWithDetails" ma:readOnly="true">
      <xsd:simpleType>
        <xsd:restriction base="dms:Note">
          <xsd:maxLength value="255"/>
        </xsd:restriction>
      </xsd:simpleType>
    </xsd:element>
    <xsd:element name="SharingHintHash" ma:index="18" nillable="true" ma:displayName="Bendrinimo užuominos maiša"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6602d5205a33472abcad0eba7c404a3f" PartId="4738e86277d741eeb627d1655d2e9450">
    <Part Type="punktas" Nr="1" Abbr="1 p." DocPartId="dbf6643047a84f6f9586bb55dde35767" PartId="2051b405465c4d23a4ab7efc48a6e1c9">
      <Part Type="papunktis" Nr="1.1" Abbr="1.1 pp." DocPartId="bda86aada8264028b900ddacbab9c446" PartId="fe664dda79d3437fb625109b233abfc5">
        <Part Type="citata" DocPartId="759a63b1612e4d65885e396f198579de" PartId="b2245fa103804199aac247c4e19b4fce">
          <Part Type="punktas" Nr="33" Abbr="33 p." DocPartId="b9f13c974b26400d8fa3d94d44e5c020" PartId="449041f84e8a48e88300839b105cb4b5">
            <Part Type="papunktis" Nr="33.1" Abbr="33.1 pp." DocPartId="a0c3d635aaaa480fb47473f5cd3d410a" PartId="a7156cc227d94022a21d3cde6429c5b8"/>
            <Part Type="papunktis" Nr="33.2" Abbr="33.2 pp." DocPartId="4a5a9e7423ca4793870516388f2aba5c" PartId="075add51f0454397bce4206f9c00e96e"/>
            <Part Type="papunktis" Nr="33.3" Abbr="33.3 pp." DocPartId="5904d99715e9499c930e0c8dff4566c7" PartId="49e38fb12bee43268240bb533a8d2c53"/>
            <Part Type="papunktis" Nr="33.4" Abbr="33.4 pp." DocPartId="d4c5b33044a54f04ad486f7ad4397a1a" PartId="95717c88fb274778abd980e552bab78f"/>
            <Part Type="papunktis" Nr="33.5" Abbr="33.5 pp." DocPartId="37f2214dbfa448cab54d604e48c8b27b" PartId="529923c5a86b46a1a2eeb18906b75b35"/>
          </Part>
        </Part>
      </Part>
      <Part Type="papunktis" Nr="1.2" Abbr="1.2 pp." DocPartId="c70d14cab1f04a23be7cbaa70f694b5a" PartId="bc7e5189ceb24bf291b5e862217da78a">
        <Part Type="citata" DocPartId="cf1dbbce6f9d432a8614fee2e29e5587" PartId="9c3b9569d1434c81b526da755d9d68d7">
          <Part Type="punktas" Nr="34" Abbr="34 p." DocPartId="f64073f44e3049e59d3562a2201e2c5e" PartId="86b3e227090b4bbdb4d8028748a460b5"/>
        </Part>
      </Part>
      <Part Type="papunktis" Nr="1.3" Abbr="1.3 pp." DocPartId="1b75115abb574095ab42cd231b72eedb" PartId="d4724352449d4b8d9f921dadb6856208"/>
      <Part Type="papunktis" Nr="1.4" Abbr="1.4 pp." DocPartId="2844e4198b134ad28bc76857b1f8d07a" PartId="26f614178c684d30aa9032f897fbc8ae"/>
    </Part>
    <Part Type="punktas" Nr="2" Abbr="2 p." DocPartId="f1e9e4154c0440ef98cf1ba0ce7d8504" PartId="b98574ea00e540d39d71d86d5adbb879"/>
    <Part Type="signatura" DocPartId="761d11dbe182451681e02145614e9bc2" PartId="7472382845fe4dee827ad466495f3b1d"/>
  </Part>
</Parts>
</file>

<file path=customXml/itemProps1.xml><?xml version="1.0" encoding="utf-8"?>
<ds:datastoreItem xmlns:ds="http://schemas.openxmlformats.org/officeDocument/2006/customXml" ds:itemID="{B6DA16B0-2FE4-4524-8CCB-043CE54AF781}">
  <ds:schemaRefs>
    <ds:schemaRef ds:uri="http://schemas.microsoft.com/sharepoint/v3/contenttype/forms"/>
  </ds:schemaRefs>
</ds:datastoreItem>
</file>

<file path=customXml/itemProps2.xml><?xml version="1.0" encoding="utf-8"?>
<ds:datastoreItem xmlns:ds="http://schemas.openxmlformats.org/officeDocument/2006/customXml" ds:itemID="{DA51987A-26DA-4BBC-97A7-546639FDF16C}">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398BD86A-8B9D-4C25-A028-CA3887DF196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a63f4af-13e4-4c9a-b24c-ef40c4f9c284"/>
    <ds:schemaRef ds:uri="8dd4e366-2e0c-4642-a866-017ec154aae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3792E74-59EF-4605-8CEC-055CD21E3924}">
  <ds:schemaRefs>
    <ds:schemaRef ds:uri="http://schemas.openxmlformats.org/officeDocument/2006/bibliography"/>
  </ds:schemaRefs>
</ds:datastoreItem>
</file>

<file path=customXml/itemProps5.xml><?xml version="1.0" encoding="utf-8"?>
<ds:datastoreItem xmlns:ds="http://schemas.openxmlformats.org/officeDocument/2006/customXml" ds:itemID="{EBD283C0-367F-4A98-AABC-33DC27F660E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534</Words>
  <Characters>3748</Characters>
  <Application>Microsoft Office Word</Application>
  <DocSecurity>4</DocSecurity>
  <Lines>68</Lines>
  <Paragraphs>21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KPC</Company>
  <LinksUpToDate>false</LinksUpToDate>
  <CharactersWithSpaces>4261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2020-01-14T09:30:00Z</dcterms:created>
  <dc:creator>Karolis Švaikauskas</dc:creator>
  <lastModifiedBy>adlibuser</lastModifiedBy>
  <lastPrinted>2017-01-03T13:22:00Z</lastPrinted>
  <dcterms:modified xsi:type="dcterms:W3CDTF">2020-01-14T09:30:00Z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0x010100CEA4B6B9CFAD4E4A95A13C1917E65531</vt:lpwstr>
  </property>
  <property fmtid="{D5CDD505-2E9C-101B-9397-08002B2CF9AE}" pid="3" name="MSIP_Label_320c693d-44b7-4e16-b3dd-4fcd87401cf5_Enabled">
    <vt:lpwstr>True</vt:lpwstr>
  </property>
  <property fmtid="{D5CDD505-2E9C-101B-9397-08002B2CF9AE}" pid="4" name="MSIP_Label_320c693d-44b7-4e16-b3dd-4fcd87401cf5_SiteId">
    <vt:lpwstr>ea88e983-d65a-47b3-adb4-3e1c6d2110d2</vt:lpwstr>
  </property>
  <property fmtid="{D5CDD505-2E9C-101B-9397-08002B2CF9AE}" pid="5" name="MSIP_Label_320c693d-44b7-4e16-b3dd-4fcd87401cf5_Owner">
    <vt:lpwstr>Donatas.Kiltinavicius@eso.lt</vt:lpwstr>
  </property>
  <property fmtid="{D5CDD505-2E9C-101B-9397-08002B2CF9AE}" pid="6" name="MSIP_Label_320c693d-44b7-4e16-b3dd-4fcd87401cf5_SetDate">
    <vt:lpwstr>2020-01-07T11:20:18.5856918Z</vt:lpwstr>
  </property>
  <property fmtid="{D5CDD505-2E9C-101B-9397-08002B2CF9AE}" pid="7" name="MSIP_Label_320c693d-44b7-4e16-b3dd-4fcd87401cf5_Name">
    <vt:lpwstr>Viešo naudojimo</vt:lpwstr>
  </property>
  <property fmtid="{D5CDD505-2E9C-101B-9397-08002B2CF9AE}" pid="8" name="MSIP_Label_320c693d-44b7-4e16-b3dd-4fcd87401cf5_Application">
    <vt:lpwstr>Microsoft Azure Information Protection</vt:lpwstr>
  </property>
  <property fmtid="{D5CDD505-2E9C-101B-9397-08002B2CF9AE}" pid="9" name="MSIP_Label_320c693d-44b7-4e16-b3dd-4fcd87401cf5_ActionId">
    <vt:lpwstr>b725e83e-39c5-4c5e-a5d5-50c8c7b16ce6</vt:lpwstr>
  </property>
  <property fmtid="{D5CDD505-2E9C-101B-9397-08002B2CF9AE}" pid="10" name="MSIP_Label_320c693d-44b7-4e16-b3dd-4fcd87401cf5_Extended_MSFT_Method">
    <vt:lpwstr>Manual</vt:lpwstr>
  </property>
  <property fmtid="{D5CDD505-2E9C-101B-9397-08002B2CF9AE}" pid="11" name="MSIP_Label_190751af-2442-49a7-b7b9-9f0bcce858c9_Enabled">
    <vt:lpwstr>True</vt:lpwstr>
  </property>
  <property fmtid="{D5CDD505-2E9C-101B-9397-08002B2CF9AE}" pid="12" name="MSIP_Label_190751af-2442-49a7-b7b9-9f0bcce858c9_SiteId">
    <vt:lpwstr>ea88e983-d65a-47b3-adb4-3e1c6d2110d2</vt:lpwstr>
  </property>
  <property fmtid="{D5CDD505-2E9C-101B-9397-08002B2CF9AE}" pid="13" name="MSIP_Label_190751af-2442-49a7-b7b9-9f0bcce858c9_Owner">
    <vt:lpwstr>Donatas.Kiltinavicius@eso.lt</vt:lpwstr>
  </property>
  <property fmtid="{D5CDD505-2E9C-101B-9397-08002B2CF9AE}" pid="14" name="MSIP_Label_190751af-2442-49a7-b7b9-9f0bcce858c9_SetDate">
    <vt:lpwstr>2020-01-07T11:20:18.5856918Z</vt:lpwstr>
  </property>
  <property fmtid="{D5CDD505-2E9C-101B-9397-08002B2CF9AE}" pid="15" name="MSIP_Label_190751af-2442-49a7-b7b9-9f0bcce858c9_Name">
    <vt:lpwstr>Be žymos</vt:lpwstr>
  </property>
  <property fmtid="{D5CDD505-2E9C-101B-9397-08002B2CF9AE}" pid="16" name="MSIP_Label_190751af-2442-49a7-b7b9-9f0bcce858c9_Application">
    <vt:lpwstr>Microsoft Azure Information Protection</vt:lpwstr>
  </property>
  <property fmtid="{D5CDD505-2E9C-101B-9397-08002B2CF9AE}" pid="17" name="MSIP_Label_190751af-2442-49a7-b7b9-9f0bcce858c9_ActionId">
    <vt:lpwstr>b725e83e-39c5-4c5e-a5d5-50c8c7b16ce6</vt:lpwstr>
  </property>
  <property fmtid="{D5CDD505-2E9C-101B-9397-08002B2CF9AE}" pid="18" name="MSIP_Label_190751af-2442-49a7-b7b9-9f0bcce858c9_Parent">
    <vt:lpwstr>320c693d-44b7-4e16-b3dd-4fcd87401cf5</vt:lpwstr>
  </property>
  <property fmtid="{D5CDD505-2E9C-101B-9397-08002B2CF9AE}" pid="19" name="MSIP_Label_190751af-2442-49a7-b7b9-9f0bcce858c9_Extended_MSFT_Method">
    <vt:lpwstr>Manual</vt:lpwstr>
  </property>
  <property fmtid="{D5CDD505-2E9C-101B-9397-08002B2CF9AE}" pid="20" name="Sensitivity">
    <vt:lpwstr>Viešo naudojimo Be žymos</vt:lpwstr>
  </property>
</Properties>
</file>