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de1890e24a4073a2b30c01475ed306"/>
        <w:lock w:val="sdtLocked"/>
        <w:richText/>
      </w:sdtPr>
      <w:sdtContent>
        <w:p>
          <w:pPr>
            <w:tabs>
              <w:tab w:val="left" w:pos="7655"/>
              <w:tab w:val="left" w:pos="8222"/>
              <w:tab w:val="left" w:pos="8364"/>
            </w:tabs>
            <w:ind w:firstLine="7655"/>
            <w:jc w:val="both"/>
            <w:rPr>
              <w:b/>
              <w:bCs/>
              <w:szCs w:val="24"/>
            </w:rPr>
          </w:pPr>
          <w:r>
            <w:rPr>
              <w:b/>
              <w:bCs/>
              <w:szCs w:val="24"/>
            </w:rPr>
            <w:t xml:space="preserve">Projektas </w:t>
          </w:r>
        </w:p>
        <w:p>
          <w:pPr>
            <w:tabs>
              <w:tab w:val="left" w:pos="8222"/>
              <w:tab w:val="left" w:pos="8364"/>
            </w:tabs>
            <w:ind w:firstLine="7655"/>
            <w:jc w:val="both"/>
            <w:rPr>
              <w:szCs w:val="24"/>
            </w:rPr>
          </w:pPr>
          <w:r>
            <w:rPr>
              <w:szCs w:val="24"/>
            </w:rPr>
            <w:t>Nr. TSP-301 (1.2 E)</w:t>
          </w:r>
        </w:p>
        <w:p>
          <w:pPr>
            <w:jc w:val="right"/>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ind w:firstLine="71"/>
            <w:jc w:val="center"/>
            <w:rPr>
              <w:szCs w:val="24"/>
              <w:lang w:eastAsia="lt-LT"/>
            </w:rPr>
          </w:pPr>
          <w:r>
            <w:rPr>
              <w:b/>
              <w:szCs w:val="24"/>
            </w:rPr>
            <w:t>DĖL RADVILIŠKIO RAJONO SAVIVALDYBĖS SPORTININKŲ IR TRENERIŲ SKATINIMO TVARKOS APRAŠO, PATVIRTINTO RADVILIŠKIO RAJONO SAVIVALDYBĖS TARYBOS 2020 M. VASARIO 27 D. SPRENDIMU NR. T-190 „DĖL RADVILIŠKIO RAJONO SAVIVALDYBĖS SPORTININKŲ IR TRENERIŲ SKATINIMO TVARKOS APRAŠO PATVIRTINIMO“ PAKEITIMO</w:t>
          </w:r>
        </w:p>
        <w:p>
          <w:pPr>
            <w:jc w:val="center"/>
            <w:rPr>
              <w:szCs w:val="24"/>
            </w:rPr>
          </w:pPr>
        </w:p>
        <w:p>
          <w:pPr>
            <w:jc w:val="center"/>
            <w:rPr>
              <w:szCs w:val="24"/>
            </w:rPr>
          </w:pPr>
          <w:r>
            <w:rPr>
              <w:szCs w:val="24"/>
            </w:rPr>
            <w:t xml:space="preserve">2024 m.                     d. Nr. T-</w:t>
          </w:r>
        </w:p>
        <w:p>
          <w:pPr>
            <w:jc w:val="center"/>
            <w:rPr>
              <w:szCs w:val="24"/>
            </w:rPr>
          </w:pPr>
          <w:r>
            <w:rPr>
              <w:szCs w:val="24"/>
            </w:rPr>
            <w:t>Radviliškis</w:t>
          </w:r>
        </w:p>
        <w:p>
          <w:pPr>
            <w:rPr>
              <w:szCs w:val="24"/>
            </w:rPr>
          </w:pPr>
        </w:p>
        <w:sdt>
          <w:sdtPr>
            <w:alias w:val="preambule"/>
            <w:tag w:val="part_efe731bde6df438e95b77f537496859d"/>
            <w:lock w:val="sdtLocked"/>
            <w:richText/>
          </w:sdtPr>
          <w:sdtContent>
            <w:p>
              <w:pPr>
                <w:ind w:firstLine="720"/>
                <w:jc w:val="both"/>
                <w:rPr>
                  <w:spacing w:val="50"/>
                  <w:szCs w:val="24"/>
                </w:rPr>
              </w:pPr>
              <w:r>
                <w:rPr>
                  <w:szCs w:val="24"/>
                </w:rPr>
                <w:t xml:space="preserve">Vadovaudamasi Lietuvos Respublikos vietos savivaldos įstatymo 16 straipsnio 1 dalimi, Radviliškio rajono savivaldybės taryba </w:t>
              </w:r>
              <w:r>
                <w:rPr>
                  <w:spacing w:val="50"/>
                  <w:szCs w:val="24"/>
                </w:rPr>
                <w:t>nusprendžia:</w:t>
              </w:r>
            </w:p>
          </w:sdtContent>
        </w:sdt>
        <w:sdt>
          <w:sdtPr>
            <w:alias w:val="pastraipa"/>
            <w:tag w:val="part_ac31402f04a6492988bece18bb858cc1"/>
            <w:lock w:val="sdtLocked"/>
            <w:richText/>
          </w:sdtPr>
          <w:sdtContent>
            <w:p>
              <w:pPr>
                <w:ind w:firstLine="720"/>
                <w:jc w:val="both"/>
                <w:rPr>
                  <w:szCs w:val="24"/>
                </w:rPr>
              </w:pPr>
              <w:r>
                <w:rPr>
                  <w:szCs w:val="24"/>
                </w:rPr>
                <w:t>Pakeisti Radviliškio rajono savivaldybės sportininkų ir trenerių skatinimo tvarkos aprašo, patvirtinto Radviliškio rajono savivaldybės tarybos 2020 m. vasario 27 d. sprendimo Nr. T-190 „Dėl Radviliškio rajono savivaldybės sportininkų ir trenerių skatinimo tvarkos aprašo patvirtinimo“ 1 punktu, priedą ir jį išdėstyti nauja redakcija (pridedama).</w:t>
              </w:r>
            </w:p>
            <w:p/>
            <w:p/>
            <w:p/>
          </w:sdtContent>
        </w:sdt>
        <w:sdt>
          <w:sdtPr>
            <w:alias w:val="signatura"/>
            <w:tag w:val="part_5b4ca6eaf50240759437959404e859e7"/>
            <w:lock w:val="sdtLocked"/>
            <w:richText/>
          </w:sdtPr>
          <w:sdtContent>
            <w:p>
              <w:pPr>
                <w:tabs>
                  <w:tab w:val="left" w:pos="7938"/>
                </w:tabs>
                <w:rPr>
                  <w:sz w:val="14"/>
                  <w:szCs w:val="14"/>
                </w:rPr>
              </w:pPr>
              <w:r>
                <w:rPr>
                  <w:szCs w:val="24"/>
                  <w:lang w:eastAsia="lt-LT"/>
                </w:rPr>
                <w:t xml:space="preserve">Savivaldybės meras </w:t>
              </w:r>
            </w:p>
            <w:p/>
            <w:p/>
            <w:p/>
            <w:p/>
            <w:p/>
            <w:p/>
            <w:p/>
            <w:p/>
            <w:p/>
            <w:p/>
            <w:p/>
            <w:p/>
            <w:p/>
            <w:p/>
            <w:p/>
            <w:p/>
            <w:p/>
            <w:p/>
            <w:p/>
            <w:p/>
            <w:p/>
            <w:p/>
            <w:p/>
            <w:p/>
            <w:p>
              <w:pPr>
                <w:jc w:val="both"/>
              </w:pPr>
            </w:p>
            <w:p>
              <w:pPr>
                <w:jc w:val="both"/>
              </w:pPr>
            </w:p>
            <w:p>
              <w:pPr>
                <w:jc w:val="both"/>
              </w:pPr>
            </w:p>
          </w:sdtContent>
        </w:sdt>
      </w:sdtContent>
    </w:sdt>
    <w:sdt>
      <w:sdtPr>
        <w:alias w:val="pr."/>
        <w:tag w:val="part_62e21bea99044f5f928082bf7715d2c5"/>
        <w:lock w:val="sdtLocked"/>
        <w:richText/>
      </w:sdtPr>
      <w:sdtContent>
        <w:p>
          <w:pPr>
            <w:ind w:left="6237"/>
            <w:rPr>
              <w:szCs w:val="24"/>
            </w:rPr>
          </w:pPr>
          <w:r>
            <w:rPr>
              <w:szCs w:val="24"/>
            </w:rPr>
            <w:t xml:space="preserve">Radviliškio rajono savivaldybės </w:t>
          </w:r>
        </w:p>
        <w:p>
          <w:pPr>
            <w:ind w:left="6237"/>
            <w:rPr>
              <w:szCs w:val="24"/>
            </w:rPr>
          </w:pPr>
          <w:r>
            <w:rPr>
              <w:szCs w:val="24"/>
            </w:rPr>
            <w:t>sportininkų ir trenerių</w:t>
          </w:r>
        </w:p>
        <w:p>
          <w:pPr>
            <w:ind w:left="6237"/>
            <w:rPr>
              <w:b/>
              <w:bCs/>
              <w:szCs w:val="24"/>
            </w:rPr>
          </w:pPr>
          <w:r>
            <w:rPr>
              <w:szCs w:val="24"/>
            </w:rPr>
            <w:t>skatinimo tvarkos aprašo priedas</w:t>
          </w:r>
        </w:p>
        <w:p>
          <w:pPr>
            <w:rPr>
              <w:b/>
              <w:bCs/>
              <w:szCs w:val="24"/>
            </w:rPr>
          </w:pPr>
        </w:p>
        <w:p>
          <w:pPr>
            <w:jc w:val="center"/>
            <w:rPr>
              <w:rFonts w:ascii="Times New Roman,Bold" w:hAnsi="Times New Roman,Bold" w:cs="Times New Roman,Bold"/>
              <w:b/>
              <w:bCs/>
              <w:szCs w:val="24"/>
            </w:rPr>
          </w:pPr>
          <w:sdt>
            <w:sdtPr>
              <w:alias w:val="Pavadinimas"/>
              <w:tag w:val="title_62e21bea99044f5f928082bf7715d2c5"/>
              <w:lock w:val="sdtLocked"/>
              <w:richText/>
            </w:sdtPr>
            <w:sdtContent>
              <w:r>
                <w:rPr>
                  <w:b/>
                  <w:bCs/>
                  <w:szCs w:val="24"/>
                </w:rPr>
                <w:t xml:space="preserve">RADVILIŠKIO RAJONO </w:t>
              </w:r>
              <w:r>
                <w:rPr>
                  <w:rFonts w:ascii="Times New Roman,Bold" w:hAnsi="Times New Roman,Bold" w:cs="Times New Roman,Bold"/>
                  <w:b/>
                  <w:bCs/>
                  <w:szCs w:val="24"/>
                </w:rPr>
                <w:t>SAVIVALDYBĖS SPORTININKŲ SKATINIMO PINIGINIŲ PREMIJŲ DYDŽIAI</w:t>
              </w:r>
            </w:sdtContent>
          </w:sdt>
        </w:p>
        <w:p>
          <w:pPr>
            <w:rPr>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3626"/>
            <w:gridCol w:w="1333"/>
            <w:gridCol w:w="1261"/>
            <w:gridCol w:w="1399"/>
            <w:gridCol w:w="1298"/>
          </w:tblGrid>
          <w:tr>
            <w:trPr>
              <w:trHeight w:val="224"/>
              <w:jc w:val="center"/>
            </w:trPr>
            <w:tc>
              <w:tcPr>
                <w:tcW w:w="711" w:type="dxa"/>
                <w:vMerge w:val="restart"/>
              </w:tcPr>
              <w:p>
                <w:pPr>
                  <w:jc w:val="center"/>
                  <w:rPr>
                    <w:b/>
                    <w:bCs/>
                    <w:sz w:val="22"/>
                    <w:szCs w:val="22"/>
                  </w:rPr>
                </w:pPr>
                <w:r>
                  <w:rPr>
                    <w:b/>
                    <w:bCs/>
                    <w:sz w:val="22"/>
                    <w:szCs w:val="22"/>
                  </w:rPr>
                  <w:t>Eil.</w:t>
                </w:r>
              </w:p>
              <w:p>
                <w:pPr>
                  <w:jc w:val="center"/>
                  <w:rPr>
                    <w:b/>
                    <w:bCs/>
                    <w:sz w:val="22"/>
                    <w:szCs w:val="22"/>
                  </w:rPr>
                </w:pPr>
                <w:r>
                  <w:rPr>
                    <w:b/>
                    <w:bCs/>
                    <w:sz w:val="22"/>
                    <w:szCs w:val="22"/>
                  </w:rPr>
                  <w:t>Nr.</w:t>
                </w:r>
              </w:p>
            </w:tc>
            <w:tc>
              <w:tcPr>
                <w:tcW w:w="3626" w:type="dxa"/>
                <w:vMerge w:val="restart"/>
              </w:tcPr>
              <w:p>
                <w:pPr>
                  <w:jc w:val="center"/>
                  <w:rPr>
                    <w:b/>
                    <w:bCs/>
                    <w:sz w:val="22"/>
                    <w:szCs w:val="22"/>
                  </w:rPr>
                </w:pPr>
                <w:r>
                  <w:rPr>
                    <w:b/>
                    <w:bCs/>
                    <w:sz w:val="22"/>
                    <w:szCs w:val="22"/>
                  </w:rPr>
                  <w:t>Sporto varžybų pavadinimas</w:t>
                </w:r>
              </w:p>
            </w:tc>
            <w:tc>
              <w:tcPr>
                <w:tcW w:w="5291" w:type="dxa"/>
                <w:gridSpan w:val="4"/>
              </w:tcPr>
              <w:p>
                <w:pPr>
                  <w:jc w:val="center"/>
                  <w:rPr>
                    <w:b/>
                    <w:bCs/>
                    <w:sz w:val="22"/>
                    <w:szCs w:val="22"/>
                  </w:rPr>
                </w:pPr>
                <w:r>
                  <w:rPr>
                    <w:b/>
                    <w:bCs/>
                    <w:sz w:val="22"/>
                    <w:szCs w:val="22"/>
                  </w:rPr>
                  <w:t>Iškovota vieta ir piniginės premijos dydis (Eur)</w:t>
                </w:r>
              </w:p>
            </w:tc>
          </w:tr>
          <w:tr>
            <w:trPr>
              <w:trHeight w:val="100"/>
              <w:jc w:val="center"/>
            </w:trPr>
            <w:tc>
              <w:tcPr>
                <w:tcW w:w="711" w:type="dxa"/>
                <w:vMerge/>
              </w:tcPr>
              <w:p>
                <w:pPr>
                  <w:rPr>
                    <w:b/>
                    <w:bCs/>
                    <w:sz w:val="22"/>
                    <w:szCs w:val="22"/>
                  </w:rPr>
                </w:pPr>
              </w:p>
            </w:tc>
            <w:tc>
              <w:tcPr>
                <w:tcW w:w="3626" w:type="dxa"/>
                <w:vMerge/>
              </w:tcPr>
              <w:p>
                <w:pPr>
                  <w:rPr>
                    <w:b/>
                    <w:bCs/>
                    <w:sz w:val="22"/>
                    <w:szCs w:val="22"/>
                  </w:rPr>
                </w:pPr>
              </w:p>
            </w:tc>
            <w:tc>
              <w:tcPr>
                <w:tcW w:w="1333" w:type="dxa"/>
              </w:tcPr>
              <w:p>
                <w:pPr>
                  <w:jc w:val="center"/>
                  <w:rPr>
                    <w:b/>
                    <w:bCs/>
                    <w:sz w:val="22"/>
                    <w:szCs w:val="22"/>
                  </w:rPr>
                </w:pPr>
                <w:r>
                  <w:rPr>
                    <w:b/>
                    <w:bCs/>
                    <w:sz w:val="22"/>
                    <w:szCs w:val="22"/>
                  </w:rPr>
                  <w:t>I</w:t>
                </w:r>
              </w:p>
            </w:tc>
            <w:tc>
              <w:tcPr>
                <w:tcW w:w="1261" w:type="dxa"/>
              </w:tcPr>
              <w:p>
                <w:pPr>
                  <w:jc w:val="center"/>
                  <w:rPr>
                    <w:b/>
                    <w:bCs/>
                    <w:sz w:val="22"/>
                    <w:szCs w:val="22"/>
                  </w:rPr>
                </w:pPr>
                <w:r>
                  <w:rPr>
                    <w:b/>
                    <w:bCs/>
                    <w:sz w:val="22"/>
                    <w:szCs w:val="22"/>
                  </w:rPr>
                  <w:t>II</w:t>
                </w:r>
              </w:p>
            </w:tc>
            <w:tc>
              <w:tcPr>
                <w:tcW w:w="1399" w:type="dxa"/>
              </w:tcPr>
              <w:p>
                <w:pPr>
                  <w:jc w:val="center"/>
                  <w:rPr>
                    <w:b/>
                    <w:bCs/>
                    <w:sz w:val="22"/>
                    <w:szCs w:val="22"/>
                  </w:rPr>
                </w:pPr>
                <w:r>
                  <w:rPr>
                    <w:b/>
                    <w:bCs/>
                    <w:sz w:val="22"/>
                    <w:szCs w:val="22"/>
                  </w:rPr>
                  <w:t>III</w:t>
                </w:r>
              </w:p>
            </w:tc>
            <w:tc>
              <w:tcPr>
                <w:tcW w:w="1298" w:type="dxa"/>
              </w:tcPr>
              <w:p>
                <w:pPr>
                  <w:jc w:val="center"/>
                  <w:rPr>
                    <w:b/>
                    <w:bCs/>
                    <w:sz w:val="22"/>
                    <w:szCs w:val="22"/>
                  </w:rPr>
                </w:pPr>
                <w:r>
                  <w:rPr>
                    <w:b/>
                    <w:bCs/>
                    <w:sz w:val="22"/>
                    <w:szCs w:val="22"/>
                  </w:rPr>
                  <w:t>Kitos</w:t>
                </w:r>
              </w:p>
            </w:tc>
          </w:tr>
          <w:tr>
            <w:trPr>
              <w:jc w:val="center"/>
            </w:trPr>
            <w:tc>
              <w:tcPr>
                <w:tcW w:w="711" w:type="dxa"/>
              </w:tcPr>
              <w:p>
                <w:pPr>
                  <w:rPr>
                    <w:b/>
                    <w:bCs/>
                    <w:sz w:val="22"/>
                    <w:szCs w:val="22"/>
                  </w:rPr>
                </w:pPr>
                <w:r>
                  <w:rPr>
                    <w:b/>
                    <w:bCs/>
                    <w:sz w:val="22"/>
                    <w:szCs w:val="22"/>
                  </w:rPr>
                  <w:t>1.</w:t>
                </w:r>
              </w:p>
            </w:tc>
            <w:tc>
              <w:tcPr>
                <w:tcW w:w="8917" w:type="dxa"/>
                <w:gridSpan w:val="5"/>
              </w:tcPr>
              <w:p>
                <w:pPr>
                  <w:rPr>
                    <w:b/>
                    <w:bCs/>
                    <w:sz w:val="22"/>
                    <w:szCs w:val="22"/>
                    <w:highlight w:val="yellow"/>
                  </w:rPr>
                </w:pPr>
                <w:r>
                  <w:rPr>
                    <w:b/>
                    <w:sz w:val="22"/>
                    <w:szCs w:val="22"/>
                  </w:rPr>
                  <w:t xml:space="preserve">Lietuvos Respublikos olimpinių (paralimpinių) sporto šakų individualios varžybos </w:t>
                </w:r>
              </w:p>
            </w:tc>
          </w:tr>
          <w:tr>
            <w:trPr>
              <w:jc w:val="center"/>
            </w:trPr>
            <w:tc>
              <w:tcPr>
                <w:tcW w:w="711" w:type="dxa"/>
              </w:tcPr>
              <w:p>
                <w:pPr>
                  <w:rPr>
                    <w:sz w:val="22"/>
                    <w:szCs w:val="22"/>
                  </w:rPr>
                </w:pPr>
                <w:r>
                  <w:rPr>
                    <w:sz w:val="22"/>
                    <w:szCs w:val="22"/>
                  </w:rPr>
                  <w:t>1.1.</w:t>
                </w:r>
              </w:p>
            </w:tc>
            <w:tc>
              <w:tcPr>
                <w:tcW w:w="3626" w:type="dxa"/>
              </w:tcPr>
              <w:p>
                <w:pPr>
                  <w:rPr>
                    <w:sz w:val="22"/>
                    <w:szCs w:val="22"/>
                  </w:rPr>
                </w:pPr>
                <w:r>
                  <w:rPr>
                    <w:sz w:val="22"/>
                    <w:szCs w:val="22"/>
                  </w:rPr>
                  <w:t>Jaunimas, suaugusieji, neįgalieji, veteranai</w:t>
                </w:r>
              </w:p>
            </w:tc>
            <w:tc>
              <w:tcPr>
                <w:tcW w:w="1333" w:type="dxa"/>
              </w:tcPr>
              <w:p>
                <w:pPr>
                  <w:jc w:val="center"/>
                  <w:rPr>
                    <w:sz w:val="22"/>
                    <w:szCs w:val="22"/>
                  </w:rPr>
                </w:pPr>
                <w:r>
                  <w:rPr>
                    <w:sz w:val="22"/>
                    <w:szCs w:val="22"/>
                  </w:rPr>
                  <w:t>500</w:t>
                </w:r>
              </w:p>
            </w:tc>
            <w:tc>
              <w:tcPr>
                <w:tcW w:w="1261" w:type="dxa"/>
              </w:tcPr>
              <w:p>
                <w:pPr>
                  <w:jc w:val="center"/>
                  <w:rPr>
                    <w:sz w:val="22"/>
                    <w:szCs w:val="22"/>
                  </w:rPr>
                </w:pPr>
                <w:r>
                  <w:rPr>
                    <w:sz w:val="22"/>
                    <w:szCs w:val="22"/>
                  </w:rPr>
                  <w:t>450</w:t>
                </w:r>
              </w:p>
            </w:tc>
            <w:tc>
              <w:tcPr>
                <w:tcW w:w="1399" w:type="dxa"/>
              </w:tcPr>
              <w:p>
                <w:pPr>
                  <w:jc w:val="center"/>
                  <w:rPr>
                    <w:sz w:val="22"/>
                    <w:szCs w:val="22"/>
                  </w:rPr>
                </w:pPr>
                <w:r>
                  <w:rPr>
                    <w:sz w:val="22"/>
                    <w:szCs w:val="22"/>
                  </w:rPr>
                  <w:t>400</w:t>
                </w:r>
              </w:p>
            </w:tc>
            <w:tc>
              <w:tcPr>
                <w:tcW w:w="1298" w:type="dxa"/>
              </w:tcPr>
              <w:p>
                <w:pPr>
                  <w:jc w:val="center"/>
                  <w:rPr>
                    <w:sz w:val="22"/>
                    <w:szCs w:val="22"/>
                  </w:rPr>
                </w:pPr>
                <w:r>
                  <w:rPr>
                    <w:sz w:val="22"/>
                    <w:szCs w:val="22"/>
                  </w:rPr>
                  <w:t>-</w:t>
                </w:r>
              </w:p>
            </w:tc>
          </w:tr>
          <w:tr>
            <w:trPr>
              <w:trHeight w:val="316"/>
              <w:jc w:val="center"/>
            </w:trPr>
            <w:tc>
              <w:tcPr>
                <w:tcW w:w="711" w:type="dxa"/>
              </w:tcPr>
              <w:p>
                <w:pPr>
                  <w:rPr>
                    <w:sz w:val="22"/>
                    <w:szCs w:val="22"/>
                  </w:rPr>
                </w:pPr>
                <w:r>
                  <w:rPr>
                    <w:sz w:val="22"/>
                    <w:szCs w:val="22"/>
                  </w:rPr>
                  <w:t>1.2.</w:t>
                </w:r>
              </w:p>
            </w:tc>
            <w:tc>
              <w:tcPr>
                <w:tcW w:w="3626" w:type="dxa"/>
              </w:tcPr>
              <w:p>
                <w:pPr>
                  <w:rPr>
                    <w:sz w:val="22"/>
                    <w:szCs w:val="22"/>
                  </w:rPr>
                </w:pPr>
                <w:r>
                  <w:rPr>
                    <w:sz w:val="22"/>
                    <w:szCs w:val="22"/>
                  </w:rPr>
                  <w:t>Jaunučiai, jauniai</w:t>
                </w:r>
              </w:p>
            </w:tc>
            <w:tc>
              <w:tcPr>
                <w:tcW w:w="1333" w:type="dxa"/>
              </w:tcPr>
              <w:p>
                <w:pPr>
                  <w:jc w:val="center"/>
                  <w:rPr>
                    <w:sz w:val="22"/>
                    <w:szCs w:val="22"/>
                  </w:rPr>
                </w:pPr>
                <w:r>
                  <w:rPr>
                    <w:sz w:val="22"/>
                    <w:szCs w:val="22"/>
                  </w:rPr>
                  <w:t>400</w:t>
                </w:r>
              </w:p>
            </w:tc>
            <w:tc>
              <w:tcPr>
                <w:tcW w:w="1261" w:type="dxa"/>
              </w:tcPr>
              <w:p>
                <w:pPr>
                  <w:jc w:val="center"/>
                  <w:rPr>
                    <w:sz w:val="22"/>
                    <w:szCs w:val="22"/>
                  </w:rPr>
                </w:pPr>
                <w:r>
                  <w:rPr>
                    <w:sz w:val="22"/>
                    <w:szCs w:val="22"/>
                  </w:rPr>
                  <w:t>350</w:t>
                </w:r>
              </w:p>
            </w:tc>
            <w:tc>
              <w:tcPr>
                <w:tcW w:w="1399" w:type="dxa"/>
              </w:tcPr>
              <w:p>
                <w:pPr>
                  <w:jc w:val="center"/>
                  <w:rPr>
                    <w:sz w:val="22"/>
                    <w:szCs w:val="22"/>
                  </w:rPr>
                </w:pPr>
                <w:r>
                  <w:rPr>
                    <w:sz w:val="22"/>
                    <w:szCs w:val="22"/>
                  </w:rPr>
                  <w:t>300</w:t>
                </w:r>
              </w:p>
            </w:tc>
            <w:tc>
              <w:tcPr>
                <w:tcW w:w="1298" w:type="dxa"/>
              </w:tcPr>
              <w:p>
                <w:pPr>
                  <w:jc w:val="center"/>
                  <w:rPr>
                    <w:sz w:val="22"/>
                    <w:szCs w:val="22"/>
                  </w:rPr>
                </w:pPr>
                <w:r>
                  <w:rPr>
                    <w:sz w:val="22"/>
                    <w:szCs w:val="22"/>
                  </w:rPr>
                  <w:t>-</w:t>
                </w:r>
              </w:p>
            </w:tc>
          </w:tr>
          <w:tr>
            <w:trPr>
              <w:jc w:val="center"/>
            </w:trPr>
            <w:tc>
              <w:tcPr>
                <w:tcW w:w="711" w:type="dxa"/>
              </w:tcPr>
              <w:p>
                <w:pPr>
                  <w:rPr>
                    <w:b/>
                    <w:bCs/>
                    <w:sz w:val="22"/>
                    <w:szCs w:val="22"/>
                  </w:rPr>
                </w:pPr>
                <w:r>
                  <w:rPr>
                    <w:b/>
                    <w:bCs/>
                    <w:sz w:val="22"/>
                    <w:szCs w:val="22"/>
                  </w:rPr>
                  <w:t>2.</w:t>
                </w:r>
              </w:p>
            </w:tc>
            <w:tc>
              <w:tcPr>
                <w:tcW w:w="8917" w:type="dxa"/>
                <w:gridSpan w:val="5"/>
              </w:tcPr>
              <w:p>
                <w:pPr>
                  <w:rPr>
                    <w:b/>
                    <w:bCs/>
                    <w:sz w:val="22"/>
                    <w:szCs w:val="22"/>
                  </w:rPr>
                </w:pPr>
                <w:r>
                  <w:rPr>
                    <w:b/>
                    <w:sz w:val="22"/>
                    <w:szCs w:val="22"/>
                  </w:rPr>
                  <w:t>Lietuvos Respublikos olimpinių (paralimpinių) sporto šakų komandinės varžybos</w:t>
                </w:r>
              </w:p>
            </w:tc>
          </w:tr>
          <w:tr>
            <w:trPr>
              <w:jc w:val="center"/>
            </w:trPr>
            <w:tc>
              <w:tcPr>
                <w:tcW w:w="711" w:type="dxa"/>
              </w:tcPr>
              <w:p>
                <w:pPr>
                  <w:rPr>
                    <w:sz w:val="22"/>
                    <w:szCs w:val="22"/>
                  </w:rPr>
                </w:pPr>
                <w:r>
                  <w:rPr>
                    <w:sz w:val="22"/>
                    <w:szCs w:val="22"/>
                  </w:rPr>
                  <w:t>2.1.</w:t>
                </w:r>
              </w:p>
            </w:tc>
            <w:tc>
              <w:tcPr>
                <w:tcW w:w="3626" w:type="dxa"/>
              </w:tcPr>
              <w:p>
                <w:pPr>
                  <w:rPr>
                    <w:sz w:val="22"/>
                    <w:szCs w:val="22"/>
                  </w:rPr>
                </w:pPr>
                <w:r>
                  <w:rPr>
                    <w:sz w:val="22"/>
                    <w:szCs w:val="22"/>
                  </w:rPr>
                  <w:t>Regionų krepšinio lyga A divizionas</w:t>
                </w:r>
              </w:p>
            </w:tc>
            <w:tc>
              <w:tcPr>
                <w:tcW w:w="1333" w:type="dxa"/>
              </w:tcPr>
              <w:p>
                <w:pPr>
                  <w:jc w:val="center"/>
                  <w:rPr>
                    <w:sz w:val="22"/>
                    <w:szCs w:val="22"/>
                  </w:rPr>
                </w:pPr>
                <w:r>
                  <w:rPr>
                    <w:sz w:val="22"/>
                    <w:szCs w:val="22"/>
                  </w:rPr>
                  <w:t xml:space="preserve">4 000 </w:t>
                </w:r>
              </w:p>
            </w:tc>
            <w:tc>
              <w:tcPr>
                <w:tcW w:w="1261" w:type="dxa"/>
              </w:tcPr>
              <w:p>
                <w:pPr>
                  <w:jc w:val="center"/>
                  <w:rPr>
                    <w:sz w:val="22"/>
                    <w:szCs w:val="22"/>
                  </w:rPr>
                </w:pPr>
                <w:r>
                  <w:rPr>
                    <w:sz w:val="22"/>
                    <w:szCs w:val="22"/>
                  </w:rPr>
                  <w:t>3 500</w:t>
                </w:r>
              </w:p>
            </w:tc>
            <w:tc>
              <w:tcPr>
                <w:tcW w:w="1399" w:type="dxa"/>
              </w:tcPr>
              <w:p>
                <w:pPr>
                  <w:jc w:val="center"/>
                  <w:rPr>
                    <w:sz w:val="22"/>
                    <w:szCs w:val="22"/>
                  </w:rPr>
                </w:pPr>
                <w:r>
                  <w:rPr>
                    <w:sz w:val="22"/>
                    <w:szCs w:val="22"/>
                  </w:rPr>
                  <w:t>3 000</w:t>
                </w:r>
              </w:p>
            </w:tc>
            <w:tc>
              <w:tcPr>
                <w:tcW w:w="1298" w:type="dxa"/>
              </w:tcPr>
              <w:p>
                <w:pPr>
                  <w:jc w:val="center"/>
                  <w:rPr>
                    <w:sz w:val="22"/>
                    <w:szCs w:val="22"/>
                  </w:rPr>
                </w:pPr>
                <w:r>
                  <w:rPr>
                    <w:sz w:val="22"/>
                    <w:szCs w:val="22"/>
                  </w:rPr>
                  <w:t>2 700</w:t>
                </w:r>
              </w:p>
            </w:tc>
          </w:tr>
          <w:tr>
            <w:trPr>
              <w:jc w:val="center"/>
            </w:trPr>
            <w:tc>
              <w:tcPr>
                <w:tcW w:w="711" w:type="dxa"/>
              </w:tcPr>
              <w:p>
                <w:pPr>
                  <w:rPr>
                    <w:sz w:val="22"/>
                    <w:szCs w:val="22"/>
                  </w:rPr>
                </w:pPr>
                <w:r>
                  <w:rPr>
                    <w:sz w:val="22"/>
                    <w:szCs w:val="22"/>
                  </w:rPr>
                  <w:t>2.2.</w:t>
                </w:r>
              </w:p>
            </w:tc>
            <w:tc>
              <w:tcPr>
                <w:tcW w:w="3626" w:type="dxa"/>
              </w:tcPr>
              <w:p>
                <w:pPr>
                  <w:rPr>
                    <w:sz w:val="22"/>
                    <w:szCs w:val="22"/>
                  </w:rPr>
                </w:pPr>
                <w:r>
                  <w:rPr>
                    <w:sz w:val="22"/>
                    <w:szCs w:val="22"/>
                  </w:rPr>
                  <w:t>Regionų krepšinio lyga B divizionas</w:t>
                </w:r>
              </w:p>
            </w:tc>
            <w:tc>
              <w:tcPr>
                <w:tcW w:w="1333" w:type="dxa"/>
              </w:tcPr>
              <w:p>
                <w:pPr>
                  <w:jc w:val="center"/>
                  <w:rPr>
                    <w:sz w:val="22"/>
                    <w:szCs w:val="22"/>
                  </w:rPr>
                </w:pPr>
                <w:r>
                  <w:rPr>
                    <w:sz w:val="22"/>
                    <w:szCs w:val="22"/>
                  </w:rPr>
                  <w:t>2 500</w:t>
                </w:r>
              </w:p>
            </w:tc>
            <w:tc>
              <w:tcPr>
                <w:tcW w:w="1261" w:type="dxa"/>
              </w:tcPr>
              <w:p>
                <w:pPr>
                  <w:jc w:val="center"/>
                  <w:rPr>
                    <w:sz w:val="22"/>
                    <w:szCs w:val="22"/>
                  </w:rPr>
                </w:pPr>
                <w:r>
                  <w:rPr>
                    <w:sz w:val="22"/>
                    <w:szCs w:val="22"/>
                  </w:rPr>
                  <w:t>2 300</w:t>
                </w:r>
              </w:p>
            </w:tc>
            <w:tc>
              <w:tcPr>
                <w:tcW w:w="1399" w:type="dxa"/>
              </w:tcPr>
              <w:p>
                <w:pPr>
                  <w:jc w:val="center"/>
                  <w:rPr>
                    <w:sz w:val="22"/>
                    <w:szCs w:val="22"/>
                  </w:rPr>
                </w:pPr>
                <w:r>
                  <w:rPr>
                    <w:sz w:val="22"/>
                    <w:szCs w:val="22"/>
                  </w:rPr>
                  <w:t>2 000</w:t>
                </w:r>
              </w:p>
            </w:tc>
            <w:tc>
              <w:tcPr>
                <w:tcW w:w="1298" w:type="dxa"/>
              </w:tcPr>
              <w:p>
                <w:pPr>
                  <w:jc w:val="center"/>
                  <w:rPr>
                    <w:sz w:val="22"/>
                    <w:szCs w:val="22"/>
                  </w:rPr>
                </w:pPr>
              </w:p>
            </w:tc>
          </w:tr>
          <w:tr>
            <w:trPr>
              <w:jc w:val="center"/>
            </w:trPr>
            <w:tc>
              <w:tcPr>
                <w:tcW w:w="711" w:type="dxa"/>
              </w:tcPr>
              <w:p>
                <w:pPr>
                  <w:rPr>
                    <w:sz w:val="22"/>
                    <w:szCs w:val="22"/>
                  </w:rPr>
                </w:pPr>
                <w:r>
                  <w:rPr>
                    <w:sz w:val="22"/>
                    <w:szCs w:val="22"/>
                  </w:rPr>
                  <w:t>2.3.</w:t>
                </w:r>
              </w:p>
            </w:tc>
            <w:tc>
              <w:tcPr>
                <w:tcW w:w="3626" w:type="dxa"/>
              </w:tcPr>
              <w:p>
                <w:pPr>
                  <w:rPr>
                    <w:sz w:val="22"/>
                    <w:szCs w:val="22"/>
                  </w:rPr>
                </w:pPr>
                <w:r>
                  <w:rPr>
                    <w:sz w:val="22"/>
                    <w:szCs w:val="22"/>
                  </w:rPr>
                  <w:t>Lietuvos moksleivių krepšinio lyga</w:t>
                </w:r>
              </w:p>
            </w:tc>
            <w:tc>
              <w:tcPr>
                <w:tcW w:w="1333" w:type="dxa"/>
              </w:tcPr>
              <w:p>
                <w:pPr>
                  <w:jc w:val="center"/>
                  <w:rPr>
                    <w:sz w:val="22"/>
                    <w:szCs w:val="22"/>
                  </w:rPr>
                </w:pPr>
                <w:r>
                  <w:rPr>
                    <w:sz w:val="22"/>
                    <w:szCs w:val="22"/>
                  </w:rPr>
                  <w:t>2 000</w:t>
                </w:r>
              </w:p>
            </w:tc>
            <w:tc>
              <w:tcPr>
                <w:tcW w:w="1261" w:type="dxa"/>
              </w:tcPr>
              <w:p>
                <w:pPr>
                  <w:jc w:val="center"/>
                  <w:rPr>
                    <w:sz w:val="22"/>
                    <w:szCs w:val="22"/>
                  </w:rPr>
                </w:pPr>
                <w:r>
                  <w:rPr>
                    <w:sz w:val="22"/>
                    <w:szCs w:val="22"/>
                  </w:rPr>
                  <w:t>1 500</w:t>
                </w:r>
              </w:p>
            </w:tc>
            <w:tc>
              <w:tcPr>
                <w:tcW w:w="1399" w:type="dxa"/>
              </w:tcPr>
              <w:p>
                <w:pPr>
                  <w:jc w:val="center"/>
                  <w:rPr>
                    <w:sz w:val="22"/>
                    <w:szCs w:val="22"/>
                  </w:rPr>
                </w:pPr>
                <w:r>
                  <w:rPr>
                    <w:sz w:val="22"/>
                    <w:szCs w:val="22"/>
                  </w:rPr>
                  <w:t>1 000</w:t>
                </w:r>
              </w:p>
            </w:tc>
            <w:tc>
              <w:tcPr>
                <w:tcW w:w="1298" w:type="dxa"/>
              </w:tcPr>
              <w:p>
                <w:pPr>
                  <w:jc w:val="center"/>
                  <w:rPr>
                    <w:sz w:val="22"/>
                    <w:szCs w:val="22"/>
                  </w:rPr>
                </w:pPr>
              </w:p>
            </w:tc>
          </w:tr>
          <w:tr>
            <w:trPr>
              <w:jc w:val="center"/>
            </w:trPr>
            <w:tc>
              <w:tcPr>
                <w:tcW w:w="711" w:type="dxa"/>
              </w:tcPr>
              <w:p>
                <w:pPr>
                  <w:rPr>
                    <w:sz w:val="22"/>
                    <w:szCs w:val="22"/>
                  </w:rPr>
                </w:pPr>
                <w:r>
                  <w:rPr>
                    <w:sz w:val="22"/>
                    <w:szCs w:val="22"/>
                  </w:rPr>
                  <w:t>2.4.</w:t>
                </w:r>
              </w:p>
            </w:tc>
            <w:tc>
              <w:tcPr>
                <w:tcW w:w="3626" w:type="dxa"/>
              </w:tcPr>
              <w:p>
                <w:pPr>
                  <w:rPr>
                    <w:sz w:val="22"/>
                    <w:szCs w:val="22"/>
                  </w:rPr>
                </w:pPr>
                <w:r>
                  <w:rPr>
                    <w:sz w:val="22"/>
                    <w:szCs w:val="22"/>
                  </w:rPr>
                  <w:t>Lietuvos krepšinio veteranų lyga</w:t>
                </w:r>
              </w:p>
            </w:tc>
            <w:tc>
              <w:tcPr>
                <w:tcW w:w="1333" w:type="dxa"/>
              </w:tcPr>
              <w:p>
                <w:pPr>
                  <w:jc w:val="center"/>
                  <w:rPr>
                    <w:sz w:val="22"/>
                    <w:szCs w:val="22"/>
                  </w:rPr>
                </w:pPr>
                <w:r>
                  <w:rPr>
                    <w:sz w:val="22"/>
                    <w:szCs w:val="22"/>
                  </w:rPr>
                  <w:t>1 000</w:t>
                </w:r>
              </w:p>
            </w:tc>
            <w:tc>
              <w:tcPr>
                <w:tcW w:w="1261" w:type="dxa"/>
              </w:tcPr>
              <w:p>
                <w:pPr>
                  <w:jc w:val="center"/>
                  <w:rPr>
                    <w:sz w:val="22"/>
                    <w:szCs w:val="22"/>
                  </w:rPr>
                </w:pPr>
                <w:r>
                  <w:rPr>
                    <w:sz w:val="22"/>
                    <w:szCs w:val="22"/>
                  </w:rPr>
                  <w:t>750</w:t>
                </w:r>
              </w:p>
            </w:tc>
            <w:tc>
              <w:tcPr>
                <w:tcW w:w="1399" w:type="dxa"/>
              </w:tcPr>
              <w:p>
                <w:pPr>
                  <w:jc w:val="center"/>
                  <w:rPr>
                    <w:sz w:val="22"/>
                    <w:szCs w:val="22"/>
                  </w:rPr>
                </w:pPr>
                <w:r>
                  <w:rPr>
                    <w:sz w:val="22"/>
                    <w:szCs w:val="22"/>
                  </w:rPr>
                  <w:t>500</w:t>
                </w:r>
              </w:p>
            </w:tc>
            <w:tc>
              <w:tcPr>
                <w:tcW w:w="1298" w:type="dxa"/>
              </w:tcPr>
              <w:p>
                <w:pPr>
                  <w:jc w:val="center"/>
                  <w:rPr>
                    <w:sz w:val="22"/>
                    <w:szCs w:val="22"/>
                  </w:rPr>
                </w:pPr>
              </w:p>
            </w:tc>
          </w:tr>
          <w:tr>
            <w:trPr>
              <w:jc w:val="center"/>
            </w:trPr>
            <w:tc>
              <w:tcPr>
                <w:tcW w:w="711" w:type="dxa"/>
              </w:tcPr>
              <w:p>
                <w:pPr>
                  <w:rPr>
                    <w:sz w:val="22"/>
                    <w:szCs w:val="22"/>
                  </w:rPr>
                </w:pPr>
                <w:r>
                  <w:rPr>
                    <w:sz w:val="22"/>
                    <w:szCs w:val="22"/>
                  </w:rPr>
                  <w:t>2.5.</w:t>
                </w:r>
              </w:p>
            </w:tc>
            <w:tc>
              <w:tcPr>
                <w:tcW w:w="3626" w:type="dxa"/>
              </w:tcPr>
              <w:p>
                <w:pPr>
                  <w:rPr>
                    <w:sz w:val="22"/>
                    <w:szCs w:val="22"/>
                  </w:rPr>
                </w:pPr>
                <w:r>
                  <w:rPr>
                    <w:sz w:val="22"/>
                    <w:szCs w:val="22"/>
                  </w:rPr>
                  <w:t>Futbolo federacijos I lyga</w:t>
                </w:r>
              </w:p>
            </w:tc>
            <w:tc>
              <w:tcPr>
                <w:tcW w:w="1333" w:type="dxa"/>
              </w:tcPr>
              <w:p>
                <w:pPr>
                  <w:jc w:val="center"/>
                  <w:rPr>
                    <w:sz w:val="22"/>
                    <w:szCs w:val="22"/>
                  </w:rPr>
                </w:pPr>
                <w:r>
                  <w:rPr>
                    <w:sz w:val="22"/>
                    <w:szCs w:val="22"/>
                  </w:rPr>
                  <w:t>4 000</w:t>
                </w:r>
              </w:p>
            </w:tc>
            <w:tc>
              <w:tcPr>
                <w:tcW w:w="1261" w:type="dxa"/>
              </w:tcPr>
              <w:p>
                <w:pPr>
                  <w:jc w:val="center"/>
                  <w:rPr>
                    <w:sz w:val="22"/>
                    <w:szCs w:val="22"/>
                  </w:rPr>
                </w:pPr>
                <w:r>
                  <w:rPr>
                    <w:sz w:val="22"/>
                    <w:szCs w:val="22"/>
                  </w:rPr>
                  <w:t>3 500</w:t>
                </w:r>
              </w:p>
            </w:tc>
            <w:tc>
              <w:tcPr>
                <w:tcW w:w="1399" w:type="dxa"/>
              </w:tcPr>
              <w:p>
                <w:pPr>
                  <w:jc w:val="center"/>
                  <w:rPr>
                    <w:sz w:val="22"/>
                    <w:szCs w:val="22"/>
                  </w:rPr>
                </w:pPr>
                <w:r>
                  <w:rPr>
                    <w:sz w:val="22"/>
                    <w:szCs w:val="22"/>
                  </w:rPr>
                  <w:t>3 000</w:t>
                </w:r>
              </w:p>
            </w:tc>
            <w:tc>
              <w:tcPr>
                <w:tcW w:w="1298" w:type="dxa"/>
              </w:tcPr>
              <w:p>
                <w:pPr>
                  <w:jc w:val="center"/>
                  <w:rPr>
                    <w:sz w:val="22"/>
                    <w:szCs w:val="22"/>
                  </w:rPr>
                </w:pPr>
                <w:r>
                  <w:rPr>
                    <w:sz w:val="22"/>
                    <w:szCs w:val="22"/>
                  </w:rPr>
                  <w:t>2 700</w:t>
                </w:r>
              </w:p>
            </w:tc>
          </w:tr>
          <w:tr>
            <w:trPr>
              <w:jc w:val="center"/>
            </w:trPr>
            <w:tc>
              <w:tcPr>
                <w:tcW w:w="711" w:type="dxa"/>
              </w:tcPr>
              <w:p>
                <w:pPr>
                  <w:rPr>
                    <w:sz w:val="22"/>
                    <w:szCs w:val="22"/>
                  </w:rPr>
                </w:pPr>
                <w:r>
                  <w:rPr>
                    <w:sz w:val="22"/>
                    <w:szCs w:val="22"/>
                  </w:rPr>
                  <w:t>2.6.</w:t>
                </w:r>
              </w:p>
            </w:tc>
            <w:tc>
              <w:tcPr>
                <w:tcW w:w="3626" w:type="dxa"/>
              </w:tcPr>
              <w:p>
                <w:pPr>
                  <w:rPr>
                    <w:sz w:val="22"/>
                    <w:szCs w:val="22"/>
                  </w:rPr>
                </w:pPr>
                <w:r>
                  <w:rPr>
                    <w:sz w:val="22"/>
                    <w:szCs w:val="22"/>
                  </w:rPr>
                  <w:t>Futbolo federacijos II lyga</w:t>
                </w:r>
              </w:p>
            </w:tc>
            <w:tc>
              <w:tcPr>
                <w:tcW w:w="1333" w:type="dxa"/>
              </w:tcPr>
              <w:p>
                <w:pPr>
                  <w:jc w:val="center"/>
                  <w:rPr>
                    <w:sz w:val="22"/>
                    <w:szCs w:val="22"/>
                  </w:rPr>
                </w:pPr>
                <w:r>
                  <w:rPr>
                    <w:sz w:val="22"/>
                    <w:szCs w:val="22"/>
                  </w:rPr>
                  <w:t>2 500</w:t>
                </w:r>
              </w:p>
            </w:tc>
            <w:tc>
              <w:tcPr>
                <w:tcW w:w="1261" w:type="dxa"/>
              </w:tcPr>
              <w:p>
                <w:pPr>
                  <w:jc w:val="center"/>
                  <w:rPr>
                    <w:sz w:val="22"/>
                    <w:szCs w:val="22"/>
                  </w:rPr>
                </w:pPr>
                <w:r>
                  <w:rPr>
                    <w:sz w:val="22"/>
                    <w:szCs w:val="22"/>
                  </w:rPr>
                  <w:t>2 300</w:t>
                </w:r>
              </w:p>
            </w:tc>
            <w:tc>
              <w:tcPr>
                <w:tcW w:w="1399" w:type="dxa"/>
              </w:tcPr>
              <w:p>
                <w:pPr>
                  <w:jc w:val="center"/>
                  <w:rPr>
                    <w:sz w:val="22"/>
                    <w:szCs w:val="22"/>
                  </w:rPr>
                </w:pPr>
                <w:r>
                  <w:rPr>
                    <w:sz w:val="22"/>
                    <w:szCs w:val="22"/>
                  </w:rPr>
                  <w:t>2 000</w:t>
                </w:r>
              </w:p>
            </w:tc>
            <w:tc>
              <w:tcPr>
                <w:tcW w:w="1298" w:type="dxa"/>
              </w:tcPr>
              <w:p>
                <w:pPr>
                  <w:jc w:val="center"/>
                  <w:rPr>
                    <w:sz w:val="22"/>
                    <w:szCs w:val="22"/>
                  </w:rPr>
                </w:pPr>
                <w:r>
                  <w:rPr>
                    <w:sz w:val="22"/>
                    <w:szCs w:val="22"/>
                  </w:rPr>
                  <w:t>1 700</w:t>
                </w:r>
              </w:p>
            </w:tc>
          </w:tr>
          <w:tr>
            <w:trPr>
              <w:jc w:val="center"/>
            </w:trPr>
            <w:tc>
              <w:tcPr>
                <w:tcW w:w="711" w:type="dxa"/>
              </w:tcPr>
              <w:p>
                <w:pPr>
                  <w:rPr>
                    <w:sz w:val="22"/>
                    <w:szCs w:val="22"/>
                  </w:rPr>
                </w:pPr>
                <w:r>
                  <w:rPr>
                    <w:sz w:val="22"/>
                    <w:szCs w:val="22"/>
                  </w:rPr>
                  <w:t>2.7.</w:t>
                </w:r>
              </w:p>
            </w:tc>
            <w:tc>
              <w:tcPr>
                <w:tcW w:w="3626" w:type="dxa"/>
              </w:tcPr>
              <w:p>
                <w:pPr>
                  <w:rPr>
                    <w:sz w:val="22"/>
                    <w:szCs w:val="22"/>
                  </w:rPr>
                </w:pPr>
                <w:r>
                  <w:rPr>
                    <w:sz w:val="22"/>
                    <w:szCs w:val="22"/>
                  </w:rPr>
                  <w:t>Futbolo federacijos III lyga</w:t>
                </w:r>
              </w:p>
            </w:tc>
            <w:tc>
              <w:tcPr>
                <w:tcW w:w="1333" w:type="dxa"/>
              </w:tcPr>
              <w:p>
                <w:pPr>
                  <w:jc w:val="center"/>
                  <w:rPr>
                    <w:sz w:val="22"/>
                    <w:szCs w:val="22"/>
                  </w:rPr>
                </w:pPr>
                <w:r>
                  <w:rPr>
                    <w:sz w:val="22"/>
                    <w:szCs w:val="22"/>
                  </w:rPr>
                  <w:t>1 500</w:t>
                </w:r>
              </w:p>
            </w:tc>
            <w:tc>
              <w:tcPr>
                <w:tcW w:w="1261" w:type="dxa"/>
              </w:tcPr>
              <w:p>
                <w:pPr>
                  <w:jc w:val="center"/>
                  <w:rPr>
                    <w:sz w:val="22"/>
                    <w:szCs w:val="22"/>
                  </w:rPr>
                </w:pPr>
                <w:r>
                  <w:rPr>
                    <w:sz w:val="22"/>
                    <w:szCs w:val="22"/>
                  </w:rPr>
                  <w:t>1 200</w:t>
                </w:r>
              </w:p>
            </w:tc>
            <w:tc>
              <w:tcPr>
                <w:tcW w:w="1399" w:type="dxa"/>
              </w:tcPr>
              <w:p>
                <w:pPr>
                  <w:jc w:val="center"/>
                  <w:rPr>
                    <w:sz w:val="22"/>
                    <w:szCs w:val="22"/>
                  </w:rPr>
                </w:pPr>
                <w:r>
                  <w:rPr>
                    <w:sz w:val="22"/>
                    <w:szCs w:val="22"/>
                  </w:rPr>
                  <w:t>1 000</w:t>
                </w:r>
              </w:p>
            </w:tc>
            <w:tc>
              <w:tcPr>
                <w:tcW w:w="1298" w:type="dxa"/>
              </w:tcPr>
              <w:p>
                <w:pPr>
                  <w:jc w:val="center"/>
                  <w:rPr>
                    <w:sz w:val="22"/>
                    <w:szCs w:val="22"/>
                  </w:rPr>
                </w:pPr>
              </w:p>
            </w:tc>
          </w:tr>
          <w:tr>
            <w:trPr>
              <w:jc w:val="center"/>
            </w:trPr>
            <w:tc>
              <w:tcPr>
                <w:tcW w:w="711" w:type="dxa"/>
              </w:tcPr>
              <w:p>
                <w:pPr>
                  <w:rPr>
                    <w:sz w:val="22"/>
                    <w:szCs w:val="22"/>
                  </w:rPr>
                </w:pPr>
                <w:r>
                  <w:rPr>
                    <w:sz w:val="22"/>
                    <w:szCs w:val="22"/>
                  </w:rPr>
                  <w:t>2.8.</w:t>
                </w:r>
              </w:p>
            </w:tc>
            <w:tc>
              <w:tcPr>
                <w:tcW w:w="3626" w:type="dxa"/>
              </w:tcPr>
              <w:p>
                <w:pPr>
                  <w:rPr>
                    <w:sz w:val="22"/>
                    <w:szCs w:val="22"/>
                  </w:rPr>
                </w:pPr>
                <w:r>
                  <w:rPr>
                    <w:sz w:val="22"/>
                    <w:szCs w:val="22"/>
                  </w:rPr>
                  <w:t>Futbolas. Jaunimas. I lyga</w:t>
                </w:r>
              </w:p>
            </w:tc>
            <w:tc>
              <w:tcPr>
                <w:tcW w:w="1333" w:type="dxa"/>
              </w:tcPr>
              <w:p>
                <w:pPr>
                  <w:jc w:val="center"/>
                  <w:rPr>
                    <w:sz w:val="22"/>
                    <w:szCs w:val="22"/>
                  </w:rPr>
                </w:pPr>
                <w:r>
                  <w:rPr>
                    <w:sz w:val="22"/>
                    <w:szCs w:val="22"/>
                  </w:rPr>
                  <w:t>2 000</w:t>
                </w:r>
              </w:p>
            </w:tc>
            <w:tc>
              <w:tcPr>
                <w:tcW w:w="1261" w:type="dxa"/>
              </w:tcPr>
              <w:p>
                <w:pPr>
                  <w:jc w:val="center"/>
                  <w:rPr>
                    <w:sz w:val="22"/>
                    <w:szCs w:val="22"/>
                  </w:rPr>
                </w:pPr>
                <w:r>
                  <w:rPr>
                    <w:sz w:val="22"/>
                    <w:szCs w:val="22"/>
                  </w:rPr>
                  <w:t>1 750</w:t>
                </w:r>
              </w:p>
            </w:tc>
            <w:tc>
              <w:tcPr>
                <w:tcW w:w="1399" w:type="dxa"/>
              </w:tcPr>
              <w:p>
                <w:pPr>
                  <w:jc w:val="center"/>
                  <w:rPr>
                    <w:sz w:val="22"/>
                    <w:szCs w:val="22"/>
                  </w:rPr>
                </w:pPr>
                <w:r>
                  <w:rPr>
                    <w:sz w:val="22"/>
                    <w:szCs w:val="22"/>
                  </w:rPr>
                  <w:t>1 500</w:t>
                </w:r>
              </w:p>
            </w:tc>
            <w:tc>
              <w:tcPr>
                <w:tcW w:w="1298" w:type="dxa"/>
              </w:tcPr>
              <w:p>
                <w:pPr>
                  <w:jc w:val="center"/>
                  <w:rPr>
                    <w:sz w:val="22"/>
                    <w:szCs w:val="22"/>
                  </w:rPr>
                </w:pPr>
                <w:r>
                  <w:rPr>
                    <w:sz w:val="22"/>
                    <w:szCs w:val="22"/>
                  </w:rPr>
                  <w:t>1 250</w:t>
                </w:r>
              </w:p>
            </w:tc>
          </w:tr>
          <w:tr>
            <w:trPr>
              <w:jc w:val="center"/>
            </w:trPr>
            <w:tc>
              <w:tcPr>
                <w:tcW w:w="711" w:type="dxa"/>
              </w:tcPr>
              <w:p>
                <w:pPr>
                  <w:rPr>
                    <w:sz w:val="22"/>
                    <w:szCs w:val="22"/>
                  </w:rPr>
                </w:pPr>
                <w:r>
                  <w:rPr>
                    <w:sz w:val="22"/>
                    <w:szCs w:val="22"/>
                  </w:rPr>
                  <w:t>2.9.</w:t>
                </w:r>
              </w:p>
            </w:tc>
            <w:tc>
              <w:tcPr>
                <w:tcW w:w="3626" w:type="dxa"/>
              </w:tcPr>
              <w:p>
                <w:pPr>
                  <w:rPr>
                    <w:sz w:val="22"/>
                    <w:szCs w:val="22"/>
                  </w:rPr>
                </w:pPr>
                <w:r>
                  <w:rPr>
                    <w:sz w:val="22"/>
                    <w:szCs w:val="22"/>
                  </w:rPr>
                  <w:t>Futbolas. Jaunimas. II lyga</w:t>
                </w:r>
              </w:p>
            </w:tc>
            <w:tc>
              <w:tcPr>
                <w:tcW w:w="1333" w:type="dxa"/>
              </w:tcPr>
              <w:p>
                <w:pPr>
                  <w:jc w:val="center"/>
                  <w:rPr>
                    <w:sz w:val="22"/>
                    <w:szCs w:val="22"/>
                  </w:rPr>
                </w:pPr>
                <w:r>
                  <w:rPr>
                    <w:sz w:val="22"/>
                    <w:szCs w:val="22"/>
                  </w:rPr>
                  <w:t>1 000</w:t>
                </w:r>
              </w:p>
            </w:tc>
            <w:tc>
              <w:tcPr>
                <w:tcW w:w="1261" w:type="dxa"/>
              </w:tcPr>
              <w:p>
                <w:pPr>
                  <w:jc w:val="center"/>
                  <w:rPr>
                    <w:sz w:val="22"/>
                    <w:szCs w:val="22"/>
                  </w:rPr>
                </w:pPr>
                <w:r>
                  <w:rPr>
                    <w:sz w:val="22"/>
                    <w:szCs w:val="22"/>
                  </w:rPr>
                  <w:t>800</w:t>
                </w:r>
              </w:p>
            </w:tc>
            <w:tc>
              <w:tcPr>
                <w:tcW w:w="1399" w:type="dxa"/>
              </w:tcPr>
              <w:p>
                <w:pPr>
                  <w:jc w:val="center"/>
                  <w:rPr>
                    <w:sz w:val="22"/>
                    <w:szCs w:val="22"/>
                  </w:rPr>
                </w:pPr>
                <w:r>
                  <w:rPr>
                    <w:sz w:val="22"/>
                    <w:szCs w:val="22"/>
                  </w:rPr>
                  <w:t>600</w:t>
                </w:r>
              </w:p>
            </w:tc>
            <w:tc>
              <w:tcPr>
                <w:tcW w:w="1298" w:type="dxa"/>
              </w:tcPr>
              <w:p>
                <w:pPr>
                  <w:jc w:val="center"/>
                  <w:rPr>
                    <w:sz w:val="22"/>
                    <w:szCs w:val="22"/>
                  </w:rPr>
                </w:pPr>
              </w:p>
            </w:tc>
          </w:tr>
          <w:tr>
            <w:trPr>
              <w:jc w:val="center"/>
            </w:trPr>
            <w:tc>
              <w:tcPr>
                <w:tcW w:w="711" w:type="dxa"/>
              </w:tcPr>
              <w:p>
                <w:pPr>
                  <w:rPr>
                    <w:sz w:val="22"/>
                    <w:szCs w:val="22"/>
                  </w:rPr>
                </w:pPr>
                <w:r>
                  <w:rPr>
                    <w:sz w:val="22"/>
                    <w:szCs w:val="22"/>
                  </w:rPr>
                  <w:t>2.10.</w:t>
                </w:r>
              </w:p>
            </w:tc>
            <w:tc>
              <w:tcPr>
                <w:tcW w:w="3626" w:type="dxa"/>
              </w:tcPr>
              <w:p>
                <w:pPr>
                  <w:rPr>
                    <w:sz w:val="22"/>
                    <w:szCs w:val="22"/>
                  </w:rPr>
                </w:pPr>
                <w:r>
                  <w:rPr>
                    <w:sz w:val="22"/>
                    <w:szCs w:val="22"/>
                  </w:rPr>
                  <w:t>Kitos sporto šakos (jaunučiai, jauniai, jaunimas, suaugusieji, neįgalieji, veteranai)</w:t>
                </w:r>
              </w:p>
            </w:tc>
            <w:tc>
              <w:tcPr>
                <w:tcW w:w="1333" w:type="dxa"/>
              </w:tcPr>
              <w:p>
                <w:pPr>
                  <w:jc w:val="center"/>
                  <w:rPr>
                    <w:sz w:val="22"/>
                    <w:szCs w:val="22"/>
                  </w:rPr>
                </w:pPr>
                <w:r>
                  <w:rPr>
                    <w:sz w:val="22"/>
                    <w:szCs w:val="22"/>
                  </w:rPr>
                  <w:t>800</w:t>
                </w:r>
              </w:p>
            </w:tc>
            <w:tc>
              <w:tcPr>
                <w:tcW w:w="1261" w:type="dxa"/>
              </w:tcPr>
              <w:p>
                <w:pPr>
                  <w:jc w:val="center"/>
                  <w:rPr>
                    <w:sz w:val="22"/>
                    <w:szCs w:val="22"/>
                  </w:rPr>
                </w:pPr>
                <w:r>
                  <w:rPr>
                    <w:sz w:val="22"/>
                    <w:szCs w:val="22"/>
                  </w:rPr>
                  <w:t>600</w:t>
                </w:r>
              </w:p>
            </w:tc>
            <w:tc>
              <w:tcPr>
                <w:tcW w:w="1399" w:type="dxa"/>
              </w:tcPr>
              <w:p>
                <w:pPr>
                  <w:jc w:val="center"/>
                  <w:rPr>
                    <w:sz w:val="22"/>
                    <w:szCs w:val="22"/>
                  </w:rPr>
                </w:pPr>
                <w:r>
                  <w:rPr>
                    <w:sz w:val="22"/>
                    <w:szCs w:val="22"/>
                  </w:rPr>
                  <w:t>400</w:t>
                </w:r>
              </w:p>
            </w:tc>
            <w:tc>
              <w:tcPr>
                <w:tcW w:w="1298" w:type="dxa"/>
              </w:tcPr>
              <w:p>
                <w:pPr>
                  <w:jc w:val="center"/>
                  <w:rPr>
                    <w:sz w:val="22"/>
                    <w:szCs w:val="22"/>
                  </w:rPr>
                </w:pPr>
              </w:p>
            </w:tc>
          </w:tr>
          <w:tr>
            <w:trPr>
              <w:jc w:val="center"/>
            </w:trPr>
            <w:tc>
              <w:tcPr>
                <w:tcW w:w="711" w:type="dxa"/>
              </w:tcPr>
              <w:p>
                <w:pPr>
                  <w:rPr>
                    <w:sz w:val="22"/>
                    <w:szCs w:val="22"/>
                  </w:rPr>
                </w:pPr>
                <w:r>
                  <w:rPr>
                    <w:sz w:val="22"/>
                    <w:szCs w:val="22"/>
                  </w:rPr>
                  <w:t xml:space="preserve">2.11. </w:t>
                </w:r>
              </w:p>
            </w:tc>
            <w:tc>
              <w:tcPr>
                <w:tcW w:w="3626" w:type="dxa"/>
              </w:tcPr>
              <w:p>
                <w:pPr>
                  <w:rPr>
                    <w:sz w:val="22"/>
                    <w:szCs w:val="22"/>
                  </w:rPr>
                </w:pPr>
                <w:r>
                  <w:rPr>
                    <w:sz w:val="22"/>
                    <w:szCs w:val="22"/>
                  </w:rPr>
                  <w:t>LFF salės futbolo čempionatas „Lietuvos Futsal A lyga“</w:t>
                </w:r>
              </w:p>
            </w:tc>
            <w:tc>
              <w:tcPr>
                <w:tcW w:w="1333" w:type="dxa"/>
              </w:tcPr>
              <w:p>
                <w:pPr>
                  <w:jc w:val="center"/>
                  <w:rPr>
                    <w:sz w:val="22"/>
                    <w:szCs w:val="22"/>
                  </w:rPr>
                </w:pPr>
                <w:r>
                  <w:rPr>
                    <w:sz w:val="22"/>
                    <w:szCs w:val="22"/>
                  </w:rPr>
                  <w:t>4000</w:t>
                </w:r>
              </w:p>
            </w:tc>
            <w:tc>
              <w:tcPr>
                <w:tcW w:w="1261" w:type="dxa"/>
              </w:tcPr>
              <w:p>
                <w:pPr>
                  <w:jc w:val="center"/>
                  <w:rPr>
                    <w:sz w:val="22"/>
                    <w:szCs w:val="22"/>
                  </w:rPr>
                </w:pPr>
                <w:r>
                  <w:rPr>
                    <w:sz w:val="22"/>
                    <w:szCs w:val="22"/>
                  </w:rPr>
                  <w:t>3500</w:t>
                </w:r>
              </w:p>
            </w:tc>
            <w:tc>
              <w:tcPr>
                <w:tcW w:w="1399" w:type="dxa"/>
              </w:tcPr>
              <w:p>
                <w:pPr>
                  <w:jc w:val="center"/>
                  <w:rPr>
                    <w:sz w:val="22"/>
                    <w:szCs w:val="22"/>
                  </w:rPr>
                </w:pPr>
                <w:r>
                  <w:rPr>
                    <w:sz w:val="22"/>
                    <w:szCs w:val="22"/>
                  </w:rPr>
                  <w:t>3000</w:t>
                </w:r>
              </w:p>
            </w:tc>
            <w:tc>
              <w:tcPr>
                <w:tcW w:w="1298" w:type="dxa"/>
              </w:tcPr>
              <w:p>
                <w:pPr>
                  <w:jc w:val="center"/>
                  <w:rPr>
                    <w:sz w:val="22"/>
                    <w:szCs w:val="22"/>
                  </w:rPr>
                </w:pPr>
                <w:r>
                  <w:rPr>
                    <w:sz w:val="22"/>
                    <w:szCs w:val="22"/>
                  </w:rPr>
                  <w:t>2700</w:t>
                </w:r>
              </w:p>
            </w:tc>
          </w:tr>
          <w:tr>
            <w:trPr>
              <w:jc w:val="center"/>
            </w:trPr>
            <w:tc>
              <w:tcPr>
                <w:tcW w:w="711" w:type="dxa"/>
              </w:tcPr>
              <w:p>
                <w:pPr>
                  <w:rPr>
                    <w:b/>
                    <w:bCs/>
                    <w:sz w:val="22"/>
                    <w:szCs w:val="22"/>
                  </w:rPr>
                </w:pPr>
                <w:r>
                  <w:rPr>
                    <w:b/>
                    <w:bCs/>
                    <w:sz w:val="22"/>
                    <w:szCs w:val="22"/>
                  </w:rPr>
                  <w:t>3.</w:t>
                </w:r>
              </w:p>
            </w:tc>
            <w:tc>
              <w:tcPr>
                <w:tcW w:w="7619" w:type="dxa"/>
                <w:gridSpan w:val="4"/>
              </w:tcPr>
              <w:p>
                <w:pPr>
                  <w:jc w:val="center"/>
                  <w:rPr>
                    <w:b/>
                    <w:bCs/>
                    <w:sz w:val="22"/>
                    <w:szCs w:val="22"/>
                  </w:rPr>
                </w:pPr>
                <w:r>
                  <w:rPr>
                    <w:b/>
                    <w:bCs/>
                    <w:sz w:val="22"/>
                    <w:szCs w:val="22"/>
                  </w:rPr>
                  <w:t>Olimpinių individualių sporto šakų Europos ir Pasaulio čempionatų čempionai ir prizininkai</w:t>
                </w:r>
              </w:p>
            </w:tc>
            <w:tc>
              <w:tcPr>
                <w:tcW w:w="1298" w:type="dxa"/>
              </w:tcPr>
              <w:p>
                <w:pPr>
                  <w:jc w:val="center"/>
                  <w:rPr>
                    <w:b/>
                    <w:bCs/>
                    <w:sz w:val="22"/>
                    <w:szCs w:val="22"/>
                  </w:rPr>
                </w:pPr>
              </w:p>
            </w:tc>
          </w:tr>
          <w:tr>
            <w:trPr>
              <w:jc w:val="center"/>
            </w:trPr>
            <w:tc>
              <w:tcPr>
                <w:tcW w:w="711" w:type="dxa"/>
              </w:tcPr>
              <w:p>
                <w:pPr>
                  <w:rPr>
                    <w:sz w:val="22"/>
                    <w:szCs w:val="22"/>
                  </w:rPr>
                </w:pPr>
                <w:r>
                  <w:rPr>
                    <w:sz w:val="22"/>
                    <w:szCs w:val="22"/>
                  </w:rPr>
                  <w:t>3.1.</w:t>
                </w:r>
              </w:p>
            </w:tc>
            <w:tc>
              <w:tcPr>
                <w:tcW w:w="3626" w:type="dxa"/>
              </w:tcPr>
              <w:p>
                <w:pPr>
                  <w:rPr>
                    <w:sz w:val="22"/>
                    <w:szCs w:val="22"/>
                  </w:rPr>
                </w:pPr>
                <w:r>
                  <w:rPr>
                    <w:sz w:val="22"/>
                    <w:szCs w:val="22"/>
                  </w:rPr>
                  <w:t>Jaunimas, suaugusieji, neįgalieji, veteranai</w:t>
                </w:r>
              </w:p>
            </w:tc>
            <w:tc>
              <w:tcPr>
                <w:tcW w:w="1333" w:type="dxa"/>
              </w:tcPr>
              <w:p>
                <w:pPr>
                  <w:jc w:val="center"/>
                  <w:rPr>
                    <w:sz w:val="22"/>
                    <w:szCs w:val="22"/>
                  </w:rPr>
                </w:pPr>
                <w:r>
                  <w:rPr>
                    <w:sz w:val="22"/>
                    <w:szCs w:val="22"/>
                  </w:rPr>
                  <w:t>1000</w:t>
                </w:r>
              </w:p>
            </w:tc>
            <w:tc>
              <w:tcPr>
                <w:tcW w:w="1261" w:type="dxa"/>
              </w:tcPr>
              <w:p>
                <w:pPr>
                  <w:jc w:val="center"/>
                  <w:rPr>
                    <w:sz w:val="22"/>
                    <w:szCs w:val="22"/>
                  </w:rPr>
                </w:pPr>
                <w:r>
                  <w:rPr>
                    <w:sz w:val="22"/>
                    <w:szCs w:val="22"/>
                  </w:rPr>
                  <w:t>800</w:t>
                </w:r>
              </w:p>
            </w:tc>
            <w:tc>
              <w:tcPr>
                <w:tcW w:w="1399" w:type="dxa"/>
              </w:tcPr>
              <w:p>
                <w:pPr>
                  <w:jc w:val="center"/>
                  <w:rPr>
                    <w:sz w:val="22"/>
                    <w:szCs w:val="22"/>
                  </w:rPr>
                </w:pPr>
                <w:r>
                  <w:rPr>
                    <w:sz w:val="22"/>
                    <w:szCs w:val="22"/>
                  </w:rPr>
                  <w:t>600</w:t>
                </w:r>
              </w:p>
            </w:tc>
            <w:tc>
              <w:tcPr>
                <w:tcW w:w="1298" w:type="dxa"/>
              </w:tcPr>
              <w:p>
                <w:pPr>
                  <w:jc w:val="center"/>
                  <w:rPr>
                    <w:b/>
                    <w:bCs/>
                    <w:sz w:val="22"/>
                    <w:szCs w:val="22"/>
                  </w:rPr>
                </w:pPr>
              </w:p>
            </w:tc>
          </w:tr>
          <w:tr>
            <w:trPr>
              <w:jc w:val="center"/>
            </w:trPr>
            <w:tc>
              <w:tcPr>
                <w:tcW w:w="711" w:type="dxa"/>
              </w:tcPr>
              <w:p>
                <w:pPr>
                  <w:rPr>
                    <w:sz w:val="22"/>
                    <w:szCs w:val="22"/>
                  </w:rPr>
                </w:pPr>
                <w:r>
                  <w:rPr>
                    <w:sz w:val="22"/>
                    <w:szCs w:val="22"/>
                  </w:rPr>
                  <w:t>3.2.</w:t>
                </w:r>
              </w:p>
            </w:tc>
            <w:tc>
              <w:tcPr>
                <w:tcW w:w="3626" w:type="dxa"/>
              </w:tcPr>
              <w:p>
                <w:pPr>
                  <w:rPr>
                    <w:sz w:val="22"/>
                    <w:szCs w:val="22"/>
                  </w:rPr>
                </w:pPr>
                <w:r>
                  <w:rPr>
                    <w:sz w:val="22"/>
                    <w:szCs w:val="22"/>
                  </w:rPr>
                  <w:t>Jaunučiai, jauniai</w:t>
                </w:r>
              </w:p>
            </w:tc>
            <w:tc>
              <w:tcPr>
                <w:tcW w:w="1333" w:type="dxa"/>
              </w:tcPr>
              <w:p>
                <w:pPr>
                  <w:jc w:val="center"/>
                  <w:rPr>
                    <w:sz w:val="22"/>
                    <w:szCs w:val="22"/>
                  </w:rPr>
                </w:pPr>
                <w:r>
                  <w:rPr>
                    <w:sz w:val="22"/>
                    <w:szCs w:val="22"/>
                  </w:rPr>
                  <w:t>750</w:t>
                </w:r>
              </w:p>
            </w:tc>
            <w:tc>
              <w:tcPr>
                <w:tcW w:w="1261" w:type="dxa"/>
              </w:tcPr>
              <w:p>
                <w:pPr>
                  <w:jc w:val="center"/>
                  <w:rPr>
                    <w:sz w:val="22"/>
                    <w:szCs w:val="22"/>
                  </w:rPr>
                </w:pPr>
                <w:r>
                  <w:rPr>
                    <w:sz w:val="22"/>
                    <w:szCs w:val="22"/>
                  </w:rPr>
                  <w:t>600</w:t>
                </w:r>
              </w:p>
            </w:tc>
            <w:tc>
              <w:tcPr>
                <w:tcW w:w="1399" w:type="dxa"/>
              </w:tcPr>
              <w:p>
                <w:pPr>
                  <w:jc w:val="center"/>
                  <w:rPr>
                    <w:sz w:val="22"/>
                    <w:szCs w:val="22"/>
                  </w:rPr>
                </w:pPr>
                <w:r>
                  <w:rPr>
                    <w:sz w:val="22"/>
                    <w:szCs w:val="22"/>
                  </w:rPr>
                  <w:t>450</w:t>
                </w:r>
              </w:p>
            </w:tc>
            <w:tc>
              <w:tcPr>
                <w:tcW w:w="1298" w:type="dxa"/>
              </w:tcPr>
              <w:p>
                <w:pPr>
                  <w:jc w:val="center"/>
                  <w:rPr>
                    <w:b/>
                    <w:bCs/>
                    <w:sz w:val="22"/>
                    <w:szCs w:val="22"/>
                  </w:rPr>
                </w:pPr>
              </w:p>
            </w:tc>
          </w:tr>
        </w:tbl>
        <w:p>
          <w:pPr>
            <w:ind w:firstLine="709"/>
            <w:jc w:val="both"/>
            <w:rPr>
              <w:b/>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3637"/>
            <w:gridCol w:w="1333"/>
            <w:gridCol w:w="1261"/>
            <w:gridCol w:w="1399"/>
            <w:gridCol w:w="1291"/>
          </w:tblGrid>
          <w:tr>
            <w:trPr>
              <w:jc w:val="center"/>
            </w:trPr>
            <w:tc>
              <w:tcPr>
                <w:tcW w:w="711" w:type="dxa"/>
              </w:tcPr>
              <w:p>
                <w:pPr>
                  <w:rPr>
                    <w:b/>
                    <w:sz w:val="22"/>
                    <w:szCs w:val="22"/>
                  </w:rPr>
                </w:pPr>
                <w:r>
                  <w:rPr>
                    <w:b/>
                    <w:sz w:val="22"/>
                    <w:szCs w:val="22"/>
                  </w:rPr>
                  <w:t>4.</w:t>
                </w:r>
              </w:p>
            </w:tc>
            <w:tc>
              <w:tcPr>
                <w:tcW w:w="9044" w:type="dxa"/>
                <w:gridSpan w:val="5"/>
              </w:tcPr>
              <w:p>
                <w:pPr>
                  <w:rPr>
                    <w:b/>
                    <w:bCs/>
                    <w:sz w:val="22"/>
                    <w:szCs w:val="22"/>
                  </w:rPr>
                </w:pPr>
                <w:r>
                  <w:rPr>
                    <w:b/>
                    <w:bCs/>
                    <w:sz w:val="22"/>
                    <w:szCs w:val="22"/>
                  </w:rPr>
                  <w:t>Neolimpinių sporto šakų Lietuvos (nacionalinių) čempionatų čempionai ir prizininkai</w:t>
                </w:r>
              </w:p>
            </w:tc>
          </w:tr>
          <w:tr>
            <w:trPr>
              <w:jc w:val="center"/>
            </w:trPr>
            <w:tc>
              <w:tcPr>
                <w:tcW w:w="711" w:type="dxa"/>
              </w:tcPr>
              <w:p>
                <w:pPr>
                  <w:rPr>
                    <w:bCs/>
                    <w:sz w:val="22"/>
                    <w:szCs w:val="22"/>
                  </w:rPr>
                </w:pPr>
                <w:r>
                  <w:rPr>
                    <w:bCs/>
                    <w:sz w:val="22"/>
                    <w:szCs w:val="22"/>
                  </w:rPr>
                  <w:t>4.1.</w:t>
                </w:r>
              </w:p>
            </w:tc>
            <w:tc>
              <w:tcPr>
                <w:tcW w:w="3686" w:type="dxa"/>
              </w:tcPr>
              <w:p>
                <w:pPr>
                  <w:rPr>
                    <w:sz w:val="22"/>
                    <w:szCs w:val="22"/>
                  </w:rPr>
                </w:pPr>
                <w:r>
                  <w:rPr>
                    <w:sz w:val="22"/>
                    <w:szCs w:val="22"/>
                  </w:rPr>
                  <w:t>Jaunučių, jaunių, jaunimo, suaugusiųjų, neįgaliųjų ir veteranų komandos</w:t>
                </w:r>
              </w:p>
            </w:tc>
            <w:tc>
              <w:tcPr>
                <w:tcW w:w="1350" w:type="dxa"/>
              </w:tcPr>
              <w:p>
                <w:pPr>
                  <w:jc w:val="center"/>
                  <w:rPr>
                    <w:bCs/>
                    <w:sz w:val="22"/>
                    <w:szCs w:val="22"/>
                  </w:rPr>
                </w:pPr>
                <w:r>
                  <w:rPr>
                    <w:bCs/>
                    <w:sz w:val="22"/>
                    <w:szCs w:val="22"/>
                  </w:rPr>
                  <w:t>500</w:t>
                </w:r>
              </w:p>
            </w:tc>
            <w:tc>
              <w:tcPr>
                <w:tcW w:w="1276" w:type="dxa"/>
              </w:tcPr>
              <w:p>
                <w:pPr>
                  <w:jc w:val="center"/>
                  <w:rPr>
                    <w:bCs/>
                    <w:sz w:val="22"/>
                    <w:szCs w:val="22"/>
                  </w:rPr>
                </w:pPr>
                <w:r>
                  <w:rPr>
                    <w:bCs/>
                    <w:sz w:val="22"/>
                    <w:szCs w:val="22"/>
                  </w:rPr>
                  <w:t>400</w:t>
                </w:r>
              </w:p>
            </w:tc>
            <w:tc>
              <w:tcPr>
                <w:tcW w:w="1418" w:type="dxa"/>
              </w:tcPr>
              <w:p>
                <w:pPr>
                  <w:jc w:val="center"/>
                  <w:rPr>
                    <w:bCs/>
                    <w:sz w:val="22"/>
                    <w:szCs w:val="22"/>
                  </w:rPr>
                </w:pPr>
                <w:r>
                  <w:rPr>
                    <w:bCs/>
                    <w:sz w:val="22"/>
                    <w:szCs w:val="22"/>
                  </w:rPr>
                  <w:t>300</w:t>
                </w:r>
              </w:p>
            </w:tc>
            <w:tc>
              <w:tcPr>
                <w:tcW w:w="1314" w:type="dxa"/>
              </w:tcPr>
              <w:p>
                <w:pPr>
                  <w:rPr>
                    <w:bCs/>
                    <w:sz w:val="22"/>
                    <w:szCs w:val="22"/>
                  </w:rPr>
                </w:pPr>
              </w:p>
            </w:tc>
          </w:tr>
          <w:tr>
            <w:trPr>
              <w:trHeight w:val="615"/>
              <w:jc w:val="center"/>
            </w:trPr>
            <w:tc>
              <w:tcPr>
                <w:tcW w:w="711" w:type="dxa"/>
              </w:tcPr>
              <w:p>
                <w:pPr>
                  <w:rPr>
                    <w:bCs/>
                    <w:sz w:val="22"/>
                    <w:szCs w:val="22"/>
                  </w:rPr>
                </w:pPr>
                <w:r>
                  <w:rPr>
                    <w:bCs/>
                    <w:sz w:val="22"/>
                    <w:szCs w:val="22"/>
                  </w:rPr>
                  <w:t>4.2.</w:t>
                </w:r>
              </w:p>
            </w:tc>
            <w:tc>
              <w:tcPr>
                <w:tcW w:w="3686" w:type="dxa"/>
              </w:tcPr>
              <w:p>
                <w:pPr>
                  <w:rPr>
                    <w:sz w:val="22"/>
                    <w:szCs w:val="22"/>
                  </w:rPr>
                </w:pPr>
                <w:r>
                  <w:rPr>
                    <w:sz w:val="22"/>
                    <w:szCs w:val="22"/>
                  </w:rPr>
                  <w:t>Jaunimo, suaugusiųjų, neįgaliųjų ir veteranų individualios rungtys</w:t>
                </w:r>
              </w:p>
            </w:tc>
            <w:tc>
              <w:tcPr>
                <w:tcW w:w="1350" w:type="dxa"/>
              </w:tcPr>
              <w:p>
                <w:pPr>
                  <w:jc w:val="center"/>
                  <w:rPr>
                    <w:bCs/>
                    <w:sz w:val="22"/>
                    <w:szCs w:val="22"/>
                  </w:rPr>
                </w:pPr>
                <w:r>
                  <w:rPr>
                    <w:bCs/>
                    <w:sz w:val="22"/>
                    <w:szCs w:val="22"/>
                  </w:rPr>
                  <w:t>300</w:t>
                </w:r>
              </w:p>
            </w:tc>
            <w:tc>
              <w:tcPr>
                <w:tcW w:w="1276" w:type="dxa"/>
              </w:tcPr>
              <w:p>
                <w:pPr>
                  <w:jc w:val="center"/>
                  <w:rPr>
                    <w:bCs/>
                    <w:sz w:val="22"/>
                    <w:szCs w:val="22"/>
                  </w:rPr>
                </w:pPr>
                <w:r>
                  <w:rPr>
                    <w:bCs/>
                    <w:sz w:val="22"/>
                    <w:szCs w:val="22"/>
                  </w:rPr>
                  <w:t>250</w:t>
                </w:r>
              </w:p>
            </w:tc>
            <w:tc>
              <w:tcPr>
                <w:tcW w:w="1418" w:type="dxa"/>
              </w:tcPr>
              <w:p>
                <w:pPr>
                  <w:jc w:val="center"/>
                  <w:rPr>
                    <w:bCs/>
                    <w:sz w:val="22"/>
                    <w:szCs w:val="22"/>
                  </w:rPr>
                </w:pPr>
                <w:r>
                  <w:rPr>
                    <w:bCs/>
                    <w:sz w:val="22"/>
                    <w:szCs w:val="22"/>
                  </w:rPr>
                  <w:t>200</w:t>
                </w:r>
              </w:p>
            </w:tc>
            <w:tc>
              <w:tcPr>
                <w:tcW w:w="1314" w:type="dxa"/>
              </w:tcPr>
              <w:p>
                <w:pPr>
                  <w:rPr>
                    <w:bCs/>
                    <w:sz w:val="22"/>
                    <w:szCs w:val="22"/>
                  </w:rPr>
                </w:pPr>
              </w:p>
            </w:tc>
          </w:tr>
          <w:tr>
            <w:trPr>
              <w:trHeight w:val="284"/>
              <w:jc w:val="center"/>
            </w:trPr>
            <w:tc>
              <w:tcPr>
                <w:tcW w:w="711" w:type="dxa"/>
              </w:tcPr>
              <w:p>
                <w:pPr>
                  <w:rPr>
                    <w:bCs/>
                    <w:sz w:val="22"/>
                    <w:szCs w:val="22"/>
                  </w:rPr>
                </w:pPr>
                <w:r>
                  <w:rPr>
                    <w:bCs/>
                    <w:sz w:val="22"/>
                    <w:szCs w:val="22"/>
                  </w:rPr>
                  <w:t>4.3.</w:t>
                </w:r>
              </w:p>
            </w:tc>
            <w:tc>
              <w:tcPr>
                <w:tcW w:w="3686" w:type="dxa"/>
              </w:tcPr>
              <w:p>
                <w:pPr>
                  <w:rPr>
                    <w:sz w:val="22"/>
                    <w:szCs w:val="22"/>
                  </w:rPr>
                </w:pPr>
                <w:r>
                  <w:rPr>
                    <w:sz w:val="22"/>
                    <w:szCs w:val="22"/>
                  </w:rPr>
                  <w:t>Jaunučių, jaunių individualios rungtys</w:t>
                </w:r>
              </w:p>
            </w:tc>
            <w:tc>
              <w:tcPr>
                <w:tcW w:w="1350" w:type="dxa"/>
              </w:tcPr>
              <w:p>
                <w:pPr>
                  <w:jc w:val="center"/>
                  <w:rPr>
                    <w:bCs/>
                    <w:sz w:val="22"/>
                    <w:szCs w:val="22"/>
                  </w:rPr>
                </w:pPr>
                <w:r>
                  <w:rPr>
                    <w:bCs/>
                    <w:sz w:val="22"/>
                    <w:szCs w:val="22"/>
                  </w:rPr>
                  <w:t>250</w:t>
                </w:r>
              </w:p>
            </w:tc>
            <w:tc>
              <w:tcPr>
                <w:tcW w:w="1276" w:type="dxa"/>
              </w:tcPr>
              <w:p>
                <w:pPr>
                  <w:jc w:val="center"/>
                  <w:rPr>
                    <w:bCs/>
                    <w:sz w:val="22"/>
                    <w:szCs w:val="22"/>
                  </w:rPr>
                </w:pPr>
                <w:r>
                  <w:rPr>
                    <w:bCs/>
                    <w:sz w:val="22"/>
                    <w:szCs w:val="22"/>
                  </w:rPr>
                  <w:t>200</w:t>
                </w:r>
              </w:p>
            </w:tc>
            <w:tc>
              <w:tcPr>
                <w:tcW w:w="1418" w:type="dxa"/>
              </w:tcPr>
              <w:p>
                <w:pPr>
                  <w:jc w:val="center"/>
                  <w:rPr>
                    <w:bCs/>
                    <w:sz w:val="22"/>
                    <w:szCs w:val="22"/>
                  </w:rPr>
                </w:pPr>
                <w:r>
                  <w:rPr>
                    <w:bCs/>
                    <w:sz w:val="22"/>
                    <w:szCs w:val="22"/>
                  </w:rPr>
                  <w:t>150</w:t>
                </w:r>
              </w:p>
            </w:tc>
            <w:tc>
              <w:tcPr>
                <w:tcW w:w="1314" w:type="dxa"/>
              </w:tcPr>
              <w:p>
                <w:pPr>
                  <w:rPr>
                    <w:bCs/>
                    <w:sz w:val="22"/>
                    <w:szCs w:val="22"/>
                  </w:rPr>
                </w:pPr>
              </w:p>
            </w:tc>
          </w:tr>
          <w:tr>
            <w:trPr>
              <w:jc w:val="center"/>
            </w:trPr>
            <w:tc>
              <w:tcPr>
                <w:tcW w:w="711" w:type="dxa"/>
              </w:tcPr>
              <w:p>
                <w:pPr>
                  <w:rPr>
                    <w:b/>
                    <w:sz w:val="22"/>
                    <w:szCs w:val="22"/>
                  </w:rPr>
                </w:pPr>
                <w:r>
                  <w:rPr>
                    <w:b/>
                    <w:sz w:val="22"/>
                    <w:szCs w:val="22"/>
                  </w:rPr>
                  <w:t>5.</w:t>
                </w:r>
              </w:p>
            </w:tc>
            <w:tc>
              <w:tcPr>
                <w:tcW w:w="9044" w:type="dxa"/>
                <w:gridSpan w:val="5"/>
              </w:tcPr>
              <w:p>
                <w:pPr>
                  <w:rPr>
                    <w:b/>
                    <w:bCs/>
                    <w:sz w:val="22"/>
                    <w:szCs w:val="22"/>
                  </w:rPr>
                </w:pPr>
                <w:r>
                  <w:rPr>
                    <w:b/>
                    <w:bCs/>
                    <w:sz w:val="22"/>
                    <w:szCs w:val="22"/>
                  </w:rPr>
                  <w:t>Neolimpinių sporto šakų Europos ir Pasaulio čempionatų čempionai ir prizininkai</w:t>
                </w:r>
              </w:p>
            </w:tc>
          </w:tr>
          <w:tr>
            <w:trPr>
              <w:jc w:val="center"/>
            </w:trPr>
            <w:tc>
              <w:tcPr>
                <w:tcW w:w="711" w:type="dxa"/>
              </w:tcPr>
              <w:p>
                <w:pPr>
                  <w:rPr>
                    <w:bCs/>
                    <w:sz w:val="22"/>
                    <w:szCs w:val="22"/>
                  </w:rPr>
                </w:pPr>
                <w:r>
                  <w:rPr>
                    <w:bCs/>
                    <w:sz w:val="22"/>
                    <w:szCs w:val="22"/>
                  </w:rPr>
                  <w:t>5.1.</w:t>
                </w:r>
              </w:p>
            </w:tc>
            <w:tc>
              <w:tcPr>
                <w:tcW w:w="3686" w:type="dxa"/>
              </w:tcPr>
              <w:p>
                <w:pPr>
                  <w:rPr>
                    <w:sz w:val="22"/>
                    <w:szCs w:val="22"/>
                  </w:rPr>
                </w:pPr>
                <w:r>
                  <w:rPr>
                    <w:sz w:val="22"/>
                    <w:szCs w:val="22"/>
                  </w:rPr>
                  <w:t>Jaunučių, jaunių, jaunimo, suaugusiųjų, neįgaliųjų ir veteranų komandos</w:t>
                </w:r>
              </w:p>
            </w:tc>
            <w:tc>
              <w:tcPr>
                <w:tcW w:w="1350" w:type="dxa"/>
              </w:tcPr>
              <w:p>
                <w:pPr>
                  <w:jc w:val="center"/>
                  <w:rPr>
                    <w:sz w:val="22"/>
                    <w:szCs w:val="22"/>
                  </w:rPr>
                </w:pPr>
                <w:r>
                  <w:rPr>
                    <w:sz w:val="22"/>
                    <w:szCs w:val="22"/>
                  </w:rPr>
                  <w:t>700</w:t>
                </w:r>
              </w:p>
            </w:tc>
            <w:tc>
              <w:tcPr>
                <w:tcW w:w="1276" w:type="dxa"/>
              </w:tcPr>
              <w:p>
                <w:pPr>
                  <w:jc w:val="center"/>
                  <w:rPr>
                    <w:sz w:val="22"/>
                    <w:szCs w:val="22"/>
                  </w:rPr>
                </w:pPr>
                <w:r>
                  <w:rPr>
                    <w:sz w:val="22"/>
                    <w:szCs w:val="22"/>
                  </w:rPr>
                  <w:t>600</w:t>
                </w:r>
              </w:p>
            </w:tc>
            <w:tc>
              <w:tcPr>
                <w:tcW w:w="1418" w:type="dxa"/>
              </w:tcPr>
              <w:p>
                <w:pPr>
                  <w:jc w:val="center"/>
                  <w:rPr>
                    <w:sz w:val="22"/>
                    <w:szCs w:val="22"/>
                  </w:rPr>
                </w:pPr>
                <w:r>
                  <w:rPr>
                    <w:sz w:val="22"/>
                    <w:szCs w:val="22"/>
                  </w:rPr>
                  <w:t>500</w:t>
                </w:r>
              </w:p>
            </w:tc>
            <w:tc>
              <w:tcPr>
                <w:tcW w:w="1314" w:type="dxa"/>
              </w:tcPr>
              <w:p>
                <w:pPr>
                  <w:rPr>
                    <w:bCs/>
                    <w:sz w:val="22"/>
                    <w:szCs w:val="22"/>
                  </w:rPr>
                </w:pPr>
              </w:p>
            </w:tc>
          </w:tr>
          <w:tr>
            <w:trPr>
              <w:jc w:val="center"/>
            </w:trPr>
            <w:tc>
              <w:tcPr>
                <w:tcW w:w="711" w:type="dxa"/>
              </w:tcPr>
              <w:p>
                <w:pPr>
                  <w:rPr>
                    <w:bCs/>
                    <w:sz w:val="22"/>
                    <w:szCs w:val="22"/>
                  </w:rPr>
                </w:pPr>
                <w:r>
                  <w:rPr>
                    <w:bCs/>
                    <w:sz w:val="22"/>
                    <w:szCs w:val="22"/>
                  </w:rPr>
                  <w:t>5.2.</w:t>
                </w:r>
              </w:p>
            </w:tc>
            <w:tc>
              <w:tcPr>
                <w:tcW w:w="3686" w:type="dxa"/>
              </w:tcPr>
              <w:p>
                <w:pPr>
                  <w:rPr>
                    <w:sz w:val="22"/>
                    <w:szCs w:val="22"/>
                  </w:rPr>
                </w:pPr>
                <w:r>
                  <w:rPr>
                    <w:sz w:val="22"/>
                    <w:szCs w:val="22"/>
                  </w:rPr>
                  <w:t>Jaunučių, jaunių, jaunimo, suaugusiųjų, neįgaliųjų ir veteranų individualios rungtys</w:t>
                </w:r>
              </w:p>
            </w:tc>
            <w:tc>
              <w:tcPr>
                <w:tcW w:w="1350" w:type="dxa"/>
              </w:tcPr>
              <w:p>
                <w:pPr>
                  <w:jc w:val="center"/>
                  <w:rPr>
                    <w:sz w:val="22"/>
                    <w:szCs w:val="22"/>
                  </w:rPr>
                </w:pPr>
                <w:r>
                  <w:rPr>
                    <w:sz w:val="22"/>
                    <w:szCs w:val="22"/>
                  </w:rPr>
                  <w:t>400</w:t>
                </w:r>
              </w:p>
            </w:tc>
            <w:tc>
              <w:tcPr>
                <w:tcW w:w="1276" w:type="dxa"/>
              </w:tcPr>
              <w:p>
                <w:pPr>
                  <w:jc w:val="center"/>
                  <w:rPr>
                    <w:sz w:val="22"/>
                    <w:szCs w:val="22"/>
                  </w:rPr>
                </w:pPr>
                <w:r>
                  <w:rPr>
                    <w:sz w:val="22"/>
                    <w:szCs w:val="22"/>
                  </w:rPr>
                  <w:t>350</w:t>
                </w:r>
              </w:p>
            </w:tc>
            <w:tc>
              <w:tcPr>
                <w:tcW w:w="1418" w:type="dxa"/>
              </w:tcPr>
              <w:p>
                <w:pPr>
                  <w:jc w:val="center"/>
                  <w:rPr>
                    <w:sz w:val="22"/>
                    <w:szCs w:val="22"/>
                  </w:rPr>
                </w:pPr>
                <w:r>
                  <w:rPr>
                    <w:sz w:val="22"/>
                    <w:szCs w:val="22"/>
                  </w:rPr>
                  <w:t>300</w:t>
                </w:r>
              </w:p>
            </w:tc>
            <w:tc>
              <w:tcPr>
                <w:tcW w:w="1314" w:type="dxa"/>
              </w:tcPr>
              <w:p>
                <w:pPr>
                  <w:rPr>
                    <w:bCs/>
                    <w:sz w:val="22"/>
                    <w:szCs w:val="22"/>
                  </w:rPr>
                </w:pPr>
              </w:p>
            </w:tc>
          </w:tr>
        </w:tbl>
        <w:p>
          <w:pPr>
            <w:ind w:firstLine="709"/>
            <w:jc w:val="both"/>
            <w:rPr>
              <w:b/>
              <w:szCs w:val="22"/>
            </w:rPr>
          </w:pPr>
        </w:p>
        <w:p>
          <w:pPr>
            <w:ind w:firstLine="709"/>
            <w:jc w:val="both"/>
            <w:rPr>
              <w:szCs w:val="22"/>
            </w:rPr>
          </w:pPr>
          <w:r>
            <w:rPr>
              <w:b/>
              <w:szCs w:val="22"/>
            </w:rPr>
            <w:t>Pastaba:</w:t>
          </w:r>
          <w:r>
            <w:rPr>
              <w:szCs w:val="22"/>
            </w:rPr>
            <w:t xml:space="preserve"> šiame Apraše nenumatytus atvejus sprendžia ir savo siūlymus Centro direktoriui teikia Komisija (šio Aprašo 22 p.).</w:t>
          </w:r>
        </w:p>
        <w:p>
          <w:pPr>
            <w:jc w:val="center"/>
            <w:rPr>
              <w:szCs w:val="22"/>
            </w:rPr>
          </w:pPr>
        </w:p>
        <w:p>
          <w:pPr>
            <w:jc w:val="center"/>
            <w:rPr>
              <w:szCs w:val="22"/>
            </w:rPr>
          </w:pPr>
        </w:p>
        <w:p>
          <w:pPr>
            <w:jc w:val="both"/>
            <w:rPr>
              <w:szCs w:val="22"/>
            </w:rPr>
          </w:pPr>
        </w:p>
        <w:p>
          <w:pPr>
            <w:jc w:val="both"/>
          </w:pPr>
        </w:p>
        <w:sdt>
          <w:sdtPr>
            <w:alias w:val="skirsnis"/>
            <w:tag w:val="part_d58b6cc6b0c34af581546bdaec8f8766"/>
            <w:lock w:val="sdtLocked"/>
            <w:richText/>
          </w:sdtPr>
          <w:sdtContent>
            <w:p>
              <w:pPr>
                <w:ind w:firstLine="71"/>
                <w:jc w:val="center"/>
                <w:rPr>
                  <w:szCs w:val="24"/>
                  <w:lang w:eastAsia="lt-LT"/>
                </w:rPr>
              </w:pPr>
              <w:sdt>
                <w:sdtPr>
                  <w:alias w:val="Pavadinimas"/>
                  <w:tag w:val="title_d58b6cc6b0c34af581546bdaec8f8766"/>
                  <w:lock w:val="sdtLocked"/>
                  <w:richText/>
                </w:sdtPr>
                <w:sdtContent>
                  <w:r>
                    <w:rPr>
                      <w:b/>
                      <w:bCs/>
                      <w:szCs w:val="24"/>
                      <w:lang w:eastAsia="lt-LT"/>
                    </w:rPr>
                    <w:t xml:space="preserve">RADVILIŠKIO RAJONO SAVIVALDYBĖS TARYBOS SPRENDIMO PROJEKTO </w:t>
                  </w:r>
                  <w:r>
                    <w:rPr>
                      <w:b/>
                      <w:szCs w:val="24"/>
                    </w:rPr>
                    <w:t>„DĖL RADVILIŠKIO RAJONO SAVIVALDYBĖS SPORTININKŲ IR TRENERIŲ SKATINIMO TVARKOS APRAŠO, PATVIRTINTO RADVILIŠKIO RAJONO SAVIVALDYBĖS TARYBOS 2020 M. VASARIO 27 D. SPRENDIMU NR. T-190 „DĖL RADVILIŠKIO RAJONO SAVIVALDYBĖS SPORTININKŲ IR TRENERIŲ SKATINIMO TVARKOS APRAŠO PATVIRTINIMO“ PAKEITIMO“</w:t>
                  </w:r>
                </w:sdtContent>
              </w:sdt>
            </w:p>
            <w:p>
              <w:pPr>
                <w:jc w:val="center"/>
                <w:rPr>
                  <w:b/>
                  <w:szCs w:val="24"/>
                </w:rPr>
              </w:pPr>
            </w:p>
          </w:sdtContent>
        </w:sdt>
        <w:sdt>
          <w:sdtPr>
            <w:alias w:val="skirsnis"/>
            <w:tag w:val="part_6b3aa9356d314f3a8e06a67556848155"/>
            <w:lock w:val="sdtLocked"/>
            <w:richText/>
          </w:sdtPr>
          <w:sdtContent>
            <w:p>
              <w:pPr>
                <w:jc w:val="center"/>
                <w:rPr>
                  <w:b/>
                  <w:szCs w:val="24"/>
                  <w:lang w:eastAsia="lt-LT"/>
                </w:rPr>
              </w:pPr>
              <w:sdt>
                <w:sdtPr>
                  <w:alias w:val="Pavadinimas"/>
                  <w:tag w:val="title_6b3aa9356d314f3a8e06a67556848155"/>
                  <w:lock w:val="sdtLocked"/>
                  <w:richText/>
                </w:sdtPr>
                <w:sdtContent>
                  <w:r>
                    <w:rPr>
                      <w:b/>
                      <w:szCs w:val="24"/>
                      <w:lang w:eastAsia="lt-LT"/>
                    </w:rPr>
                    <w:t>AIŠKINAMASIS RAŠTAS</w:t>
                  </w:r>
                </w:sdtContent>
              </w:sdt>
            </w:p>
            <w:p>
              <w:pPr>
                <w:jc w:val="center"/>
                <w:rPr>
                  <w:szCs w:val="24"/>
                  <w:lang w:eastAsia="lt-LT"/>
                </w:rPr>
              </w:pPr>
              <w:r>
                <w:rPr>
                  <w:szCs w:val="24"/>
                  <w:lang w:eastAsia="lt-LT"/>
                </w:rPr>
                <w:t>2024-12-02</w:t>
              </w:r>
            </w:p>
            <w:p>
              <w:pPr>
                <w:jc w:val="center"/>
                <w:rPr>
                  <w:szCs w:val="24"/>
                  <w:lang w:eastAsia="lt-LT"/>
                </w:rPr>
              </w:pPr>
              <w:r>
                <w:rPr>
                  <w:szCs w:val="24"/>
                  <w:lang w:eastAsia="lt-LT"/>
                </w:rPr>
                <w:t>Radviliškis</w:t>
              </w:r>
            </w:p>
            <w:p>
              <w:pPr>
                <w:jc w:val="center"/>
                <w:rPr>
                  <w:szCs w:val="24"/>
                  <w:lang w:eastAsia="lt-LT"/>
                </w:rPr>
              </w:pPr>
            </w:p>
            <w:sdt>
              <w:sdtPr>
                <w:alias w:val="pr. 1 p."/>
                <w:tag w:val="part_40c76272f53a49299bd7a02baeb20010"/>
                <w:lock w:val="sdtLocked"/>
                <w:richText/>
              </w:sdtPr>
              <w:sdtContent>
                <w:p>
                  <w:pPr>
                    <w:ind w:firstLine="709"/>
                    <w:jc w:val="both"/>
                    <w:rPr>
                      <w:b/>
                      <w:bCs/>
                      <w:szCs w:val="24"/>
                      <w:lang w:eastAsia="lt-LT"/>
                    </w:rPr>
                  </w:pPr>
                  <w:sdt>
                    <w:sdtPr>
                      <w:alias w:val="Numeris"/>
                      <w:tag w:val="nr_40c76272f53a49299bd7a02baeb20010"/>
                      <w:lock w:val="sdtLocked"/>
                      <w:richText/>
                    </w:sdtPr>
                    <w:sdtContent>
                      <w:r>
                        <w:rPr>
                          <w:b/>
                          <w:szCs w:val="24"/>
                          <w:lang w:eastAsia="lt-LT"/>
                        </w:rPr>
                        <w:t>1</w:t>
                      </w:r>
                    </w:sdtContent>
                  </w:sdt>
                  <w:r>
                    <w:rPr>
                      <w:b/>
                      <w:szCs w:val="24"/>
                      <w:lang w:eastAsia="lt-LT"/>
                    </w:rPr>
                    <w:t xml:space="preserve">. </w:t>
                  </w:r>
                  <w:r>
                    <w:rPr>
                      <w:b/>
                      <w:bCs/>
                      <w:szCs w:val="24"/>
                      <w:lang w:eastAsia="lt-LT"/>
                    </w:rPr>
                    <w:t>Projekto rengimą paskatinusios priežastys, parengto projekto tikslai ir uždaviniai.</w:t>
                  </w:r>
                </w:p>
                <w:p>
                  <w:pPr>
                    <w:tabs>
                      <w:tab w:val="left" w:pos="1134"/>
                    </w:tabs>
                    <w:ind w:firstLine="709"/>
                    <w:jc w:val="both"/>
                  </w:pPr>
                  <w:r>
                    <w:t>Rengiamo sprendimo projekto tikslas – pakeisti Radviliškio rajono savivaldybės tarybos</w:t>
                  </w:r>
                  <w:r>
                    <w:rPr>
                      <w:spacing w:val="40"/>
                    </w:rPr>
                    <w:t> </w:t>
                  </w:r>
                  <w:r>
                    <w:t>2020 m. vasario 27 d. sprendimu Nr. T-190 „Dėl Radviliškio rajono savivaldybės sportininkų ir trenerių skatinimo tvarkos aprašo patvirtinimo“ patvirtintą Radviliškio rajono savivaldybės sportininkų ir trenerių skatinimo tvarkos aprašo priedą.</w:t>
                  </w:r>
                </w:p>
              </w:sdtContent>
            </w:sdt>
            <w:sdt>
              <w:sdtPr>
                <w:alias w:val="pr. 2 p."/>
                <w:tag w:val="part_6ccdfab4bfd54e239441773f83b87156"/>
                <w:lock w:val="sdtLocked"/>
                <w:richText/>
              </w:sdtPr>
              <w:sdtContent>
                <w:p>
                  <w:pPr>
                    <w:tabs>
                      <w:tab w:val="left" w:pos="1134"/>
                    </w:tabs>
                    <w:ind w:firstLine="709"/>
                    <w:jc w:val="both"/>
                    <w:rPr>
                      <w:szCs w:val="24"/>
                    </w:rPr>
                  </w:pPr>
                  <w:sdt>
                    <w:sdtPr>
                      <w:alias w:val="Numeris"/>
                      <w:tag w:val="nr_6ccdfab4bfd54e239441773f83b87156"/>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ind w:firstLine="709"/>
                    <w:jc w:val="both"/>
                    <w:rPr>
                      <w:szCs w:val="24"/>
                      <w:lang w:eastAsia="lt-LT"/>
                    </w:rPr>
                  </w:pPr>
                  <w:r>
                    <w:rPr>
                      <w:szCs w:val="24"/>
                      <w:lang w:eastAsia="lt-LT"/>
                    </w:rPr>
                    <w:t>Sprendimo projekto iniciatorius – Radviliškio rajono savivaldybės švietimo ir sporto paslaugų centro Sporto skyrius, rengėjas – Savivaldybės administracijos Švietimo ir sporto skyrius.</w:t>
                  </w:r>
                  <w:r>
                    <w:rPr>
                      <w:b/>
                      <w:bCs/>
                      <w:szCs w:val="24"/>
                      <w:lang w:eastAsia="lt-LT"/>
                    </w:rPr>
                    <w:t xml:space="preserve"> </w:t>
                  </w:r>
                </w:p>
              </w:sdtContent>
            </w:sdt>
            <w:sdt>
              <w:sdtPr>
                <w:alias w:val="pr. 3 p."/>
                <w:tag w:val="part_8517e1bfc4484d5da5a54e42e7cf0755"/>
                <w:lock w:val="sdtLocked"/>
                <w:richText/>
              </w:sdtPr>
              <w:sdtContent>
                <w:p>
                  <w:pPr>
                    <w:ind w:firstLine="709"/>
                    <w:jc w:val="both"/>
                    <w:rPr>
                      <w:b/>
                      <w:bCs/>
                      <w:szCs w:val="24"/>
                      <w:lang w:eastAsia="lt-LT"/>
                    </w:rPr>
                  </w:pPr>
                  <w:sdt>
                    <w:sdtPr>
                      <w:alias w:val="Numeris"/>
                      <w:tag w:val="nr_8517e1bfc4484d5da5a54e42e7cf0755"/>
                      <w:lock w:val="sdtLocked"/>
                      <w:richText/>
                    </w:sdtPr>
                    <w:sdtContent>
                      <w:r>
                        <w:rPr>
                          <w:b/>
                          <w:bCs/>
                          <w:szCs w:val="24"/>
                          <w:lang w:eastAsia="lt-LT"/>
                        </w:rPr>
                        <w:t>3</w:t>
                      </w:r>
                    </w:sdtContent>
                  </w:sdt>
                  <w:r>
                    <w:rPr>
                      <w:b/>
                      <w:bCs/>
                      <w:szCs w:val="24"/>
                      <w:lang w:eastAsia="lt-LT"/>
                    </w:rPr>
                    <w:t>. Kaip šiuo metu yra reguliuojami projekte aptarti teisiniai santykiai.</w:t>
                  </w:r>
                </w:p>
                <w:p>
                  <w:pPr>
                    <w:ind w:firstLine="709"/>
                    <w:jc w:val="both"/>
                    <w:rPr>
                      <w:szCs w:val="24"/>
                    </w:rPr>
                  </w:pPr>
                  <w:r>
                    <w:rPr>
                      <w:szCs w:val="24"/>
                    </w:rPr>
                    <w:t>Radviliškio rajono savivaldybės sportininkų ir trenerių skatinimo tvarkos aprašas, patvirtintas Radviliškio rajono savivaldybės tarybos 2020 m. vasario 27 d. sprendimu Nr. T-190 „Dėl Radviliškio rajono savivaldybės sportininkų ir trenerių skatinimo tvarkos aprašo patvirtinimo“ su visais pakeitimais ir papildymais.</w:t>
                  </w:r>
                </w:p>
              </w:sdtContent>
            </w:sdt>
            <w:sdt>
              <w:sdtPr>
                <w:alias w:val="pr. 4 p."/>
                <w:tag w:val="part_a874cbf5995847b182fc3ca2c3c67bd2"/>
                <w:lock w:val="sdtLocked"/>
                <w:richText/>
              </w:sdtPr>
              <w:sdtContent>
                <w:p>
                  <w:pPr>
                    <w:ind w:firstLine="709"/>
                    <w:jc w:val="both"/>
                    <w:rPr>
                      <w:b/>
                      <w:bCs/>
                      <w:szCs w:val="24"/>
                      <w:lang w:eastAsia="lt-LT"/>
                    </w:rPr>
                  </w:pPr>
                  <w:sdt>
                    <w:sdtPr>
                      <w:alias w:val="Numeris"/>
                      <w:tag w:val="nr_a874cbf5995847b182fc3ca2c3c67bd2"/>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pPr>
                    <w:suppressAutoHyphens/>
                    <w:ind w:firstLine="709"/>
                    <w:jc w:val="both"/>
                    <w:rPr>
                      <w:szCs w:val="24"/>
                      <w:shd w:val="clear" w:color="auto" w:fill="FFFFFF"/>
                      <w:lang w:eastAsia="ar-SA"/>
                    </w:rPr>
                  </w:pPr>
                  <w:r>
                    <w:rPr>
                      <w:szCs w:val="24"/>
                      <w:shd w:val="clear" w:color="auto" w:fill="FFFFFF"/>
                      <w:lang w:eastAsia="ar-SA"/>
                    </w:rPr>
                    <w:t>Sprendimo projektu keičiamo priedo lyginamasis variantas:</w:t>
                  </w:r>
                </w:p>
                <w:p>
                  <w:pPr>
                    <w:suppressAutoHyphens/>
                    <w:ind w:firstLine="709"/>
                    <w:jc w:val="both"/>
                    <w:rPr>
                      <w:szCs w:val="24"/>
                      <w:shd w:val="clear" w:color="auto" w:fill="FFFFFF"/>
                      <w:lang w:eastAsia="ar-SA"/>
                    </w:rPr>
                  </w:pPr>
                </w:p>
                <w:sdt>
                  <w:sdtPr>
                    <w:alias w:val="lentele"/>
                    <w:tag w:val="part_e30a8b2a5b6b402f8eba69982d85712d"/>
                    <w:lock w:val="sdtLocked"/>
                    <w:richText/>
                  </w:sdtPr>
                  <w:sdtContent>
                    <w:p>
                      <w:pPr>
                        <w:jc w:val="center"/>
                        <w:rPr>
                          <w:rFonts w:ascii="Times New Roman,Bold" w:hAnsi="Times New Roman,Bold" w:cs="Times New Roman,Bold"/>
                          <w:b/>
                          <w:bCs/>
                          <w:szCs w:val="24"/>
                        </w:rPr>
                      </w:pPr>
                      <w:sdt>
                        <w:sdtPr>
                          <w:alias w:val="Pavadinimas"/>
                          <w:tag w:val="title_e30a8b2a5b6b402f8eba69982d85712d"/>
                          <w:lock w:val="sdtLocked"/>
                          <w:richText/>
                        </w:sdtPr>
                        <w:sdtContent>
                          <w:r>
                            <w:rPr>
                              <w:b/>
                              <w:bCs/>
                              <w:szCs w:val="24"/>
                            </w:rPr>
                            <w:t xml:space="preserve">RADVILIŠKIO RAJONO </w:t>
                          </w:r>
                          <w:r>
                            <w:rPr>
                              <w:rFonts w:ascii="Times New Roman,Bold" w:hAnsi="Times New Roman,Bold" w:cs="Times New Roman,Bold"/>
                              <w:b/>
                              <w:bCs/>
                              <w:szCs w:val="24"/>
                            </w:rPr>
                            <w:t>SAVIVALDYBĖS SPORTININKŲ SKATINIMO PINIGINIŲ PREMIJŲ DYDŽIAI</w:t>
                          </w:r>
                        </w:sdtContent>
                      </w:sdt>
                    </w:p>
                    <w:p>
                      <w:pPr>
                        <w:rPr>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3626"/>
                        <w:gridCol w:w="1333"/>
                        <w:gridCol w:w="1261"/>
                        <w:gridCol w:w="1399"/>
                        <w:gridCol w:w="1298"/>
                      </w:tblGrid>
                      <w:tr>
                        <w:trPr>
                          <w:trHeight w:val="224"/>
                          <w:jc w:val="center"/>
                        </w:trPr>
                        <w:tc>
                          <w:tcPr>
                            <w:tcW w:w="711" w:type="dxa"/>
                            <w:vMerge w:val="restart"/>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Eil.</w:t>
                            </w:r>
                          </w:p>
                          <w:p>
                            <w:pPr>
                              <w:jc w:val="center"/>
                              <w:rPr>
                                <w:b/>
                                <w:bCs/>
                                <w:sz w:val="22"/>
                                <w:szCs w:val="22"/>
                              </w:rPr>
                            </w:pPr>
                            <w:r>
                              <w:rPr>
                                <w:b/>
                                <w:bCs/>
                                <w:sz w:val="22"/>
                                <w:szCs w:val="22"/>
                              </w:rPr>
                              <w:t>Nr.</w:t>
                            </w:r>
                          </w:p>
                        </w:tc>
                        <w:tc>
                          <w:tcPr>
                            <w:tcW w:w="3626" w:type="dxa"/>
                            <w:vMerge w:val="restart"/>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Sporto varžybų pavadinimas</w:t>
                            </w:r>
                          </w:p>
                        </w:tc>
                        <w:tc>
                          <w:tcPr>
                            <w:tcW w:w="5291" w:type="dxa"/>
                            <w:gridSpan w:val="4"/>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Iškovota vieta ir piniginės premijos dydis (Eur)</w:t>
                            </w:r>
                          </w:p>
                        </w:tc>
                      </w:tr>
                      <w:tr>
                        <w:trPr>
                          <w:trHeight w:val="1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2"/>
                                <w:szCs w:val="22"/>
                              </w:rPr>
                            </w:pPr>
                          </w:p>
                        </w:tc>
                        <w:tc>
                          <w:tcPr>
                            <w:tcW w:w="1333" w:type="dxa"/>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I</w:t>
                            </w:r>
                          </w:p>
                        </w:tc>
                        <w:tc>
                          <w:tcPr>
                            <w:tcW w:w="1261" w:type="dxa"/>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II</w:t>
                            </w:r>
                          </w:p>
                        </w:tc>
                        <w:tc>
                          <w:tcPr>
                            <w:tcW w:w="1399" w:type="dxa"/>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III</w:t>
                            </w:r>
                          </w:p>
                        </w:tc>
                        <w:tc>
                          <w:tcPr>
                            <w:tcW w:w="1298" w:type="dxa"/>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Kitos</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1.</w:t>
                            </w:r>
                          </w:p>
                        </w:tc>
                        <w:tc>
                          <w:tcPr>
                            <w:tcW w:w="8917" w:type="dxa"/>
                            <w:gridSpan w:val="5"/>
                            <w:tcBorders>
                              <w:top w:val="single" w:sz="4" w:space="0" w:color="auto"/>
                              <w:left w:val="single" w:sz="4" w:space="0" w:color="auto"/>
                              <w:bottom w:val="single" w:sz="4" w:space="0" w:color="auto"/>
                              <w:right w:val="single" w:sz="4" w:space="0" w:color="auto"/>
                            </w:tcBorders>
                            <w:hideMark/>
                          </w:tcPr>
                          <w:p>
                            <w:pPr>
                              <w:rPr>
                                <w:b/>
                                <w:bCs/>
                                <w:sz w:val="22"/>
                                <w:szCs w:val="22"/>
                                <w:highlight w:val="yellow"/>
                              </w:rPr>
                            </w:pPr>
                            <w:r>
                              <w:rPr>
                                <w:b/>
                                <w:sz w:val="22"/>
                                <w:szCs w:val="22"/>
                              </w:rPr>
                              <w:t xml:space="preserve">Lietuvos Respublikos olimpinių (paralimpinių) sporto šakų individualios varžybos </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1.1.</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Jaunimas, suaugusieji, neįgalieji, </w:t>
                            </w:r>
                            <w:r>
                              <w:rPr>
                                <w:b/>
                                <w:bCs/>
                                <w:i/>
                                <w:iCs/>
                                <w:sz w:val="22"/>
                                <w:szCs w:val="22"/>
                              </w:rPr>
                              <w:t>veteranai</w:t>
                            </w:r>
                          </w:p>
                        </w:tc>
                        <w:tc>
                          <w:tcPr>
                            <w:tcW w:w="1333" w:type="dxa"/>
                            <w:tcBorders>
                              <w:top w:val="single" w:sz="4" w:space="0" w:color="auto"/>
                              <w:left w:val="single" w:sz="4" w:space="0" w:color="auto"/>
                              <w:bottom w:val="single" w:sz="4" w:space="0" w:color="auto"/>
                              <w:right w:val="single" w:sz="4" w:space="0" w:color="auto"/>
                            </w:tcBorders>
                            <w:hideMark/>
                          </w:tcPr>
                          <w:p>
                            <w:pPr>
                              <w:jc w:val="center"/>
                              <w:rPr>
                                <w:b/>
                                <w:bCs/>
                                <w:i/>
                                <w:iCs/>
                                <w:strike/>
                                <w:sz w:val="22"/>
                                <w:szCs w:val="22"/>
                              </w:rPr>
                            </w:pPr>
                            <w:r>
                              <w:rPr>
                                <w:b/>
                                <w:bCs/>
                                <w:i/>
                                <w:iCs/>
                                <w:strike/>
                                <w:sz w:val="22"/>
                                <w:szCs w:val="22"/>
                              </w:rPr>
                              <w:t>300</w:t>
                            </w:r>
                          </w:p>
                          <w:p>
                            <w:pPr>
                              <w:jc w:val="center"/>
                              <w:rPr>
                                <w:b/>
                                <w:bCs/>
                                <w:i/>
                                <w:iCs/>
                                <w:sz w:val="22"/>
                                <w:szCs w:val="22"/>
                              </w:rPr>
                            </w:pPr>
                            <w:r>
                              <w:rPr>
                                <w:b/>
                                <w:bCs/>
                                <w:i/>
                                <w:iCs/>
                                <w:sz w:val="22"/>
                                <w:szCs w:val="22"/>
                              </w:rPr>
                              <w:t>500</w:t>
                            </w:r>
                          </w:p>
                        </w:tc>
                        <w:tc>
                          <w:tcPr>
                            <w:tcW w:w="1261" w:type="dxa"/>
                            <w:tcBorders>
                              <w:top w:val="single" w:sz="4" w:space="0" w:color="auto"/>
                              <w:left w:val="single" w:sz="4" w:space="0" w:color="auto"/>
                              <w:bottom w:val="single" w:sz="4" w:space="0" w:color="auto"/>
                              <w:right w:val="single" w:sz="4" w:space="0" w:color="auto"/>
                            </w:tcBorders>
                            <w:hideMark/>
                          </w:tcPr>
                          <w:p>
                            <w:pPr>
                              <w:jc w:val="center"/>
                              <w:rPr>
                                <w:b/>
                                <w:bCs/>
                                <w:i/>
                                <w:iCs/>
                                <w:strike/>
                                <w:sz w:val="22"/>
                                <w:szCs w:val="22"/>
                              </w:rPr>
                            </w:pPr>
                            <w:r>
                              <w:rPr>
                                <w:b/>
                                <w:bCs/>
                                <w:i/>
                                <w:iCs/>
                                <w:strike/>
                                <w:sz w:val="22"/>
                                <w:szCs w:val="22"/>
                              </w:rPr>
                              <w:t>250</w:t>
                            </w:r>
                          </w:p>
                          <w:p>
                            <w:pPr>
                              <w:jc w:val="center"/>
                              <w:rPr>
                                <w:b/>
                                <w:bCs/>
                                <w:i/>
                                <w:iCs/>
                                <w:sz w:val="22"/>
                                <w:szCs w:val="22"/>
                              </w:rPr>
                            </w:pPr>
                            <w:r>
                              <w:rPr>
                                <w:b/>
                                <w:bCs/>
                                <w:i/>
                                <w:iCs/>
                                <w:sz w:val="22"/>
                                <w:szCs w:val="22"/>
                              </w:rPr>
                              <w:t>450</w:t>
                            </w:r>
                          </w:p>
                        </w:tc>
                        <w:tc>
                          <w:tcPr>
                            <w:tcW w:w="1399" w:type="dxa"/>
                            <w:tcBorders>
                              <w:top w:val="single" w:sz="4" w:space="0" w:color="auto"/>
                              <w:left w:val="single" w:sz="4" w:space="0" w:color="auto"/>
                              <w:bottom w:val="single" w:sz="4" w:space="0" w:color="auto"/>
                              <w:right w:val="single" w:sz="4" w:space="0" w:color="auto"/>
                            </w:tcBorders>
                            <w:hideMark/>
                          </w:tcPr>
                          <w:p>
                            <w:pPr>
                              <w:jc w:val="center"/>
                              <w:rPr>
                                <w:b/>
                                <w:bCs/>
                                <w:i/>
                                <w:iCs/>
                                <w:strike/>
                                <w:sz w:val="22"/>
                                <w:szCs w:val="22"/>
                              </w:rPr>
                            </w:pPr>
                            <w:r>
                              <w:rPr>
                                <w:b/>
                                <w:bCs/>
                                <w:i/>
                                <w:iCs/>
                                <w:strike/>
                                <w:sz w:val="22"/>
                                <w:szCs w:val="22"/>
                              </w:rPr>
                              <w:t>200</w:t>
                            </w:r>
                          </w:p>
                          <w:p>
                            <w:pPr>
                              <w:jc w:val="center"/>
                              <w:rPr>
                                <w:b/>
                                <w:bCs/>
                                <w:i/>
                                <w:iCs/>
                                <w:sz w:val="22"/>
                                <w:szCs w:val="22"/>
                              </w:rPr>
                            </w:pPr>
                            <w:r>
                              <w:rPr>
                                <w:b/>
                                <w:bCs/>
                                <w:i/>
                                <w:iCs/>
                                <w:sz w:val="22"/>
                                <w:szCs w:val="22"/>
                              </w:rPr>
                              <w:t>400</w:t>
                            </w:r>
                          </w:p>
                        </w:tc>
                        <w:tc>
                          <w:tcPr>
                            <w:tcW w:w="1298" w:type="dxa"/>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1.2.</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Jaunučiai, jauniai, </w:t>
                            </w:r>
                            <w:r>
                              <w:rPr>
                                <w:i/>
                                <w:iCs/>
                                <w:strike/>
                                <w:sz w:val="22"/>
                                <w:szCs w:val="22"/>
                              </w:rPr>
                              <w:t>veteranai</w:t>
                            </w:r>
                          </w:p>
                        </w:tc>
                        <w:tc>
                          <w:tcPr>
                            <w:tcW w:w="1333" w:type="dxa"/>
                            <w:tcBorders>
                              <w:top w:val="single" w:sz="4" w:space="0" w:color="auto"/>
                              <w:left w:val="single" w:sz="4" w:space="0" w:color="auto"/>
                              <w:bottom w:val="single" w:sz="4" w:space="0" w:color="auto"/>
                              <w:right w:val="single" w:sz="4" w:space="0" w:color="auto"/>
                            </w:tcBorders>
                            <w:hideMark/>
                          </w:tcPr>
                          <w:p>
                            <w:pPr>
                              <w:jc w:val="center"/>
                              <w:rPr>
                                <w:b/>
                                <w:bCs/>
                                <w:i/>
                                <w:iCs/>
                                <w:strike/>
                                <w:sz w:val="22"/>
                                <w:szCs w:val="22"/>
                              </w:rPr>
                            </w:pPr>
                            <w:r>
                              <w:rPr>
                                <w:b/>
                                <w:bCs/>
                                <w:i/>
                                <w:iCs/>
                                <w:strike/>
                                <w:sz w:val="22"/>
                                <w:szCs w:val="22"/>
                              </w:rPr>
                              <w:t>150</w:t>
                            </w:r>
                          </w:p>
                          <w:p>
                            <w:pPr>
                              <w:jc w:val="center"/>
                              <w:rPr>
                                <w:b/>
                                <w:bCs/>
                                <w:i/>
                                <w:iCs/>
                                <w:sz w:val="22"/>
                                <w:szCs w:val="22"/>
                              </w:rPr>
                            </w:pPr>
                            <w:r>
                              <w:rPr>
                                <w:b/>
                                <w:bCs/>
                                <w:i/>
                                <w:iCs/>
                                <w:sz w:val="22"/>
                                <w:szCs w:val="22"/>
                              </w:rPr>
                              <w:t>400</w:t>
                            </w:r>
                          </w:p>
                        </w:tc>
                        <w:tc>
                          <w:tcPr>
                            <w:tcW w:w="1261" w:type="dxa"/>
                            <w:tcBorders>
                              <w:top w:val="single" w:sz="4" w:space="0" w:color="auto"/>
                              <w:left w:val="single" w:sz="4" w:space="0" w:color="auto"/>
                              <w:bottom w:val="single" w:sz="4" w:space="0" w:color="auto"/>
                              <w:right w:val="single" w:sz="4" w:space="0" w:color="auto"/>
                            </w:tcBorders>
                            <w:hideMark/>
                          </w:tcPr>
                          <w:p>
                            <w:pPr>
                              <w:jc w:val="center"/>
                              <w:rPr>
                                <w:b/>
                                <w:bCs/>
                                <w:i/>
                                <w:iCs/>
                                <w:strike/>
                                <w:sz w:val="22"/>
                                <w:szCs w:val="22"/>
                              </w:rPr>
                            </w:pPr>
                            <w:r>
                              <w:rPr>
                                <w:b/>
                                <w:bCs/>
                                <w:i/>
                                <w:iCs/>
                                <w:strike/>
                                <w:sz w:val="22"/>
                                <w:szCs w:val="22"/>
                              </w:rPr>
                              <w:t>100</w:t>
                            </w:r>
                          </w:p>
                          <w:p>
                            <w:pPr>
                              <w:jc w:val="center"/>
                              <w:rPr>
                                <w:b/>
                                <w:bCs/>
                                <w:i/>
                                <w:iCs/>
                                <w:sz w:val="22"/>
                                <w:szCs w:val="22"/>
                              </w:rPr>
                            </w:pPr>
                            <w:r>
                              <w:rPr>
                                <w:b/>
                                <w:bCs/>
                                <w:i/>
                                <w:iCs/>
                                <w:sz w:val="22"/>
                                <w:szCs w:val="22"/>
                              </w:rPr>
                              <w:t>350</w:t>
                            </w:r>
                          </w:p>
                        </w:tc>
                        <w:tc>
                          <w:tcPr>
                            <w:tcW w:w="1399" w:type="dxa"/>
                            <w:tcBorders>
                              <w:top w:val="single" w:sz="4" w:space="0" w:color="auto"/>
                              <w:left w:val="single" w:sz="4" w:space="0" w:color="auto"/>
                              <w:bottom w:val="single" w:sz="4" w:space="0" w:color="auto"/>
                              <w:right w:val="single" w:sz="4" w:space="0" w:color="auto"/>
                            </w:tcBorders>
                            <w:hideMark/>
                          </w:tcPr>
                          <w:p>
                            <w:pPr>
                              <w:jc w:val="center"/>
                              <w:rPr>
                                <w:b/>
                                <w:bCs/>
                                <w:i/>
                                <w:iCs/>
                                <w:strike/>
                                <w:sz w:val="22"/>
                                <w:szCs w:val="22"/>
                              </w:rPr>
                            </w:pPr>
                            <w:r>
                              <w:rPr>
                                <w:b/>
                                <w:bCs/>
                                <w:i/>
                                <w:iCs/>
                                <w:strike/>
                                <w:sz w:val="22"/>
                                <w:szCs w:val="22"/>
                              </w:rPr>
                              <w:t>50</w:t>
                            </w:r>
                          </w:p>
                          <w:p>
                            <w:pPr>
                              <w:jc w:val="center"/>
                              <w:rPr>
                                <w:b/>
                                <w:bCs/>
                                <w:i/>
                                <w:iCs/>
                                <w:sz w:val="22"/>
                                <w:szCs w:val="22"/>
                              </w:rPr>
                            </w:pPr>
                            <w:r>
                              <w:rPr>
                                <w:b/>
                                <w:bCs/>
                                <w:i/>
                                <w:iCs/>
                                <w:sz w:val="22"/>
                                <w:szCs w:val="22"/>
                              </w:rPr>
                              <w:t>300</w:t>
                            </w:r>
                          </w:p>
                        </w:tc>
                        <w:tc>
                          <w:tcPr>
                            <w:tcW w:w="1298" w:type="dxa"/>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w:t>
                            </w:r>
                          </w:p>
                        </w:tc>
                        <w:tc>
                          <w:tcPr>
                            <w:tcW w:w="8917" w:type="dxa"/>
                            <w:gridSpan w:val="5"/>
                            <w:tcBorders>
                              <w:top w:val="single" w:sz="4" w:space="0" w:color="auto"/>
                              <w:left w:val="single" w:sz="4" w:space="0" w:color="auto"/>
                              <w:bottom w:val="single" w:sz="4" w:space="0" w:color="auto"/>
                              <w:right w:val="single" w:sz="4" w:space="0" w:color="auto"/>
                            </w:tcBorders>
                            <w:hideMark/>
                          </w:tcPr>
                          <w:p>
                            <w:pPr>
                              <w:rPr>
                                <w:b/>
                                <w:bCs/>
                                <w:sz w:val="22"/>
                                <w:szCs w:val="22"/>
                              </w:rPr>
                            </w:pPr>
                            <w:r>
                              <w:rPr>
                                <w:b/>
                                <w:sz w:val="22"/>
                                <w:szCs w:val="22"/>
                              </w:rPr>
                              <w:t>Lietuvos Respublikos olimpinių (paralimpinių) sporto šakų komandinės varžybos</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2.1.</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Regionų krepšinio lyga A divizionas</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4 000 </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3 500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3 000</w:t>
                            </w:r>
                          </w:p>
                        </w:tc>
                        <w:tc>
                          <w:tcPr>
                            <w:tcW w:w="129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2 700</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2.2.</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Regionų krepšinio lyga B divizionas</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2 500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2 300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2 000</w:t>
                            </w:r>
                          </w:p>
                        </w:tc>
                        <w:tc>
                          <w:tcPr>
                            <w:tcW w:w="1298"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2.3.</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Lietuvos moksleivių krepšinio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2 000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1 500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1 000</w:t>
                            </w:r>
                          </w:p>
                        </w:tc>
                        <w:tc>
                          <w:tcPr>
                            <w:tcW w:w="1298"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2.4.</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Lietuvos krepšinio veteranų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1 000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750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500</w:t>
                            </w:r>
                          </w:p>
                        </w:tc>
                        <w:tc>
                          <w:tcPr>
                            <w:tcW w:w="1298"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2.5.</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Futbolo federacijos I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4 000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3 500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3 000</w:t>
                            </w:r>
                          </w:p>
                        </w:tc>
                        <w:tc>
                          <w:tcPr>
                            <w:tcW w:w="129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2 700</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2.6.</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Futbolo federacijos II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2 500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2 300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2 000</w:t>
                            </w:r>
                          </w:p>
                        </w:tc>
                        <w:tc>
                          <w:tcPr>
                            <w:tcW w:w="129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1 700</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2.7.</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Futbolo federacijos III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1 500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1 200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1 000</w:t>
                            </w:r>
                          </w:p>
                        </w:tc>
                        <w:tc>
                          <w:tcPr>
                            <w:tcW w:w="1298"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2.8.</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Futbolas. Jaunimas. I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2 000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1 750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1 500</w:t>
                            </w:r>
                          </w:p>
                        </w:tc>
                        <w:tc>
                          <w:tcPr>
                            <w:tcW w:w="129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1 250</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2.9.</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Futbolas. Jaunimas. II lyga</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1 000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800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600</w:t>
                            </w:r>
                          </w:p>
                        </w:tc>
                        <w:tc>
                          <w:tcPr>
                            <w:tcW w:w="1298"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2.10.</w:t>
                            </w:r>
                          </w:p>
                        </w:tc>
                        <w:tc>
                          <w:tcPr>
                            <w:tcW w:w="362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Kitos sporto šakos (jaunučiai, jauniai, jaunimas, suaugusieji, neįgalieji, veteranai)</w:t>
                            </w:r>
                          </w:p>
                        </w:tc>
                        <w:tc>
                          <w:tcPr>
                            <w:tcW w:w="133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800</w:t>
                            </w:r>
                          </w:p>
                        </w:tc>
                        <w:tc>
                          <w:tcPr>
                            <w:tcW w:w="126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600</w:t>
                            </w:r>
                          </w:p>
                        </w:tc>
                        <w:tc>
                          <w:tcPr>
                            <w:tcW w:w="139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400</w:t>
                            </w:r>
                          </w:p>
                        </w:tc>
                        <w:tc>
                          <w:tcPr>
                            <w:tcW w:w="1298"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3.</w:t>
                            </w:r>
                          </w:p>
                        </w:tc>
                        <w:tc>
                          <w:tcPr>
                            <w:tcW w:w="7619" w:type="dxa"/>
                            <w:gridSpan w:val="4"/>
                            <w:tcBorders>
                              <w:top w:val="single" w:sz="4" w:space="0" w:color="auto"/>
                              <w:left w:val="single" w:sz="4" w:space="0" w:color="auto"/>
                              <w:bottom w:val="single" w:sz="4" w:space="0" w:color="auto"/>
                              <w:right w:val="single" w:sz="4" w:space="0" w:color="auto"/>
                            </w:tcBorders>
                            <w:hideMark/>
                          </w:tcPr>
                          <w:p>
                            <w:pPr>
                              <w:jc w:val="center"/>
                              <w:rPr>
                                <w:b/>
                                <w:bCs/>
                                <w:sz w:val="22"/>
                                <w:szCs w:val="22"/>
                              </w:rPr>
                            </w:pPr>
                            <w:r>
                              <w:rPr>
                                <w:b/>
                                <w:bCs/>
                                <w:sz w:val="22"/>
                                <w:szCs w:val="22"/>
                              </w:rPr>
                              <w:t>Olimpinių individualių sporto šakų Europos ir Pasaulio čempionatų čempionai ir prizininkai</w:t>
                            </w:r>
                          </w:p>
                        </w:tc>
                        <w:tc>
                          <w:tcPr>
                            <w:tcW w:w="1298" w:type="dxa"/>
                            <w:tcBorders>
                              <w:top w:val="single" w:sz="4" w:space="0" w:color="auto"/>
                              <w:left w:val="single" w:sz="4" w:space="0" w:color="auto"/>
                              <w:bottom w:val="single" w:sz="4" w:space="0" w:color="auto"/>
                              <w:right w:val="single" w:sz="4" w:space="0" w:color="auto"/>
                            </w:tcBorders>
                          </w:tcPr>
                          <w:p>
                            <w:pPr>
                              <w:jc w:val="center"/>
                              <w:rPr>
                                <w:b/>
                                <w:bCs/>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3.1.</w:t>
                            </w:r>
                          </w:p>
                        </w:tc>
                        <w:tc>
                          <w:tcPr>
                            <w:tcW w:w="3626" w:type="dxa"/>
                            <w:tcBorders>
                              <w:top w:val="single" w:sz="4" w:space="0" w:color="auto"/>
                              <w:left w:val="single" w:sz="4" w:space="0" w:color="auto"/>
                              <w:bottom w:val="single" w:sz="4" w:space="0" w:color="auto"/>
                              <w:right w:val="single" w:sz="4" w:space="0" w:color="auto"/>
                            </w:tcBorders>
                            <w:hideMark/>
                          </w:tcPr>
                          <w:p>
                            <w:pPr>
                              <w:rPr>
                                <w:b/>
                                <w:bCs/>
                                <w:i/>
                                <w:iCs/>
                                <w:sz w:val="22"/>
                                <w:szCs w:val="22"/>
                              </w:rPr>
                            </w:pPr>
                            <w:r>
                              <w:rPr>
                                <w:b/>
                                <w:bCs/>
                                <w:i/>
                                <w:iCs/>
                                <w:sz w:val="22"/>
                                <w:szCs w:val="22"/>
                              </w:rPr>
                              <w:t>Jaunimas, suaugusieji, neįgalieji, veteranai</w:t>
                            </w:r>
                          </w:p>
                        </w:tc>
                        <w:tc>
                          <w:tcPr>
                            <w:tcW w:w="1333" w:type="dxa"/>
                            <w:tcBorders>
                              <w:top w:val="single" w:sz="4" w:space="0" w:color="auto"/>
                              <w:left w:val="single" w:sz="4" w:space="0" w:color="auto"/>
                              <w:bottom w:val="single" w:sz="4" w:space="0" w:color="auto"/>
                              <w:right w:val="single" w:sz="4" w:space="0" w:color="auto"/>
                            </w:tcBorders>
                            <w:hideMark/>
                          </w:tcPr>
                          <w:p>
                            <w:pPr>
                              <w:jc w:val="center"/>
                              <w:rPr>
                                <w:b/>
                                <w:bCs/>
                                <w:i/>
                                <w:iCs/>
                                <w:sz w:val="22"/>
                                <w:szCs w:val="22"/>
                              </w:rPr>
                            </w:pPr>
                            <w:r>
                              <w:rPr>
                                <w:b/>
                                <w:bCs/>
                                <w:i/>
                                <w:iCs/>
                                <w:sz w:val="22"/>
                                <w:szCs w:val="22"/>
                              </w:rPr>
                              <w:t>1000</w:t>
                            </w:r>
                          </w:p>
                        </w:tc>
                        <w:tc>
                          <w:tcPr>
                            <w:tcW w:w="1261" w:type="dxa"/>
                            <w:tcBorders>
                              <w:top w:val="single" w:sz="4" w:space="0" w:color="auto"/>
                              <w:left w:val="single" w:sz="4" w:space="0" w:color="auto"/>
                              <w:bottom w:val="single" w:sz="4" w:space="0" w:color="auto"/>
                              <w:right w:val="single" w:sz="4" w:space="0" w:color="auto"/>
                            </w:tcBorders>
                            <w:hideMark/>
                          </w:tcPr>
                          <w:p>
                            <w:pPr>
                              <w:jc w:val="center"/>
                              <w:rPr>
                                <w:b/>
                                <w:bCs/>
                                <w:i/>
                                <w:iCs/>
                                <w:sz w:val="22"/>
                                <w:szCs w:val="22"/>
                              </w:rPr>
                            </w:pPr>
                            <w:r>
                              <w:rPr>
                                <w:b/>
                                <w:bCs/>
                                <w:i/>
                                <w:iCs/>
                                <w:sz w:val="22"/>
                                <w:szCs w:val="22"/>
                              </w:rPr>
                              <w:t>800</w:t>
                            </w:r>
                          </w:p>
                        </w:tc>
                        <w:tc>
                          <w:tcPr>
                            <w:tcW w:w="1399" w:type="dxa"/>
                            <w:tcBorders>
                              <w:top w:val="single" w:sz="4" w:space="0" w:color="auto"/>
                              <w:left w:val="single" w:sz="4" w:space="0" w:color="auto"/>
                              <w:bottom w:val="single" w:sz="4" w:space="0" w:color="auto"/>
                              <w:right w:val="single" w:sz="4" w:space="0" w:color="auto"/>
                            </w:tcBorders>
                            <w:hideMark/>
                          </w:tcPr>
                          <w:p>
                            <w:pPr>
                              <w:jc w:val="center"/>
                              <w:rPr>
                                <w:b/>
                                <w:bCs/>
                                <w:i/>
                                <w:iCs/>
                                <w:sz w:val="22"/>
                                <w:szCs w:val="22"/>
                              </w:rPr>
                            </w:pPr>
                            <w:r>
                              <w:rPr>
                                <w:b/>
                                <w:bCs/>
                                <w:i/>
                                <w:iCs/>
                                <w:sz w:val="22"/>
                                <w:szCs w:val="22"/>
                              </w:rPr>
                              <w:t>600</w:t>
                            </w:r>
                          </w:p>
                        </w:tc>
                        <w:tc>
                          <w:tcPr>
                            <w:tcW w:w="1298" w:type="dxa"/>
                            <w:tcBorders>
                              <w:top w:val="single" w:sz="4" w:space="0" w:color="auto"/>
                              <w:left w:val="single" w:sz="4" w:space="0" w:color="auto"/>
                              <w:bottom w:val="single" w:sz="4" w:space="0" w:color="auto"/>
                              <w:right w:val="single" w:sz="4" w:space="0" w:color="auto"/>
                            </w:tcBorders>
                          </w:tcPr>
                          <w:p>
                            <w:pPr>
                              <w:jc w:val="center"/>
                              <w:rPr>
                                <w:b/>
                                <w:bCs/>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bCs/>
                                <w:sz w:val="22"/>
                                <w:szCs w:val="22"/>
                              </w:rPr>
                            </w:pPr>
                            <w:r>
                              <w:rPr>
                                <w:b/>
                                <w:bCs/>
                                <w:sz w:val="22"/>
                                <w:szCs w:val="22"/>
                              </w:rPr>
                              <w:t>3.2.</w:t>
                            </w:r>
                          </w:p>
                        </w:tc>
                        <w:tc>
                          <w:tcPr>
                            <w:tcW w:w="3626" w:type="dxa"/>
                            <w:tcBorders>
                              <w:top w:val="single" w:sz="4" w:space="0" w:color="auto"/>
                              <w:left w:val="single" w:sz="4" w:space="0" w:color="auto"/>
                              <w:bottom w:val="single" w:sz="4" w:space="0" w:color="auto"/>
                              <w:right w:val="single" w:sz="4" w:space="0" w:color="auto"/>
                            </w:tcBorders>
                            <w:hideMark/>
                          </w:tcPr>
                          <w:p>
                            <w:pPr>
                              <w:rPr>
                                <w:b/>
                                <w:bCs/>
                                <w:i/>
                                <w:iCs/>
                                <w:sz w:val="22"/>
                                <w:szCs w:val="22"/>
                              </w:rPr>
                            </w:pPr>
                            <w:r>
                              <w:rPr>
                                <w:b/>
                                <w:bCs/>
                                <w:i/>
                                <w:iCs/>
                                <w:sz w:val="22"/>
                                <w:szCs w:val="22"/>
                              </w:rPr>
                              <w:t>Jaunučiai, jauniai</w:t>
                            </w:r>
                          </w:p>
                        </w:tc>
                        <w:tc>
                          <w:tcPr>
                            <w:tcW w:w="1333" w:type="dxa"/>
                            <w:tcBorders>
                              <w:top w:val="single" w:sz="4" w:space="0" w:color="auto"/>
                              <w:left w:val="single" w:sz="4" w:space="0" w:color="auto"/>
                              <w:bottom w:val="single" w:sz="4" w:space="0" w:color="auto"/>
                              <w:right w:val="single" w:sz="4" w:space="0" w:color="auto"/>
                            </w:tcBorders>
                            <w:hideMark/>
                          </w:tcPr>
                          <w:p>
                            <w:pPr>
                              <w:jc w:val="center"/>
                              <w:rPr>
                                <w:b/>
                                <w:bCs/>
                                <w:i/>
                                <w:iCs/>
                                <w:sz w:val="22"/>
                                <w:szCs w:val="22"/>
                              </w:rPr>
                            </w:pPr>
                            <w:r>
                              <w:rPr>
                                <w:b/>
                                <w:bCs/>
                                <w:i/>
                                <w:iCs/>
                                <w:sz w:val="22"/>
                                <w:szCs w:val="22"/>
                              </w:rPr>
                              <w:t>750</w:t>
                            </w:r>
                          </w:p>
                        </w:tc>
                        <w:tc>
                          <w:tcPr>
                            <w:tcW w:w="1261" w:type="dxa"/>
                            <w:tcBorders>
                              <w:top w:val="single" w:sz="4" w:space="0" w:color="auto"/>
                              <w:left w:val="single" w:sz="4" w:space="0" w:color="auto"/>
                              <w:bottom w:val="single" w:sz="4" w:space="0" w:color="auto"/>
                              <w:right w:val="single" w:sz="4" w:space="0" w:color="auto"/>
                            </w:tcBorders>
                            <w:hideMark/>
                          </w:tcPr>
                          <w:p>
                            <w:pPr>
                              <w:jc w:val="center"/>
                              <w:rPr>
                                <w:b/>
                                <w:bCs/>
                                <w:i/>
                                <w:iCs/>
                                <w:sz w:val="22"/>
                                <w:szCs w:val="22"/>
                              </w:rPr>
                            </w:pPr>
                            <w:r>
                              <w:rPr>
                                <w:b/>
                                <w:bCs/>
                                <w:i/>
                                <w:iCs/>
                                <w:sz w:val="22"/>
                                <w:szCs w:val="22"/>
                              </w:rPr>
                              <w:t>600</w:t>
                            </w:r>
                          </w:p>
                        </w:tc>
                        <w:tc>
                          <w:tcPr>
                            <w:tcW w:w="1399" w:type="dxa"/>
                            <w:tcBorders>
                              <w:top w:val="single" w:sz="4" w:space="0" w:color="auto"/>
                              <w:left w:val="single" w:sz="4" w:space="0" w:color="auto"/>
                              <w:bottom w:val="single" w:sz="4" w:space="0" w:color="auto"/>
                              <w:right w:val="single" w:sz="4" w:space="0" w:color="auto"/>
                            </w:tcBorders>
                            <w:hideMark/>
                          </w:tcPr>
                          <w:p>
                            <w:pPr>
                              <w:jc w:val="center"/>
                              <w:rPr>
                                <w:b/>
                                <w:bCs/>
                                <w:i/>
                                <w:iCs/>
                                <w:sz w:val="22"/>
                                <w:szCs w:val="22"/>
                              </w:rPr>
                            </w:pPr>
                            <w:r>
                              <w:rPr>
                                <w:b/>
                                <w:bCs/>
                                <w:i/>
                                <w:iCs/>
                                <w:sz w:val="22"/>
                                <w:szCs w:val="22"/>
                              </w:rPr>
                              <w:t>450</w:t>
                            </w:r>
                          </w:p>
                        </w:tc>
                        <w:tc>
                          <w:tcPr>
                            <w:tcW w:w="1298" w:type="dxa"/>
                            <w:tcBorders>
                              <w:top w:val="single" w:sz="4" w:space="0" w:color="auto"/>
                              <w:left w:val="single" w:sz="4" w:space="0" w:color="auto"/>
                              <w:bottom w:val="single" w:sz="4" w:space="0" w:color="auto"/>
                              <w:right w:val="single" w:sz="4" w:space="0" w:color="auto"/>
                            </w:tcBorders>
                          </w:tcPr>
                          <w:p>
                            <w:pPr>
                              <w:jc w:val="center"/>
                              <w:rPr>
                                <w:b/>
                                <w:bCs/>
                                <w:sz w:val="22"/>
                                <w:szCs w:val="22"/>
                              </w:rPr>
                            </w:pPr>
                          </w:p>
                        </w:tc>
                      </w:tr>
                    </w:tbl>
                    <w:p>
                      <w:pPr>
                        <w:ind w:firstLine="709"/>
                        <w:jc w:val="both"/>
                        <w:rPr>
                          <w:b/>
                          <w:szCs w:val="22"/>
                        </w:rPr>
                      </w:pPr>
                    </w:p>
                  </w:sdtContent>
                </w:sdt>
                <w:sdt>
                  <w:sdtPr>
                    <w:alias w:val="lentele"/>
                    <w:tag w:val="part_4465a22dbae544b8bf9ecaa4b5cc8dfa"/>
                    <w:lock w:val="sdtLocked"/>
                    <w:richText/>
                  </w:sdtPr>
                  <w:sdt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3637"/>
                        <w:gridCol w:w="1333"/>
                        <w:gridCol w:w="1260"/>
                        <w:gridCol w:w="1399"/>
                        <w:gridCol w:w="1291"/>
                      </w:tblGrid>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sz w:val="22"/>
                                <w:szCs w:val="22"/>
                              </w:rPr>
                            </w:pPr>
                            <w:r>
                              <w:rPr>
                                <w:b/>
                                <w:sz w:val="22"/>
                                <w:szCs w:val="22"/>
                              </w:rPr>
                              <w:t>4.</w:t>
                            </w:r>
                          </w:p>
                        </w:tc>
                        <w:tc>
                          <w:tcPr>
                            <w:tcW w:w="9044" w:type="dxa"/>
                            <w:gridSpan w:val="5"/>
                            <w:tcBorders>
                              <w:top w:val="single" w:sz="4" w:space="0" w:color="auto"/>
                              <w:left w:val="single" w:sz="4" w:space="0" w:color="auto"/>
                              <w:bottom w:val="single" w:sz="4" w:space="0" w:color="auto"/>
                              <w:right w:val="single" w:sz="4" w:space="0" w:color="auto"/>
                            </w:tcBorders>
                            <w:hideMark/>
                          </w:tcPr>
                          <w:p>
                            <w:pPr>
                              <w:rPr>
                                <w:b/>
                                <w:sz w:val="22"/>
                                <w:szCs w:val="22"/>
                              </w:rPr>
                            </w:pPr>
                            <w:r>
                              <w:rPr>
                                <w:b/>
                                <w:sz w:val="22"/>
                                <w:szCs w:val="22"/>
                              </w:rPr>
                              <w:t>Neolimpinių sporto šakų Lietuvos (nacionalinių) čempionatų čempionai ir prizininkai</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Cs/>
                                <w:sz w:val="22"/>
                                <w:szCs w:val="22"/>
                              </w:rPr>
                            </w:pPr>
                            <w:r>
                              <w:rPr>
                                <w:bCs/>
                                <w:sz w:val="22"/>
                                <w:szCs w:val="22"/>
                              </w:rPr>
                              <w:t>4.1.</w:t>
                            </w:r>
                          </w:p>
                        </w:tc>
                        <w:tc>
                          <w:tcPr>
                            <w:tcW w:w="368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Jaunučių, jaunių, jaunimo, suaugusiųjų, neįgaliųjų ir veteranų komandos</w:t>
                            </w:r>
                          </w:p>
                        </w:tc>
                        <w:tc>
                          <w:tcPr>
                            <w:tcW w:w="1350" w:type="dxa"/>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500</w:t>
                            </w:r>
                          </w:p>
                        </w:tc>
                        <w:tc>
                          <w:tcPr>
                            <w:tcW w:w="1276" w:type="dxa"/>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400</w:t>
                            </w:r>
                          </w:p>
                        </w:tc>
                        <w:tc>
                          <w:tcPr>
                            <w:tcW w:w="1418" w:type="dxa"/>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300</w:t>
                            </w:r>
                          </w:p>
                        </w:tc>
                        <w:tc>
                          <w:tcPr>
                            <w:tcW w:w="1314" w:type="dxa"/>
                            <w:tcBorders>
                              <w:top w:val="single" w:sz="4" w:space="0" w:color="auto"/>
                              <w:left w:val="single" w:sz="4" w:space="0" w:color="auto"/>
                              <w:bottom w:val="single" w:sz="4" w:space="0" w:color="auto"/>
                              <w:right w:val="single" w:sz="4" w:space="0" w:color="auto"/>
                            </w:tcBorders>
                          </w:tcPr>
                          <w:p>
                            <w:pPr>
                              <w:rPr>
                                <w:bCs/>
                                <w:sz w:val="22"/>
                                <w:szCs w:val="22"/>
                              </w:rPr>
                            </w:pPr>
                          </w:p>
                        </w:tc>
                      </w:tr>
                      <w:tr>
                        <w:trPr>
                          <w:trHeight w:val="750"/>
                          <w:jc w:val="center"/>
                        </w:trPr>
                        <w:tc>
                          <w:tcPr>
                            <w:tcW w:w="711" w:type="dxa"/>
                            <w:tcBorders>
                              <w:top w:val="single" w:sz="4" w:space="0" w:color="auto"/>
                              <w:left w:val="single" w:sz="4" w:space="0" w:color="auto"/>
                              <w:bottom w:val="single" w:sz="4" w:space="0" w:color="auto"/>
                              <w:right w:val="single" w:sz="4" w:space="0" w:color="auto"/>
                            </w:tcBorders>
                            <w:hideMark/>
                          </w:tcPr>
                          <w:p>
                            <w:pPr>
                              <w:rPr>
                                <w:bCs/>
                                <w:sz w:val="22"/>
                                <w:szCs w:val="22"/>
                              </w:rPr>
                            </w:pPr>
                            <w:r>
                              <w:rPr>
                                <w:bCs/>
                                <w:sz w:val="22"/>
                                <w:szCs w:val="22"/>
                              </w:rPr>
                              <w:t>4.2.</w:t>
                            </w:r>
                          </w:p>
                        </w:tc>
                        <w:tc>
                          <w:tcPr>
                            <w:tcW w:w="3686" w:type="dxa"/>
                            <w:tcBorders>
                              <w:top w:val="single" w:sz="4" w:space="0" w:color="auto"/>
                              <w:left w:val="single" w:sz="4" w:space="0" w:color="auto"/>
                              <w:bottom w:val="single" w:sz="4" w:space="0" w:color="auto"/>
                              <w:right w:val="single" w:sz="4" w:space="0" w:color="auto"/>
                            </w:tcBorders>
                            <w:hideMark/>
                          </w:tcPr>
                          <w:p>
                            <w:pPr>
                              <w:rPr>
                                <w:sz w:val="22"/>
                                <w:szCs w:val="22"/>
                              </w:rPr>
                            </w:pPr>
                            <w:r>
                              <w:rPr>
                                <w:strike/>
                                <w:sz w:val="22"/>
                                <w:szCs w:val="22"/>
                              </w:rPr>
                              <w:t>Jaunučių, jaunių</w:t>
                            </w:r>
                            <w:r>
                              <w:rPr>
                                <w:sz w:val="22"/>
                                <w:szCs w:val="22"/>
                              </w:rPr>
                              <w:t>, jaunimo, suaugusiųjų, neįgaliųjų ir veteranų individualios rungtys</w:t>
                            </w:r>
                          </w:p>
                        </w:tc>
                        <w:tc>
                          <w:tcPr>
                            <w:tcW w:w="1350" w:type="dxa"/>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300</w:t>
                            </w:r>
                          </w:p>
                        </w:tc>
                        <w:tc>
                          <w:tcPr>
                            <w:tcW w:w="1276" w:type="dxa"/>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250</w:t>
                            </w:r>
                          </w:p>
                        </w:tc>
                        <w:tc>
                          <w:tcPr>
                            <w:tcW w:w="1418" w:type="dxa"/>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200</w:t>
                            </w:r>
                          </w:p>
                        </w:tc>
                        <w:tc>
                          <w:tcPr>
                            <w:tcW w:w="1314" w:type="dxa"/>
                            <w:tcBorders>
                              <w:top w:val="single" w:sz="4" w:space="0" w:color="auto"/>
                              <w:left w:val="single" w:sz="4" w:space="0" w:color="auto"/>
                              <w:bottom w:val="single" w:sz="4" w:space="0" w:color="auto"/>
                              <w:right w:val="single" w:sz="4" w:space="0" w:color="auto"/>
                            </w:tcBorders>
                          </w:tcPr>
                          <w:p>
                            <w:pPr>
                              <w:rPr>
                                <w:bCs/>
                                <w:sz w:val="22"/>
                                <w:szCs w:val="22"/>
                              </w:rPr>
                            </w:pPr>
                          </w:p>
                        </w:tc>
                      </w:tr>
                      <w:tr>
                        <w:trPr>
                          <w:trHeight w:val="461"/>
                          <w:jc w:val="center"/>
                        </w:trPr>
                        <w:tc>
                          <w:tcPr>
                            <w:tcW w:w="711" w:type="dxa"/>
                            <w:tcBorders>
                              <w:top w:val="single" w:sz="4" w:space="0" w:color="auto"/>
                              <w:left w:val="single" w:sz="4" w:space="0" w:color="auto"/>
                              <w:bottom w:val="single" w:sz="4" w:space="0" w:color="auto"/>
                              <w:right w:val="single" w:sz="4" w:space="0" w:color="auto"/>
                            </w:tcBorders>
                          </w:tcPr>
                          <w:p>
                            <w:pPr>
                              <w:rPr>
                                <w:bCs/>
                                <w:sz w:val="22"/>
                                <w:szCs w:val="22"/>
                              </w:rPr>
                            </w:pPr>
                            <w:r>
                              <w:rPr>
                                <w:bCs/>
                                <w:sz w:val="22"/>
                                <w:szCs w:val="22"/>
                              </w:rPr>
                              <w:t>4.3.</w:t>
                            </w:r>
                          </w:p>
                        </w:tc>
                        <w:tc>
                          <w:tcPr>
                            <w:tcW w:w="3686" w:type="dxa"/>
                            <w:tcBorders>
                              <w:top w:val="single" w:sz="4" w:space="0" w:color="auto"/>
                              <w:left w:val="single" w:sz="4" w:space="0" w:color="auto"/>
                              <w:bottom w:val="single" w:sz="4" w:space="0" w:color="auto"/>
                              <w:right w:val="single" w:sz="4" w:space="0" w:color="auto"/>
                            </w:tcBorders>
                          </w:tcPr>
                          <w:p>
                            <w:pPr>
                              <w:rPr>
                                <w:b/>
                                <w:bCs/>
                                <w:i/>
                                <w:iCs/>
                                <w:sz w:val="22"/>
                                <w:szCs w:val="22"/>
                              </w:rPr>
                            </w:pPr>
                            <w:r>
                              <w:rPr>
                                <w:b/>
                                <w:bCs/>
                                <w:i/>
                                <w:iCs/>
                                <w:sz w:val="22"/>
                                <w:szCs w:val="22"/>
                              </w:rPr>
                              <w:t>Jaunučių, jaunių individualios rungtys</w:t>
                            </w:r>
                          </w:p>
                        </w:tc>
                        <w:tc>
                          <w:tcPr>
                            <w:tcW w:w="1350" w:type="dxa"/>
                            <w:tcBorders>
                              <w:top w:val="single" w:sz="4" w:space="0" w:color="auto"/>
                              <w:left w:val="single" w:sz="4" w:space="0" w:color="auto"/>
                              <w:bottom w:val="single" w:sz="4" w:space="0" w:color="auto"/>
                              <w:right w:val="single" w:sz="4" w:space="0" w:color="auto"/>
                            </w:tcBorders>
                          </w:tcPr>
                          <w:p>
                            <w:pPr>
                              <w:jc w:val="center"/>
                              <w:rPr>
                                <w:b/>
                                <w:i/>
                                <w:iCs/>
                                <w:sz w:val="22"/>
                                <w:szCs w:val="22"/>
                              </w:rPr>
                            </w:pPr>
                            <w:r>
                              <w:rPr>
                                <w:b/>
                                <w:i/>
                                <w:iCs/>
                                <w:sz w:val="22"/>
                                <w:szCs w:val="22"/>
                              </w:rPr>
                              <w:t>250</w:t>
                            </w:r>
                          </w:p>
                        </w:tc>
                        <w:tc>
                          <w:tcPr>
                            <w:tcW w:w="1276" w:type="dxa"/>
                            <w:tcBorders>
                              <w:top w:val="single" w:sz="4" w:space="0" w:color="auto"/>
                              <w:left w:val="single" w:sz="4" w:space="0" w:color="auto"/>
                              <w:bottom w:val="single" w:sz="4" w:space="0" w:color="auto"/>
                              <w:right w:val="single" w:sz="4" w:space="0" w:color="auto"/>
                            </w:tcBorders>
                          </w:tcPr>
                          <w:p>
                            <w:pPr>
                              <w:jc w:val="center"/>
                              <w:rPr>
                                <w:b/>
                                <w:i/>
                                <w:iCs/>
                                <w:sz w:val="22"/>
                                <w:szCs w:val="22"/>
                              </w:rPr>
                            </w:pPr>
                            <w:r>
                              <w:rPr>
                                <w:b/>
                                <w:i/>
                                <w:iCs/>
                                <w:sz w:val="22"/>
                                <w:szCs w:val="22"/>
                              </w:rPr>
                              <w:t>200</w:t>
                            </w:r>
                          </w:p>
                        </w:tc>
                        <w:tc>
                          <w:tcPr>
                            <w:tcW w:w="1418" w:type="dxa"/>
                            <w:tcBorders>
                              <w:top w:val="single" w:sz="4" w:space="0" w:color="auto"/>
                              <w:left w:val="single" w:sz="4" w:space="0" w:color="auto"/>
                              <w:bottom w:val="single" w:sz="4" w:space="0" w:color="auto"/>
                              <w:right w:val="single" w:sz="4" w:space="0" w:color="auto"/>
                            </w:tcBorders>
                          </w:tcPr>
                          <w:p>
                            <w:pPr>
                              <w:jc w:val="center"/>
                              <w:rPr>
                                <w:b/>
                                <w:i/>
                                <w:iCs/>
                                <w:sz w:val="22"/>
                                <w:szCs w:val="22"/>
                              </w:rPr>
                            </w:pPr>
                            <w:r>
                              <w:rPr>
                                <w:b/>
                                <w:i/>
                                <w:iCs/>
                                <w:sz w:val="22"/>
                                <w:szCs w:val="22"/>
                              </w:rPr>
                              <w:t>150</w:t>
                            </w:r>
                          </w:p>
                        </w:tc>
                        <w:tc>
                          <w:tcPr>
                            <w:tcW w:w="1314" w:type="dxa"/>
                            <w:tcBorders>
                              <w:top w:val="single" w:sz="4" w:space="0" w:color="auto"/>
                              <w:left w:val="single" w:sz="4" w:space="0" w:color="auto"/>
                              <w:bottom w:val="single" w:sz="4" w:space="0" w:color="auto"/>
                              <w:right w:val="single" w:sz="4" w:space="0" w:color="auto"/>
                            </w:tcBorders>
                          </w:tcPr>
                          <w:p>
                            <w:pPr>
                              <w:rPr>
                                <w:bCs/>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
                                <w:sz w:val="22"/>
                                <w:szCs w:val="22"/>
                              </w:rPr>
                            </w:pPr>
                            <w:r>
                              <w:rPr>
                                <w:b/>
                                <w:sz w:val="22"/>
                                <w:szCs w:val="22"/>
                              </w:rPr>
                              <w:t>5.</w:t>
                            </w:r>
                          </w:p>
                        </w:tc>
                        <w:tc>
                          <w:tcPr>
                            <w:tcW w:w="9044" w:type="dxa"/>
                            <w:gridSpan w:val="5"/>
                            <w:tcBorders>
                              <w:top w:val="single" w:sz="4" w:space="0" w:color="auto"/>
                              <w:left w:val="single" w:sz="4" w:space="0" w:color="auto"/>
                              <w:bottom w:val="single" w:sz="4" w:space="0" w:color="auto"/>
                              <w:right w:val="single" w:sz="4" w:space="0" w:color="auto"/>
                            </w:tcBorders>
                            <w:hideMark/>
                          </w:tcPr>
                          <w:p>
                            <w:pPr>
                              <w:rPr>
                                <w:b/>
                                <w:sz w:val="22"/>
                                <w:szCs w:val="22"/>
                              </w:rPr>
                            </w:pPr>
                            <w:r>
                              <w:rPr>
                                <w:b/>
                                <w:sz w:val="22"/>
                                <w:szCs w:val="22"/>
                              </w:rPr>
                              <w:t>Neolimpinių sporto šakų kitų čempionatų čempionai ir prizininkai</w:t>
                            </w: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Cs/>
                                <w:sz w:val="22"/>
                                <w:szCs w:val="22"/>
                              </w:rPr>
                            </w:pPr>
                            <w:r>
                              <w:rPr>
                                <w:bCs/>
                                <w:sz w:val="22"/>
                                <w:szCs w:val="22"/>
                              </w:rPr>
                              <w:t>5.1.</w:t>
                            </w:r>
                          </w:p>
                        </w:tc>
                        <w:tc>
                          <w:tcPr>
                            <w:tcW w:w="368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Jaunučių, jaunių, jaunimo, suaugusiųjų, neįgaliųjų ir veteranų komandos</w:t>
                            </w:r>
                          </w:p>
                        </w:tc>
                        <w:tc>
                          <w:tcPr>
                            <w:tcW w:w="1350" w:type="dxa"/>
                            <w:tcBorders>
                              <w:top w:val="single" w:sz="4" w:space="0" w:color="auto"/>
                              <w:left w:val="single" w:sz="4" w:space="0" w:color="auto"/>
                              <w:bottom w:val="single" w:sz="4" w:space="0" w:color="auto"/>
                              <w:right w:val="single" w:sz="4" w:space="0" w:color="auto"/>
                            </w:tcBorders>
                            <w:hideMark/>
                          </w:tcPr>
                          <w:p>
                            <w:pPr>
                              <w:jc w:val="center"/>
                              <w:rPr>
                                <w:b/>
                                <w:i/>
                                <w:iCs/>
                                <w:strike/>
                                <w:sz w:val="22"/>
                                <w:szCs w:val="22"/>
                              </w:rPr>
                            </w:pPr>
                            <w:r>
                              <w:rPr>
                                <w:b/>
                                <w:i/>
                                <w:iCs/>
                                <w:strike/>
                                <w:sz w:val="22"/>
                                <w:szCs w:val="22"/>
                              </w:rPr>
                              <w:t>400</w:t>
                            </w:r>
                          </w:p>
                          <w:p>
                            <w:pPr>
                              <w:jc w:val="center"/>
                              <w:rPr>
                                <w:b/>
                                <w:i/>
                                <w:iCs/>
                                <w:sz w:val="22"/>
                                <w:szCs w:val="22"/>
                              </w:rPr>
                            </w:pPr>
                            <w:r>
                              <w:rPr>
                                <w:b/>
                                <w:i/>
                                <w:iCs/>
                                <w:sz w:val="22"/>
                                <w:szCs w:val="22"/>
                              </w:rPr>
                              <w:t>700</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i/>
                                <w:iCs/>
                                <w:strike/>
                                <w:sz w:val="22"/>
                                <w:szCs w:val="22"/>
                              </w:rPr>
                            </w:pPr>
                            <w:r>
                              <w:rPr>
                                <w:b/>
                                <w:i/>
                                <w:iCs/>
                                <w:strike/>
                                <w:sz w:val="22"/>
                                <w:szCs w:val="22"/>
                              </w:rPr>
                              <w:t>300</w:t>
                            </w:r>
                          </w:p>
                          <w:p>
                            <w:pPr>
                              <w:jc w:val="center"/>
                              <w:rPr>
                                <w:b/>
                                <w:i/>
                                <w:iCs/>
                                <w:sz w:val="22"/>
                                <w:szCs w:val="22"/>
                              </w:rPr>
                            </w:pPr>
                            <w:r>
                              <w:rPr>
                                <w:b/>
                                <w:i/>
                                <w:iCs/>
                                <w:sz w:val="22"/>
                                <w:szCs w:val="22"/>
                              </w:rPr>
                              <w:t>600</w:t>
                            </w:r>
                          </w:p>
                        </w:tc>
                        <w:tc>
                          <w:tcPr>
                            <w:tcW w:w="1418" w:type="dxa"/>
                            <w:tcBorders>
                              <w:top w:val="single" w:sz="4" w:space="0" w:color="auto"/>
                              <w:left w:val="single" w:sz="4" w:space="0" w:color="auto"/>
                              <w:bottom w:val="single" w:sz="4" w:space="0" w:color="auto"/>
                              <w:right w:val="single" w:sz="4" w:space="0" w:color="auto"/>
                            </w:tcBorders>
                            <w:hideMark/>
                          </w:tcPr>
                          <w:p>
                            <w:pPr>
                              <w:jc w:val="center"/>
                              <w:rPr>
                                <w:b/>
                                <w:i/>
                                <w:iCs/>
                                <w:strike/>
                                <w:sz w:val="22"/>
                                <w:szCs w:val="22"/>
                              </w:rPr>
                            </w:pPr>
                            <w:r>
                              <w:rPr>
                                <w:b/>
                                <w:i/>
                                <w:iCs/>
                                <w:strike/>
                                <w:sz w:val="22"/>
                                <w:szCs w:val="22"/>
                              </w:rPr>
                              <w:t>200</w:t>
                            </w:r>
                          </w:p>
                          <w:p>
                            <w:pPr>
                              <w:jc w:val="center"/>
                              <w:rPr>
                                <w:b/>
                                <w:i/>
                                <w:iCs/>
                                <w:sz w:val="22"/>
                                <w:szCs w:val="22"/>
                              </w:rPr>
                            </w:pPr>
                            <w:r>
                              <w:rPr>
                                <w:b/>
                                <w:i/>
                                <w:iCs/>
                                <w:sz w:val="22"/>
                                <w:szCs w:val="22"/>
                              </w:rPr>
                              <w:t>500</w:t>
                            </w:r>
                          </w:p>
                        </w:tc>
                        <w:tc>
                          <w:tcPr>
                            <w:tcW w:w="1314" w:type="dxa"/>
                            <w:tcBorders>
                              <w:top w:val="single" w:sz="4" w:space="0" w:color="auto"/>
                              <w:left w:val="single" w:sz="4" w:space="0" w:color="auto"/>
                              <w:bottom w:val="single" w:sz="4" w:space="0" w:color="auto"/>
                              <w:right w:val="single" w:sz="4" w:space="0" w:color="auto"/>
                            </w:tcBorders>
                          </w:tcPr>
                          <w:p>
                            <w:pPr>
                              <w:rPr>
                                <w:bCs/>
                                <w:sz w:val="22"/>
                                <w:szCs w:val="22"/>
                              </w:rPr>
                            </w:pPr>
                          </w:p>
                        </w:tc>
                      </w:tr>
                      <w:tr>
                        <w:trPr>
                          <w:jc w:val="center"/>
                        </w:trPr>
                        <w:tc>
                          <w:tcPr>
                            <w:tcW w:w="711" w:type="dxa"/>
                            <w:tcBorders>
                              <w:top w:val="single" w:sz="4" w:space="0" w:color="auto"/>
                              <w:left w:val="single" w:sz="4" w:space="0" w:color="auto"/>
                              <w:bottom w:val="single" w:sz="4" w:space="0" w:color="auto"/>
                              <w:right w:val="single" w:sz="4" w:space="0" w:color="auto"/>
                            </w:tcBorders>
                            <w:hideMark/>
                          </w:tcPr>
                          <w:p>
                            <w:pPr>
                              <w:rPr>
                                <w:bCs/>
                                <w:sz w:val="22"/>
                                <w:szCs w:val="22"/>
                              </w:rPr>
                            </w:pPr>
                            <w:r>
                              <w:rPr>
                                <w:bCs/>
                                <w:sz w:val="22"/>
                                <w:szCs w:val="22"/>
                              </w:rPr>
                              <w:t>5.2.</w:t>
                            </w:r>
                          </w:p>
                        </w:tc>
                        <w:tc>
                          <w:tcPr>
                            <w:tcW w:w="3686"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Jaunučių, jaunių, jaunimo, suaugusiųjų, neįgaliųjų ir veteranų individualios rungtys</w:t>
                            </w:r>
                          </w:p>
                        </w:tc>
                        <w:tc>
                          <w:tcPr>
                            <w:tcW w:w="1350" w:type="dxa"/>
                            <w:tcBorders>
                              <w:top w:val="single" w:sz="4" w:space="0" w:color="auto"/>
                              <w:left w:val="single" w:sz="4" w:space="0" w:color="auto"/>
                              <w:bottom w:val="single" w:sz="4" w:space="0" w:color="auto"/>
                              <w:right w:val="single" w:sz="4" w:space="0" w:color="auto"/>
                            </w:tcBorders>
                            <w:hideMark/>
                          </w:tcPr>
                          <w:p>
                            <w:pPr>
                              <w:jc w:val="center"/>
                              <w:rPr>
                                <w:b/>
                                <w:i/>
                                <w:iCs/>
                                <w:strike/>
                                <w:sz w:val="22"/>
                                <w:szCs w:val="22"/>
                              </w:rPr>
                            </w:pPr>
                            <w:r>
                              <w:rPr>
                                <w:b/>
                                <w:i/>
                                <w:iCs/>
                                <w:strike/>
                                <w:sz w:val="22"/>
                                <w:szCs w:val="22"/>
                              </w:rPr>
                              <w:t>200</w:t>
                            </w:r>
                          </w:p>
                          <w:p>
                            <w:pPr>
                              <w:jc w:val="center"/>
                              <w:rPr>
                                <w:b/>
                                <w:i/>
                                <w:iCs/>
                                <w:sz w:val="22"/>
                                <w:szCs w:val="22"/>
                              </w:rPr>
                            </w:pPr>
                            <w:r>
                              <w:rPr>
                                <w:b/>
                                <w:i/>
                                <w:iCs/>
                                <w:sz w:val="22"/>
                                <w:szCs w:val="22"/>
                              </w:rPr>
                              <w:t>400</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i/>
                                <w:iCs/>
                                <w:strike/>
                                <w:sz w:val="22"/>
                                <w:szCs w:val="22"/>
                              </w:rPr>
                            </w:pPr>
                            <w:r>
                              <w:rPr>
                                <w:b/>
                                <w:i/>
                                <w:iCs/>
                                <w:strike/>
                                <w:sz w:val="22"/>
                                <w:szCs w:val="22"/>
                              </w:rPr>
                              <w:t>150</w:t>
                            </w:r>
                          </w:p>
                          <w:p>
                            <w:pPr>
                              <w:jc w:val="center"/>
                              <w:rPr>
                                <w:b/>
                                <w:i/>
                                <w:iCs/>
                                <w:sz w:val="22"/>
                                <w:szCs w:val="22"/>
                              </w:rPr>
                            </w:pPr>
                            <w:r>
                              <w:rPr>
                                <w:b/>
                                <w:i/>
                                <w:iCs/>
                                <w:sz w:val="22"/>
                                <w:szCs w:val="22"/>
                              </w:rPr>
                              <w:t>350</w:t>
                            </w:r>
                          </w:p>
                        </w:tc>
                        <w:tc>
                          <w:tcPr>
                            <w:tcW w:w="1418" w:type="dxa"/>
                            <w:tcBorders>
                              <w:top w:val="single" w:sz="4" w:space="0" w:color="auto"/>
                              <w:left w:val="single" w:sz="4" w:space="0" w:color="auto"/>
                              <w:bottom w:val="single" w:sz="4" w:space="0" w:color="auto"/>
                              <w:right w:val="single" w:sz="4" w:space="0" w:color="auto"/>
                            </w:tcBorders>
                            <w:hideMark/>
                          </w:tcPr>
                          <w:p>
                            <w:pPr>
                              <w:jc w:val="center"/>
                              <w:rPr>
                                <w:b/>
                                <w:i/>
                                <w:iCs/>
                                <w:strike/>
                                <w:sz w:val="22"/>
                                <w:szCs w:val="22"/>
                              </w:rPr>
                            </w:pPr>
                            <w:r>
                              <w:rPr>
                                <w:b/>
                                <w:i/>
                                <w:iCs/>
                                <w:strike/>
                                <w:sz w:val="22"/>
                                <w:szCs w:val="22"/>
                              </w:rPr>
                              <w:t>100</w:t>
                            </w:r>
                          </w:p>
                          <w:p>
                            <w:pPr>
                              <w:jc w:val="center"/>
                              <w:rPr>
                                <w:b/>
                                <w:i/>
                                <w:iCs/>
                                <w:sz w:val="22"/>
                                <w:szCs w:val="22"/>
                              </w:rPr>
                            </w:pPr>
                            <w:r>
                              <w:rPr>
                                <w:b/>
                                <w:i/>
                                <w:iCs/>
                                <w:sz w:val="22"/>
                                <w:szCs w:val="22"/>
                              </w:rPr>
                              <w:t>300</w:t>
                            </w:r>
                          </w:p>
                        </w:tc>
                        <w:tc>
                          <w:tcPr>
                            <w:tcW w:w="1314" w:type="dxa"/>
                            <w:tcBorders>
                              <w:top w:val="single" w:sz="4" w:space="0" w:color="auto"/>
                              <w:left w:val="single" w:sz="4" w:space="0" w:color="auto"/>
                              <w:bottom w:val="single" w:sz="4" w:space="0" w:color="auto"/>
                              <w:right w:val="single" w:sz="4" w:space="0" w:color="auto"/>
                            </w:tcBorders>
                          </w:tcPr>
                          <w:p>
                            <w:pPr>
                              <w:rPr>
                                <w:bCs/>
                                <w:sz w:val="22"/>
                                <w:szCs w:val="22"/>
                              </w:rPr>
                            </w:pPr>
                          </w:p>
                        </w:tc>
                      </w:tr>
                    </w:tbl>
                    <w:p/>
                  </w:sdtContent>
                </w:sdt>
                <w:sdt>
                  <w:sdtPr>
                    <w:alias w:val="pastraipa"/>
                    <w:tag w:val="part_275a8da6a807436b93b4fc99b90a1929"/>
                    <w:lock w:val="sdtLocked"/>
                    <w:richText/>
                  </w:sdtPr>
                  <w:sdtContent>
                    <w:p>
                      <w:pPr>
                        <w:tabs>
                          <w:tab w:val="left" w:pos="709"/>
                        </w:tabs>
                        <w:suppressAutoHyphens/>
                        <w:ind w:firstLine="709"/>
                        <w:jc w:val="both"/>
                        <w:rPr>
                          <w:szCs w:val="24"/>
                          <w:shd w:val="clear" w:color="auto" w:fill="FFFFFF"/>
                          <w:lang w:eastAsia="ar-SA"/>
                        </w:rPr>
                      </w:pPr>
                      <w:r>
                        <w:rPr>
                          <w:szCs w:val="24"/>
                          <w:shd w:val="clear" w:color="auto" w:fill="FFFFFF"/>
                          <w:lang w:eastAsia="ar-SA"/>
                        </w:rPr>
                        <w:t>Keičiama:</w:t>
                      </w:r>
                    </w:p>
                  </w:sdtContent>
                </w:sdt>
              </w:sdtContent>
            </w:sdt>
            <w:sdt>
              <w:sdtPr>
                <w:alias w:val="pr. 1 p."/>
                <w:tag w:val="part_84781bd6f28f448da58f90b0be06f042"/>
                <w:lock w:val="sdtLocked"/>
                <w:richText/>
              </w:sdtPr>
              <w:sdtContent>
                <w:p>
                  <w:pPr>
                    <w:tabs>
                      <w:tab w:val="left" w:pos="1134"/>
                    </w:tabs>
                    <w:suppressAutoHyphens/>
                    <w:ind w:firstLine="709"/>
                    <w:jc w:val="both"/>
                    <w:rPr>
                      <w:szCs w:val="24"/>
                      <w:shd w:val="clear" w:color="auto" w:fill="FFFFFF"/>
                      <w:lang w:eastAsia="ar-SA"/>
                    </w:rPr>
                  </w:pPr>
                  <w:sdt>
                    <w:sdtPr>
                      <w:alias w:val="Numeris"/>
                      <w:tag w:val="nr_84781bd6f28f448da58f90b0be06f042"/>
                      <w:lock w:val="sdtLocked"/>
                      <w:richText/>
                    </w:sdtPr>
                    <w:sdtContent>
                      <w:r>
                        <w:rPr>
                          <w:szCs w:val="24"/>
                          <w:lang w:eastAsia="ar-SA"/>
                        </w:rPr>
                        <w:t>1</w:t>
                      </w:r>
                    </w:sdtContent>
                  </w:sdt>
                  <w:r>
                    <w:rPr>
                      <w:szCs w:val="24"/>
                      <w:lang w:eastAsia="ar-SA"/>
                    </w:rPr>
                    <w:t>.</w:t>
                    <w:tab/>
                  </w:r>
                  <w:r>
                    <w:rPr>
                      <w:szCs w:val="24"/>
                      <w:shd w:val="clear" w:color="auto" w:fill="FFFFFF"/>
                      <w:lang w:eastAsia="ar-SA"/>
                    </w:rPr>
                    <w:t xml:space="preserve">Priedo 1.1 ir 1.2 papunkčiuose piniginių premijų dydžiai, kadangi Lietuvos Respublikos olimpinių (paralimpinių) sporto šakų individualių varžybų prizininkai turėtų būti skatinami didesnėmis piniginėmis premijomis nei neolimpinių sporto šakų Lietuvos (nacionalinių) čempionatų čempionai ir prizininkai (4.2 papunktis), nes  olimpinės (paralimpinės) sporto šakos turi didesnį svertą lyginant su neolimpinėmis sporto šakomis;</w:t>
                  </w:r>
                </w:p>
              </w:sdtContent>
            </w:sdt>
            <w:sdt>
              <w:sdtPr>
                <w:alias w:val="pr. 2 p."/>
                <w:tag w:val="part_9bb3a8c2b7eb4ecc8153ccbbe5adb603"/>
                <w:lock w:val="sdtLocked"/>
                <w:richText/>
              </w:sdtPr>
              <w:sdtContent>
                <w:p>
                  <w:pPr>
                    <w:tabs>
                      <w:tab w:val="left" w:pos="1134"/>
                    </w:tabs>
                    <w:suppressAutoHyphens/>
                    <w:ind w:firstLine="709"/>
                    <w:jc w:val="both"/>
                    <w:rPr>
                      <w:szCs w:val="24"/>
                      <w:shd w:val="clear" w:color="auto" w:fill="FFFFFF"/>
                      <w:lang w:eastAsia="ar-SA"/>
                    </w:rPr>
                  </w:pPr>
                  <w:sdt>
                    <w:sdtPr>
                      <w:alias w:val="Numeris"/>
                      <w:tag w:val="nr_9bb3a8c2b7eb4ecc8153ccbbe5adb603"/>
                      <w:lock w:val="sdtLocked"/>
                      <w:richText/>
                    </w:sdtPr>
                    <w:sdtContent>
                      <w:r>
                        <w:rPr>
                          <w:szCs w:val="24"/>
                          <w:lang w:eastAsia="ar-SA"/>
                        </w:rPr>
                        <w:t>2</w:t>
                      </w:r>
                    </w:sdtContent>
                  </w:sdt>
                  <w:r>
                    <w:rPr>
                      <w:szCs w:val="24"/>
                      <w:lang w:eastAsia="ar-SA"/>
                    </w:rPr>
                    <w:t>.</w:t>
                    <w:tab/>
                  </w:r>
                  <w:r>
                    <w:rPr>
                      <w:szCs w:val="24"/>
                      <w:shd w:val="clear" w:color="auto" w:fill="FFFFFF"/>
                      <w:lang w:eastAsia="ar-SA"/>
                    </w:rPr>
                    <w:t>Siekiant aiškumo priedo 1 punkte veteranai priskiriami prie 1.1 papunkčio, suskirstoma pagal amžiaus grupes;</w:t>
                  </w:r>
                </w:p>
              </w:sdtContent>
            </w:sdt>
            <w:sdt>
              <w:sdtPr>
                <w:alias w:val="pr. 3 p."/>
                <w:tag w:val="part_769705969327400d9bc0d868eee50330"/>
                <w:lock w:val="sdtLocked"/>
                <w:richText/>
              </w:sdtPr>
              <w:sdtContent>
                <w:p>
                  <w:pPr>
                    <w:tabs>
                      <w:tab w:val="left" w:pos="1134"/>
                    </w:tabs>
                    <w:suppressAutoHyphens/>
                    <w:ind w:firstLine="709"/>
                    <w:jc w:val="both"/>
                    <w:rPr>
                      <w:szCs w:val="24"/>
                      <w:shd w:val="clear" w:color="auto" w:fill="FFFFFF"/>
                      <w:lang w:eastAsia="ar-SA"/>
                    </w:rPr>
                  </w:pPr>
                  <w:sdt>
                    <w:sdtPr>
                      <w:alias w:val="Numeris"/>
                      <w:tag w:val="nr_769705969327400d9bc0d868eee50330"/>
                      <w:lock w:val="sdtLocked"/>
                      <w:richText/>
                    </w:sdtPr>
                    <w:sdtContent>
                      <w:r>
                        <w:rPr>
                          <w:szCs w:val="24"/>
                          <w:lang w:eastAsia="ar-SA"/>
                        </w:rPr>
                        <w:t>3</w:t>
                      </w:r>
                    </w:sdtContent>
                  </w:sdt>
                  <w:r>
                    <w:rPr>
                      <w:szCs w:val="24"/>
                      <w:lang w:eastAsia="ar-SA"/>
                    </w:rPr>
                    <w:t>.</w:t>
                    <w:tab/>
                  </w:r>
                  <w:r>
                    <w:rPr>
                      <w:szCs w:val="24"/>
                      <w:shd w:val="clear" w:color="auto" w:fill="FFFFFF"/>
                      <w:lang w:eastAsia="ar-SA"/>
                    </w:rPr>
                    <w:t>Papildomai priede įtraukiamas 3. punktas – Olimpinių individualių sporto šakų Europos ir Pasaulio čempionatų čempionai ir prizininkai ir atitinkamai prizininkų piniginės premijos turėtų būti didesnės negu Lietuvos Respublikos olimpinių (paralimpinių) sporto šakų prizininkų (1.1 ir 1.2 papunkčiai). Sporto federacijos Lietuvos čempionus deleguoja atstovauti Lietuvą Europos ir Pasaulio čempionatuose. Minėtų čempionatų nugalėtojai ir prizininkai turi galimybę patekti ir atstovauti Lietuvą Olimpinėse žaidynėse;</w:t>
                  </w:r>
                </w:p>
              </w:sdtContent>
            </w:sdt>
            <w:sdt>
              <w:sdtPr>
                <w:alias w:val="pr. 4 p."/>
                <w:tag w:val="part_91865ae0ce364e0eaf62788a91730721"/>
                <w:lock w:val="sdtLocked"/>
                <w:richText/>
              </w:sdtPr>
              <w:sdtContent>
                <w:p>
                  <w:pPr>
                    <w:tabs>
                      <w:tab w:val="left" w:pos="1134"/>
                    </w:tabs>
                    <w:suppressAutoHyphens/>
                    <w:ind w:firstLine="709"/>
                    <w:jc w:val="both"/>
                    <w:rPr>
                      <w:szCs w:val="24"/>
                      <w:shd w:val="clear" w:color="auto" w:fill="FFFFFF"/>
                      <w:lang w:eastAsia="ar-SA"/>
                    </w:rPr>
                  </w:pPr>
                  <w:sdt>
                    <w:sdtPr>
                      <w:alias w:val="Numeris"/>
                      <w:tag w:val="nr_91865ae0ce364e0eaf62788a91730721"/>
                      <w:lock w:val="sdtLocked"/>
                      <w:richText/>
                    </w:sdtPr>
                    <w:sdtContent>
                      <w:r>
                        <w:rPr>
                          <w:szCs w:val="24"/>
                          <w:lang w:eastAsia="ar-SA"/>
                        </w:rPr>
                        <w:t>4</w:t>
                      </w:r>
                    </w:sdtContent>
                  </w:sdt>
                  <w:r>
                    <w:rPr>
                      <w:szCs w:val="24"/>
                      <w:lang w:eastAsia="ar-SA"/>
                    </w:rPr>
                    <w:t>.</w:t>
                    <w:tab/>
                  </w:r>
                  <w:r>
                    <w:rPr>
                      <w:szCs w:val="24"/>
                      <w:shd w:val="clear" w:color="auto" w:fill="FFFFFF"/>
                      <w:lang w:eastAsia="ar-SA"/>
                    </w:rPr>
                    <w:t>Siekiant aiškumo 4.2 ir 4.3 papunkčiai suskirstomi pagal amžiaus grupes;</w:t>
                  </w:r>
                </w:p>
              </w:sdtContent>
            </w:sdt>
            <w:sdt>
              <w:sdtPr>
                <w:alias w:val="pr. 5 p."/>
                <w:tag w:val="part_f10cc80ebc5b4b7c9720107beefe0854"/>
                <w:lock w:val="sdtLocked"/>
                <w:richText/>
              </w:sdtPr>
              <w:sdtContent>
                <w:p>
                  <w:pPr>
                    <w:tabs>
                      <w:tab w:val="left" w:pos="1134"/>
                    </w:tabs>
                    <w:suppressAutoHyphens/>
                    <w:ind w:firstLine="709"/>
                    <w:jc w:val="both"/>
                    <w:rPr>
                      <w:szCs w:val="24"/>
                      <w:shd w:val="clear" w:color="auto" w:fill="FFFFFF"/>
                      <w:lang w:eastAsia="ar-SA"/>
                    </w:rPr>
                  </w:pPr>
                  <w:sdt>
                    <w:sdtPr>
                      <w:alias w:val="Numeris"/>
                      <w:tag w:val="nr_f10cc80ebc5b4b7c9720107beefe0854"/>
                      <w:lock w:val="sdtLocked"/>
                      <w:richText/>
                    </w:sdtPr>
                    <w:sdtContent>
                      <w:r>
                        <w:rPr>
                          <w:szCs w:val="24"/>
                          <w:lang w:eastAsia="ar-SA"/>
                        </w:rPr>
                        <w:t>5</w:t>
                      </w:r>
                    </w:sdtContent>
                  </w:sdt>
                  <w:r>
                    <w:rPr>
                      <w:szCs w:val="24"/>
                      <w:lang w:eastAsia="ar-SA"/>
                    </w:rPr>
                    <w:t>.</w:t>
                    <w:tab/>
                  </w:r>
                  <w:r>
                    <w:rPr>
                      <w:szCs w:val="24"/>
                      <w:shd w:val="clear" w:color="auto" w:fill="FFFFFF"/>
                      <w:lang w:eastAsia="ar-SA"/>
                    </w:rPr>
                    <w:t>Priedo 5.1 ir 5.2 papunkčiuose – Neolimpinių sporto šakų kitų čempionatų (Europos, Pasaulio) čempionai ir prizininkai turėtų būti skatinami didesnėmis piniginėmis premijomis, negu Neolimpinių sporto šakų Lietuvos (nacionalinių) čempionatų čempionai ir prizininkai (4.1 ir 4.2 papunkčiai). Neolimpinių sporto šakų Europos ir Pasaulio čempionatai vienareikšmiškai yra aukštesnio rango ir sportininkai susiduria su ženkliai didesne konkurencija negu Lietuvos čempionatuose.</w:t>
                  </w:r>
                </w:p>
              </w:sdtContent>
            </w:sdt>
            <w:sdt>
              <w:sdtPr>
                <w:alias w:val="pr. 5 p."/>
                <w:tag w:val="part_4b53b2abea474f529df839af064a4c89"/>
                <w:lock w:val="sdtLocked"/>
                <w:richText/>
              </w:sdtPr>
              <w:sdtContent>
                <w:p>
                  <w:pPr>
                    <w:ind w:firstLine="709"/>
                    <w:jc w:val="both"/>
                    <w:rPr>
                      <w:b/>
                      <w:bCs/>
                      <w:szCs w:val="24"/>
                      <w:lang w:eastAsia="lt-LT"/>
                    </w:rPr>
                  </w:pPr>
                  <w:sdt>
                    <w:sdtPr>
                      <w:alias w:val="Numeris"/>
                      <w:tag w:val="nr_4b53b2abea474f529df839af064a4c89"/>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pPr>
                    <w:ind w:firstLine="709"/>
                    <w:jc w:val="both"/>
                    <w:rPr>
                      <w:kern w:val="2"/>
                      <w:szCs w:val="24"/>
                      <w14:ligatures w14:val="standardContextual"/>
                    </w:rPr>
                  </w:pPr>
                  <w:r>
                    <w:rPr>
                      <w:szCs w:val="24"/>
                      <w:lang w:eastAsia="lt-LT"/>
                    </w:rPr>
                    <w:t xml:space="preserve">Priėmus sprendimą neigiamų pasekmių </w:t>
                  </w:r>
                  <w:r>
                    <w:rPr>
                      <w:kern w:val="2"/>
                      <w:szCs w:val="24"/>
                      <w14:ligatures w14:val="standardContextual"/>
                    </w:rPr>
                    <w:t xml:space="preserve">nenumatoma. </w:t>
                  </w:r>
                </w:p>
              </w:sdtContent>
            </w:sdt>
            <w:sdt>
              <w:sdtPr>
                <w:alias w:val="pr. 6 p."/>
                <w:tag w:val="part_c76a1f7f12bd47e2ac37035459db6f02"/>
                <w:lock w:val="sdtLocked"/>
                <w:richText/>
              </w:sdtPr>
              <w:sdtContent>
                <w:p>
                  <w:pPr>
                    <w:ind w:firstLine="709"/>
                    <w:jc w:val="both"/>
                    <w:rPr>
                      <w:b/>
                      <w:bCs/>
                      <w:szCs w:val="24"/>
                      <w:lang w:eastAsia="lt-LT"/>
                    </w:rPr>
                  </w:pPr>
                  <w:sdt>
                    <w:sdtPr>
                      <w:alias w:val="Numeris"/>
                      <w:tag w:val="nr_c76a1f7f12bd47e2ac37035459db6f02"/>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pPr>
                    <w:tabs>
                      <w:tab w:val="left" w:pos="284"/>
                      <w:tab w:val="left" w:pos="709"/>
                    </w:tabs>
                    <w:ind w:firstLine="709"/>
                    <w:jc w:val="both"/>
                    <w:rPr>
                      <w:rFonts w:eastAsia="Calibri"/>
                      <w:szCs w:val="24"/>
                    </w:rPr>
                  </w:pPr>
                  <w:r>
                    <w:rPr>
                      <w:rFonts w:eastAsia="Calibri"/>
                      <w:szCs w:val="24"/>
                    </w:rPr>
                    <w:t>Priėmus sprendimą, pakeičiamas Radviliškio rajono savivaldybės tarybos 2020 m. vasario 27 d. sprendimu Nr. T-190 „Dėl Radviliškio rajono savivaldybės sportininkų ir trenerių skatinimo tvarkos aprašo patvirtinimo“, patvirtintas Radviliškio rajono savivaldybės sportininkų ir trenerių skatinimo tvarkos aprašo priedas.</w:t>
                  </w:r>
                </w:p>
              </w:sdtContent>
            </w:sdt>
            <w:sdt>
              <w:sdtPr>
                <w:alias w:val="pr. 7 p."/>
                <w:tag w:val="part_739795c694924003a44e8ce712decc13"/>
                <w:lock w:val="sdtLocked"/>
                <w:richText/>
              </w:sdtPr>
              <w:sdtContent>
                <w:p>
                  <w:pPr>
                    <w:ind w:firstLine="709"/>
                    <w:jc w:val="both"/>
                    <w:rPr>
                      <w:b/>
                      <w:bCs/>
                      <w:szCs w:val="24"/>
                      <w:lang w:eastAsia="lt-LT"/>
                    </w:rPr>
                  </w:pPr>
                  <w:sdt>
                    <w:sdtPr>
                      <w:alias w:val="Numeris"/>
                      <w:tag w:val="nr_739795c694924003a44e8ce712decc13"/>
                      <w:lock w:val="sdtLocked"/>
                      <w:richText/>
                    </w:sdtPr>
                    <w:sdtContent>
                      <w:r>
                        <w:rPr>
                          <w:b/>
                          <w:bCs/>
                          <w:szCs w:val="24"/>
                          <w:lang w:eastAsia="lt-LT"/>
                        </w:rPr>
                        <w:t>7</w:t>
                      </w:r>
                    </w:sdtContent>
                  </w:sdt>
                  <w:r>
                    <w:rPr>
                      <w:b/>
                      <w:bCs/>
                      <w:szCs w:val="24"/>
                      <w:lang w:eastAsia="lt-LT"/>
                    </w:rPr>
                    <w:t>. Sprendimo projektui įgyvendinti reikalingos lėšos, finansavimo šaltiniai.</w:t>
                  </w:r>
                </w:p>
                <w:p>
                  <w:pPr>
                    <w:ind w:firstLine="709"/>
                    <w:jc w:val="both"/>
                    <w:rPr>
                      <w:szCs w:val="24"/>
                      <w:lang w:eastAsia="lt-LT"/>
                    </w:rPr>
                  </w:pPr>
                  <w:r>
                    <w:rPr>
                      <w:szCs w:val="24"/>
                      <w:lang w:eastAsia="lt-LT"/>
                    </w:rPr>
                    <w:t>Spendimo projektui įgyvendinti, papildomų lėšų nenumatoma.</w:t>
                  </w:r>
                </w:p>
              </w:sdtContent>
            </w:sdt>
            <w:sdt>
              <w:sdtPr>
                <w:alias w:val="pr. 8 p."/>
                <w:tag w:val="part_a7f4534eb9b543e0a15ed4240138b6fb"/>
                <w:lock w:val="sdtLocked"/>
                <w:richText/>
              </w:sdtPr>
              <w:sdtContent>
                <w:p>
                  <w:pPr>
                    <w:ind w:firstLine="709"/>
                    <w:jc w:val="both"/>
                    <w:rPr>
                      <w:b/>
                      <w:bCs/>
                      <w:szCs w:val="24"/>
                      <w:lang w:eastAsia="lt-LT"/>
                    </w:rPr>
                  </w:pPr>
                  <w:sdt>
                    <w:sdtPr>
                      <w:alias w:val="Numeris"/>
                      <w:tag w:val="nr_a7f4534eb9b543e0a15ed4240138b6fb"/>
                      <w:lock w:val="sdtLocked"/>
                      <w:richText/>
                    </w:sdtPr>
                    <w:sdtContent>
                      <w:r>
                        <w:rPr>
                          <w:b/>
                          <w:bCs/>
                          <w:szCs w:val="24"/>
                          <w:lang w:eastAsia="lt-LT"/>
                        </w:rPr>
                        <w:t>8</w:t>
                      </w:r>
                    </w:sdtContent>
                  </w:sdt>
                  <w:r>
                    <w:rPr>
                      <w:b/>
                      <w:bCs/>
                      <w:szCs w:val="24"/>
                      <w:lang w:eastAsia="lt-LT"/>
                    </w:rPr>
                    <w:t>. Sprendimo projekto rengimo metu gauti specialistų vertinimai ir išvados.</w:t>
                  </w:r>
                </w:p>
                <w:p>
                  <w:pPr>
                    <w:ind w:firstLine="709"/>
                    <w:jc w:val="both"/>
                    <w:rPr>
                      <w:szCs w:val="24"/>
                    </w:rPr>
                  </w:pPr>
                  <w:r>
                    <w:rPr>
                      <w:szCs w:val="24"/>
                    </w:rPr>
                    <w:t>Sprendimo projektas suderintas su savivaldybės administracijos juristu, kalbininku, direktore, vicemerais, meru ir Švietimo ir sporto skyriaus vedėju.</w:t>
                  </w:r>
                </w:p>
              </w:sdtContent>
            </w:sdt>
            <w:sdt>
              <w:sdtPr>
                <w:alias w:val="pr. 9 p."/>
                <w:tag w:val="part_63bb52d5f09f461cae24be457f7eb8af"/>
                <w:lock w:val="sdtLocked"/>
                <w:richText/>
              </w:sdtPr>
              <w:sdtContent>
                <w:p>
                  <w:pPr>
                    <w:ind w:firstLine="709"/>
                    <w:jc w:val="both"/>
                    <w:rPr>
                      <w:b/>
                      <w:bCs/>
                      <w:szCs w:val="24"/>
                      <w:lang w:eastAsia="lt-LT"/>
                    </w:rPr>
                  </w:pPr>
                  <w:sdt>
                    <w:sdtPr>
                      <w:alias w:val="Numeris"/>
                      <w:tag w:val="nr_63bb52d5f09f461cae24be457f7eb8af"/>
                      <w:lock w:val="sdtLocked"/>
                      <w:richText/>
                    </w:sdtPr>
                    <w:sdtContent>
                      <w:r>
                        <w:rPr>
                          <w:b/>
                          <w:bCs/>
                          <w:szCs w:val="24"/>
                          <w:lang w:eastAsia="lt-LT"/>
                        </w:rPr>
                        <w:t>9</w:t>
                      </w:r>
                    </w:sdtContent>
                  </w:sdt>
                  <w:r>
                    <w:rPr>
                      <w:b/>
                      <w:bCs/>
                      <w:szCs w:val="24"/>
                      <w:lang w:eastAsia="lt-LT"/>
                    </w:rPr>
                    <w:t>. Numatomo teisinio reguliavimo poveikio vertinimo rezultatai.</w:t>
                  </w:r>
                </w:p>
                <w:p>
                  <w:pPr>
                    <w:ind w:firstLine="709"/>
                    <w:jc w:val="both"/>
                    <w:rPr>
                      <w:szCs w:val="24"/>
                      <w:lang w:eastAsia="lt-LT"/>
                    </w:rPr>
                  </w:pPr>
                  <w:r>
                    <w:rPr>
                      <w:szCs w:val="24"/>
                      <w:lang w:eastAsia="lt-LT"/>
                    </w:rPr>
                    <w:t>Vertinimas neatliekamas.</w:t>
                  </w:r>
                </w:p>
              </w:sdtContent>
            </w:sdt>
            <w:sdt>
              <w:sdtPr>
                <w:alias w:val="pr. 10 p."/>
                <w:tag w:val="part_95ac6c1a49d64d12bf26858032c1e307"/>
                <w:lock w:val="sdtLocked"/>
                <w:richText/>
              </w:sdtPr>
              <w:sdtContent>
                <w:p>
                  <w:pPr>
                    <w:ind w:firstLine="709"/>
                    <w:jc w:val="both"/>
                    <w:rPr>
                      <w:b/>
                      <w:bCs/>
                      <w:szCs w:val="24"/>
                      <w:lang w:eastAsia="lt-LT"/>
                    </w:rPr>
                  </w:pPr>
                  <w:sdt>
                    <w:sdtPr>
                      <w:alias w:val="Numeris"/>
                      <w:tag w:val="nr_95ac6c1a49d64d12bf26858032c1e307"/>
                      <w:lock w:val="sdtLocked"/>
                      <w:richText/>
                    </w:sdtPr>
                    <w:sdtContent>
                      <w:r>
                        <w:rPr>
                          <w:b/>
                          <w:bCs/>
                          <w:szCs w:val="24"/>
                          <w:lang w:eastAsia="lt-LT"/>
                        </w:rPr>
                        <w:t>10</w:t>
                      </w:r>
                    </w:sdtContent>
                  </w:sdt>
                  <w:r>
                    <w:rPr>
                      <w:b/>
                      <w:bCs/>
                      <w:szCs w:val="24"/>
                      <w:lang w:eastAsia="lt-LT"/>
                    </w:rPr>
                    <w:t>. Sprendimo projekto antikorupcinis vertinimas.</w:t>
                  </w:r>
                </w:p>
                <w:p>
                  <w:pPr>
                    <w:tabs>
                      <w:tab w:val="left" w:pos="1276"/>
                    </w:tabs>
                    <w:spacing w:line="259" w:lineRule="auto"/>
                    <w:ind w:firstLine="709"/>
                    <w:jc w:val="both"/>
                    <w:rPr>
                      <w:kern w:val="2"/>
                      <w:szCs w:val="24"/>
                      <w14:ligatures w14:val="standardContextual"/>
                    </w:rPr>
                  </w:pPr>
                  <w:r>
                    <w:rPr>
                      <w:kern w:val="2"/>
                      <w:szCs w:val="24"/>
                      <w14:ligatures w14:val="standardContextual"/>
                    </w:rPr>
                    <w:t>Sprendimo projektas antikorupciniam vertinimui neteikiamas.</w:t>
                  </w:r>
                </w:p>
              </w:sdtContent>
            </w:sdt>
            <w:sdt>
              <w:sdtPr>
                <w:alias w:val="pr. 11 p."/>
                <w:tag w:val="part_81617b2099b94669984fc48eb67cebc2"/>
                <w:lock w:val="sdtLocked"/>
                <w:richText/>
              </w:sdtPr>
              <w:sdtContent>
                <w:p>
                  <w:pPr>
                    <w:ind w:firstLine="709"/>
                    <w:jc w:val="both"/>
                    <w:rPr>
                      <w:b/>
                      <w:bCs/>
                      <w:szCs w:val="24"/>
                      <w:lang w:eastAsia="lt-LT"/>
                    </w:rPr>
                  </w:pPr>
                  <w:sdt>
                    <w:sdtPr>
                      <w:alias w:val="Numeris"/>
                      <w:tag w:val="nr_81617b2099b94669984fc48eb67cebc2"/>
                      <w:lock w:val="sdtLocked"/>
                      <w:richText/>
                    </w:sdtPr>
                    <w:sdtContent>
                      <w:r>
                        <w:rPr>
                          <w:b/>
                          <w:bCs/>
                          <w:szCs w:val="24"/>
                          <w:lang w:eastAsia="lt-LT"/>
                        </w:rPr>
                        <w:t>11</w:t>
                      </w:r>
                    </w:sdtContent>
                  </w:sdt>
                  <w:r>
                    <w:rPr>
                      <w:b/>
                      <w:bCs/>
                      <w:szCs w:val="24"/>
                      <w:lang w:eastAsia="lt-LT"/>
                    </w:rPr>
                    <w:t>. Kiti, iniciatoriaus nuomone, reikalingi pagrindimai ir paaiškinimai.</w:t>
                  </w:r>
                </w:p>
                <w:p>
                  <w:pPr>
                    <w:ind w:firstLine="709"/>
                    <w:jc w:val="both"/>
                    <w:rPr>
                      <w:szCs w:val="24"/>
                      <w:lang w:eastAsia="lt-LT"/>
                    </w:rPr>
                  </w:pPr>
                  <w:r>
                    <w:rPr>
                      <w:szCs w:val="24"/>
                      <w:lang w:eastAsia="lt-LT"/>
                    </w:rPr>
                    <w:t>Nėra.</w:t>
                  </w:r>
                </w:p>
              </w:sdtContent>
            </w:sdt>
            <w:sdt>
              <w:sdtPr>
                <w:alias w:val="pr. 12 p."/>
                <w:tag w:val="part_7aed06da51744a67bcecd8ddaf8498b9"/>
                <w:lock w:val="sdtLocked"/>
                <w:richText/>
              </w:sdtPr>
              <w:sdtContent>
                <w:p>
                  <w:pPr>
                    <w:ind w:firstLine="709"/>
                    <w:jc w:val="both"/>
                    <w:rPr>
                      <w:b/>
                      <w:bCs/>
                      <w:szCs w:val="24"/>
                      <w:lang w:eastAsia="lt-LT"/>
                    </w:rPr>
                  </w:pPr>
                  <w:sdt>
                    <w:sdtPr>
                      <w:alias w:val="Numeris"/>
                      <w:tag w:val="nr_7aed06da51744a67bcecd8ddaf8498b9"/>
                      <w:lock w:val="sdtLocked"/>
                      <w:richText/>
                    </w:sdtPr>
                    <w:sdtContent>
                      <w:r>
                        <w:rPr>
                          <w:b/>
                          <w:bCs/>
                          <w:szCs w:val="24"/>
                          <w:lang w:eastAsia="lt-LT"/>
                        </w:rPr>
                        <w:t>12</w:t>
                      </w:r>
                    </w:sdtContent>
                  </w:sdt>
                  <w:r>
                    <w:rPr>
                      <w:b/>
                      <w:bCs/>
                      <w:szCs w:val="24"/>
                      <w:lang w:eastAsia="lt-LT"/>
                    </w:rPr>
                    <w:t>. Pridedami dokumentai.</w:t>
                  </w:r>
                </w:p>
                <w:p>
                  <w:pPr>
                    <w:ind w:firstLine="709"/>
                    <w:jc w:val="both"/>
                    <w:rPr>
                      <w:b/>
                      <w:bCs/>
                      <w:szCs w:val="24"/>
                      <w:lang w:eastAsia="lt-LT"/>
                    </w:rPr>
                  </w:pPr>
                  <w:r>
                    <w:rPr>
                      <w:szCs w:val="24"/>
                      <w:lang w:eastAsia="lt-LT"/>
                    </w:rPr>
                    <w:t>Nėra.</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Švietimo ir sporto skyriaus vyriausioji specialistė</w:t>
                    <w:tab/>
                    <w:t xml:space="preserve">                                                Rūta Šadbarienė</w:t>
                  </w:r>
                </w:p>
              </w:sdtContent>
            </w:sdt>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00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6044B7-2F79-4BBB-95E6-52242B6B018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5971616">
      <w:bodyDiv w:val="1"/>
      <w:marLeft w:val="0"/>
      <w:marRight w:val="0"/>
      <w:marTop w:val="0"/>
      <w:marBottom w:val="0"/>
      <w:divBdr>
        <w:top w:val="none" w:sz="0" w:space="0" w:color="auto"/>
        <w:left w:val="none" w:sz="0" w:space="0" w:color="auto"/>
        <w:bottom w:val="none" w:sz="0" w:space="0" w:color="auto"/>
        <w:right w:val="none" w:sz="0" w:space="0" w:color="auto"/>
      </w:divBdr>
    </w:div>
    <w:div w:id="419566217">
      <w:bodyDiv w:val="1"/>
      <w:marLeft w:val="0"/>
      <w:marRight w:val="0"/>
      <w:marTop w:val="0"/>
      <w:marBottom w:val="0"/>
      <w:divBdr>
        <w:top w:val="none" w:sz="0" w:space="0" w:color="auto"/>
        <w:left w:val="none" w:sz="0" w:space="0" w:color="auto"/>
        <w:bottom w:val="none" w:sz="0" w:space="0" w:color="auto"/>
        <w:right w:val="none" w:sz="0" w:space="0" w:color="auto"/>
      </w:divBdr>
    </w:div>
    <w:div w:id="465053833">
      <w:bodyDiv w:val="1"/>
      <w:marLeft w:val="0"/>
      <w:marRight w:val="0"/>
      <w:marTop w:val="0"/>
      <w:marBottom w:val="0"/>
      <w:divBdr>
        <w:top w:val="none" w:sz="0" w:space="0" w:color="auto"/>
        <w:left w:val="none" w:sz="0" w:space="0" w:color="auto"/>
        <w:bottom w:val="none" w:sz="0" w:space="0" w:color="auto"/>
        <w:right w:val="none" w:sz="0" w:space="0" w:color="auto"/>
      </w:divBdr>
    </w:div>
    <w:div w:id="530606103">
      <w:bodyDiv w:val="1"/>
      <w:marLeft w:val="0"/>
      <w:marRight w:val="0"/>
      <w:marTop w:val="0"/>
      <w:marBottom w:val="0"/>
      <w:divBdr>
        <w:top w:val="none" w:sz="0" w:space="0" w:color="auto"/>
        <w:left w:val="none" w:sz="0" w:space="0" w:color="auto"/>
        <w:bottom w:val="none" w:sz="0" w:space="0" w:color="auto"/>
        <w:right w:val="none" w:sz="0" w:space="0" w:color="auto"/>
      </w:divBdr>
    </w:div>
    <w:div w:id="761343993">
      <w:bodyDiv w:val="1"/>
      <w:marLeft w:val="0"/>
      <w:marRight w:val="0"/>
      <w:marTop w:val="0"/>
      <w:marBottom w:val="0"/>
      <w:divBdr>
        <w:top w:val="none" w:sz="0" w:space="0" w:color="auto"/>
        <w:left w:val="none" w:sz="0" w:space="0" w:color="auto"/>
        <w:bottom w:val="none" w:sz="0" w:space="0" w:color="auto"/>
        <w:right w:val="none" w:sz="0" w:space="0" w:color="auto"/>
      </w:divBdr>
    </w:div>
    <w:div w:id="790323038">
      <w:bodyDiv w:val="1"/>
      <w:marLeft w:val="0"/>
      <w:marRight w:val="0"/>
      <w:marTop w:val="0"/>
      <w:marBottom w:val="0"/>
      <w:divBdr>
        <w:top w:val="none" w:sz="0" w:space="0" w:color="auto"/>
        <w:left w:val="none" w:sz="0" w:space="0" w:color="auto"/>
        <w:bottom w:val="none" w:sz="0" w:space="0" w:color="auto"/>
        <w:right w:val="none" w:sz="0" w:space="0" w:color="auto"/>
      </w:divBdr>
    </w:div>
    <w:div w:id="855847057">
      <w:bodyDiv w:val="1"/>
      <w:marLeft w:val="0"/>
      <w:marRight w:val="0"/>
      <w:marTop w:val="0"/>
      <w:marBottom w:val="0"/>
      <w:divBdr>
        <w:top w:val="none" w:sz="0" w:space="0" w:color="auto"/>
        <w:left w:val="none" w:sz="0" w:space="0" w:color="auto"/>
        <w:bottom w:val="none" w:sz="0" w:space="0" w:color="auto"/>
        <w:right w:val="none" w:sz="0" w:space="0" w:color="auto"/>
      </w:divBdr>
    </w:div>
    <w:div w:id="865487220">
      <w:bodyDiv w:val="1"/>
      <w:marLeft w:val="0"/>
      <w:marRight w:val="0"/>
      <w:marTop w:val="0"/>
      <w:marBottom w:val="0"/>
      <w:divBdr>
        <w:top w:val="none" w:sz="0" w:space="0" w:color="auto"/>
        <w:left w:val="none" w:sz="0" w:space="0" w:color="auto"/>
        <w:bottom w:val="none" w:sz="0" w:space="0" w:color="auto"/>
        <w:right w:val="none" w:sz="0" w:space="0" w:color="auto"/>
      </w:divBdr>
    </w:div>
    <w:div w:id="922028921">
      <w:bodyDiv w:val="1"/>
      <w:marLeft w:val="0"/>
      <w:marRight w:val="0"/>
      <w:marTop w:val="0"/>
      <w:marBottom w:val="0"/>
      <w:divBdr>
        <w:top w:val="none" w:sz="0" w:space="0" w:color="auto"/>
        <w:left w:val="none" w:sz="0" w:space="0" w:color="auto"/>
        <w:bottom w:val="none" w:sz="0" w:space="0" w:color="auto"/>
        <w:right w:val="none" w:sz="0" w:space="0" w:color="auto"/>
      </w:divBdr>
    </w:div>
    <w:div w:id="933561519">
      <w:bodyDiv w:val="1"/>
      <w:marLeft w:val="0"/>
      <w:marRight w:val="0"/>
      <w:marTop w:val="0"/>
      <w:marBottom w:val="0"/>
      <w:divBdr>
        <w:top w:val="none" w:sz="0" w:space="0" w:color="auto"/>
        <w:left w:val="none" w:sz="0" w:space="0" w:color="auto"/>
        <w:bottom w:val="none" w:sz="0" w:space="0" w:color="auto"/>
        <w:right w:val="none" w:sz="0" w:space="0" w:color="auto"/>
      </w:divBdr>
    </w:div>
    <w:div w:id="945894186">
      <w:bodyDiv w:val="1"/>
      <w:marLeft w:val="0"/>
      <w:marRight w:val="0"/>
      <w:marTop w:val="0"/>
      <w:marBottom w:val="0"/>
      <w:divBdr>
        <w:top w:val="none" w:sz="0" w:space="0" w:color="auto"/>
        <w:left w:val="none" w:sz="0" w:space="0" w:color="auto"/>
        <w:bottom w:val="none" w:sz="0" w:space="0" w:color="auto"/>
        <w:right w:val="none" w:sz="0" w:space="0" w:color="auto"/>
      </w:divBdr>
    </w:div>
    <w:div w:id="1047952020">
      <w:bodyDiv w:val="1"/>
      <w:marLeft w:val="0"/>
      <w:marRight w:val="0"/>
      <w:marTop w:val="0"/>
      <w:marBottom w:val="0"/>
      <w:divBdr>
        <w:top w:val="none" w:sz="0" w:space="0" w:color="auto"/>
        <w:left w:val="none" w:sz="0" w:space="0" w:color="auto"/>
        <w:bottom w:val="none" w:sz="0" w:space="0" w:color="auto"/>
        <w:right w:val="none" w:sz="0" w:space="0" w:color="auto"/>
      </w:divBdr>
    </w:div>
    <w:div w:id="1468935336">
      <w:bodyDiv w:val="1"/>
      <w:marLeft w:val="0"/>
      <w:marRight w:val="0"/>
      <w:marTop w:val="0"/>
      <w:marBottom w:val="0"/>
      <w:divBdr>
        <w:top w:val="none" w:sz="0" w:space="0" w:color="auto"/>
        <w:left w:val="none" w:sz="0" w:space="0" w:color="auto"/>
        <w:bottom w:val="none" w:sz="0" w:space="0" w:color="auto"/>
        <w:right w:val="none" w:sz="0" w:space="0" w:color="auto"/>
      </w:divBdr>
    </w:div>
    <w:div w:id="1658486568">
      <w:bodyDiv w:val="1"/>
      <w:marLeft w:val="0"/>
      <w:marRight w:val="0"/>
      <w:marTop w:val="0"/>
      <w:marBottom w:val="0"/>
      <w:divBdr>
        <w:top w:val="none" w:sz="0" w:space="0" w:color="auto"/>
        <w:left w:val="none" w:sz="0" w:space="0" w:color="auto"/>
        <w:bottom w:val="none" w:sz="0" w:space="0" w:color="auto"/>
        <w:right w:val="none" w:sz="0" w:space="0" w:color="auto"/>
      </w:divBdr>
    </w:div>
    <w:div w:id="1707096730">
      <w:bodyDiv w:val="1"/>
      <w:marLeft w:val="0"/>
      <w:marRight w:val="0"/>
      <w:marTop w:val="0"/>
      <w:marBottom w:val="0"/>
      <w:divBdr>
        <w:top w:val="none" w:sz="0" w:space="0" w:color="auto"/>
        <w:left w:val="none" w:sz="0" w:space="0" w:color="auto"/>
        <w:bottom w:val="none" w:sz="0" w:space="0" w:color="auto"/>
        <w:right w:val="none" w:sz="0" w:space="0" w:color="auto"/>
      </w:divBdr>
    </w:div>
    <w:div w:id="2114939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da2cfdf64e949f185805778eb292373" PartId="a0de1890e24a4073a2b30c01475ed306">
    <Part Type="preambule" DocPartId="b557add03f954f6db2fc3280d7e9dca0" PartId="efe731bde6df438e95b77f537496859d"/>
    <Part Type="pastraipa" DocPartId="8a8ef0e0916c4a46bcc4c68bb4db6e3d" PartId="ac31402f04a6492988bece18bb858cc1"/>
    <Part Type="signatura" DocPartId="ae915936c2994dcaa3a9afd5134814f3" PartId="5b4ca6eaf50240759437959404e859e7"/>
  </Part>
  <Part Type="priedas" Abbr="pr." Title="RADVILIŠKIO RAJONO SAVIVALDYBĖS SPORTININKŲ SKATINIMO PINIGINIŲ PREMIJŲ DYDŽIAI" DocPartId="2cb3d3d038be42cb8815107030f6b953" PartId="62e21bea99044f5f928082bf7715d2c5">
    <Part Type="skirsnis" Title="RADVILIŠKIO RAJONO SAVIVALDYBĖS TARYBOS SPRENDIMO PROJEKTO „DĖL RADVILIŠKIO RAJONO SAVIVALDYBĖS SPORTININKŲ IR TRENERIŲ SKATINIMO TVARKOS APRAŠO, PATVIRTINTO RADVILIŠKIO RAJONO SAVIVALDYBĖS TARYBOS 2020 M. VASARIO 27 D. SPRENDIMU NR. T-190 „DĖL RADVILIŠKIO RAJONO SAVIVALDYBĖS SPORTININKŲ IR TRENERIŲ SKATINIMO TVARKOS APRAŠO PATVIRTINIMO“ PAKEITIMO“" DocPartId="1ba1bbfa4c6a417c8c4b013d70ecb4fd" PartId="d58b6cc6b0c34af581546bdaec8f8766"/>
    <Part Type="skirsnis" Title="AIŠKINAMASIS RAŠTAS" DocPartId="9cd9ab4fca94496ba73b539cf2e5e4db" PartId="6b3aa9356d314f3a8e06a67556848155">
      <Part Type="punktas" Nr="1" Abbr="pr. 1 p." DocPartId="1c5022baecd74cf9bce6396ee3b186ed" PartId="40c76272f53a49299bd7a02baeb20010"/>
      <Part Type="punktas" Nr="2" Abbr="pr. 2 p." DocPartId="d3b769d4041d4f3e866b8e30468bf06d" PartId="6ccdfab4bfd54e239441773f83b87156"/>
      <Part Type="punktas" Nr="3" Abbr="pr. 3 p." DocPartId="3478bd3a63e74b298b6a0e709982dcf3" PartId="8517e1bfc4484d5da5a54e42e7cf0755"/>
      <Part Type="punktas" Nr="4" Abbr="pr. 4 p." DocPartId="1ad184fce1e4496e8247ad370bad8b5d" PartId="a874cbf5995847b182fc3ca2c3c67bd2">
        <Part Type="lentele" Title="RADVILIŠKIO RAJONO SAVIVALDYBĖS SPORTININKŲ SKATINIMO PINIGINIŲ PREMIJŲ DYDŽIAI" DocPartId="02294d6e5830454bba32e317803a73f6" PartId="e30a8b2a5b6b402f8eba69982d85712d"/>
        <Part Type="lentele" DocPartId="577d4129296d4f9c8159fa7c894855cd" PartId="4465a22dbae544b8bf9ecaa4b5cc8dfa"/>
        <Part Type="pastraipa" DocPartId="9b590d39675c4c8e96546800b4dff252" PartId="275a8da6a807436b93b4fc99b90a1929"/>
      </Part>
      <Part Type="punktas" Nr="1" Abbr="pr. 1 p." Notes="Numeris ne iš eilės. Trūksta dalių? [DocDalys]" DocPartId="b6047cc94ea8409eaf6d8c724135df76" PartId="84781bd6f28f448da58f90b0be06f042"/>
      <Part Type="punktas" Nr="2" Abbr="pr. 2 p." DocPartId="aee5b50a9e5342ed86b73973202ff2c8" PartId="9bb3a8c2b7eb4ecc8153ccbbe5adb603"/>
      <Part Type="punktas" Nr="3" Abbr="pr. 3 p." DocPartId="827611afcfa34849829a69215d97a436" PartId="769705969327400d9bc0d868eee50330"/>
      <Part Type="punktas" Nr="4" Abbr="pr. 4 p." DocPartId="a5a72fd9deb7412099e882de3b6f657f" PartId="91865ae0ce364e0eaf62788a91730721"/>
      <Part Type="punktas" Nr="5" Abbr="pr. 5 p." DocPartId="925257dccacf4627afd7dd27c7e84c9f" PartId="f10cc80ebc5b4b7c9720107beefe0854"/>
      <Part Type="punktas" Nr="5" Abbr="pr. 5 p." Notes="Numeris ne iš eilės. Trūksta dalių? [DocDalys]" DocPartId="61f7b3a5e8b94b7ca29ae9890b0f1c24" PartId="4b53b2abea474f529df839af064a4c89"/>
      <Part Type="punktas" Nr="6" Abbr="pr. 6 p." DocPartId="ae8c5e0d07ed435b94ae1e73d723c16e" PartId="c76a1f7f12bd47e2ac37035459db6f02"/>
      <Part Type="punktas" Nr="7" Abbr="pr. 7 p." DocPartId="78f1fc79eb1b4b37b5b994e5d4ee2086" PartId="739795c694924003a44e8ce712decc13"/>
      <Part Type="punktas" Nr="8" Abbr="pr. 8 p." DocPartId="c770f76e5937402f9b1a305d59251421" PartId="a7f4534eb9b543e0a15ed4240138b6fb"/>
      <Part Type="punktas" Nr="9" Abbr="pr. 9 p." DocPartId="fb3c991d18ea4d9a901f927db243bdb7" PartId="63bb52d5f09f461cae24be457f7eb8af"/>
      <Part Type="punktas" Nr="10" Abbr="pr. 10 p." DocPartId="c560e7b60be8404f8b17c39105fe51b6" PartId="95ac6c1a49d64d12bf26858032c1e307"/>
      <Part Type="punktas" Nr="11" Abbr="pr. 11 p." DocPartId="28d97beb2998435dae9cdfdac4e9bb47" PartId="81617b2099b94669984fc48eb67cebc2"/>
      <Part Type="punktas" Nr="12" Abbr="pr. 12 p." DocPartId="6eaa24a9c81d496d818223cb55fb673e" PartId="7aed06da51744a67bcecd8ddaf8498b9"/>
    </Part>
  </Part>
</Parts>
</file>

<file path=customXml/itemProps1.xml><?xml version="1.0" encoding="utf-8"?>
<ds:datastoreItem xmlns:ds="http://schemas.openxmlformats.org/officeDocument/2006/customXml" ds:itemID="{9051BD17-E881-4BDD-803C-8283DE8C368D}">
  <ds:schemaRefs>
    <ds:schemaRef ds:uri="http://schemas.openxmlformats.org/officeDocument/2006/bibliography"/>
  </ds:schemaRefs>
</ds:datastoreItem>
</file>

<file path=customXml/itemProps2.xml><?xml version="1.0" encoding="utf-8"?>
<ds:datastoreItem xmlns:ds="http://schemas.openxmlformats.org/officeDocument/2006/customXml" ds:itemID="{412B4676-FF16-4AA4-972E-6026633E7B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1295</Words>
  <Characters>8461</Characters>
  <Application>Microsoft Office Word</Application>
  <DocSecurity>4</DocSecurity>
  <Lines>497</Lines>
  <Paragraphs>361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2024-12-17T13:06:00Z</dcterms:created>
  <dc:creator>Intel</dc:creator>
  <lastModifiedBy>adlibuser</lastModifiedBy>
  <lastPrinted>2024-09-09T13:48:00Z</lastPrinted>
  <dcterms:modified xsi:type="dcterms:W3CDTF">2024-12-17T13:06:00Z</dcterms:modified>
  <revision>2</revision>
</coreProperties>
</file>