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67592f0ce764e18be3955d3b6182b5a"/>
        <w:lock w:val="sdtLocked"/>
        <w:richText/>
      </w:sdtPr>
      <w:sdtContent>
        <w:p w14:paraId="24790222" w14:textId="77777777">
          <w:pPr>
            <w:suppressLineNumbers/>
            <w:tabs>
              <w:tab w:val="center" w:pos="8789"/>
              <w:tab w:val="right" w:pos="10771"/>
            </w:tabs>
            <w:suppressAutoHyphens/>
            <w:rPr>
              <w:b/>
              <w:bCs/>
              <w:shd w:val="clear" w:color="auto" w:fill="FFFFFF"/>
              <w:lang w:eastAsia="ar-SA"/>
            </w:rPr>
          </w:pPr>
          <w:r>
            <w:rPr>
              <w:b/>
              <w:bCs/>
              <w:shd w:val="clear" w:color="auto" w:fill="FFFFFF"/>
              <w:lang w:eastAsia="ar-SA"/>
            </w:rPr>
            <w:tab/>
            <w:t>Projektas</w:t>
          </w:r>
        </w:p>
        <w:p w14:paraId="51538CCB" w14:textId="77777777">
          <w:pPr>
            <w:suppressLineNumbers/>
            <w:tabs>
              <w:tab w:val="center" w:pos="8789"/>
              <w:tab w:val="right" w:pos="10771"/>
            </w:tabs>
            <w:suppressAutoHyphens/>
            <w:rPr>
              <w:lang w:eastAsia="ar-SA"/>
            </w:rPr>
          </w:pPr>
          <w:r>
            <w:rPr>
              <w:bCs/>
              <w:lang w:eastAsia="ar-SA"/>
            </w:rPr>
            <w:tab/>
          </w:r>
        </w:p>
        <w:p w14:paraId="5BE8A340" w14:textId="77777777">
          <w:pPr>
            <w:tabs>
              <w:tab w:val="left" w:pos="2805"/>
              <w:tab w:val="center" w:pos="4819"/>
            </w:tabs>
            <w:suppressAutoHyphens/>
            <w:ind w:right="-87"/>
            <w:jc w:val="center"/>
            <w:rPr>
              <w:b/>
              <w:szCs w:val="24"/>
              <w:lang w:eastAsia="ar-SA"/>
            </w:rPr>
          </w:pPr>
          <w:r>
            <w:rPr>
              <w:b/>
              <w:szCs w:val="24"/>
              <w:lang w:eastAsia="ar-SA"/>
            </w:rPr>
            <w:t>ŠIAULIŲ MIESTO SAVIVALDYBĖS TARYBA</w:t>
          </w:r>
        </w:p>
        <w:p w14:paraId="06CBB38F" w14:textId="77777777">
          <w:pPr>
            <w:suppressAutoHyphens/>
            <w:ind w:right="-87"/>
            <w:jc w:val="center"/>
            <w:rPr>
              <w:szCs w:val="24"/>
              <w:lang w:eastAsia="ar-SA"/>
            </w:rPr>
          </w:pPr>
        </w:p>
        <w:p w14:paraId="4FB4183D" w14:textId="77777777">
          <w:pPr>
            <w:keepNext/>
            <w:tabs>
              <w:tab w:val="left" w:pos="0"/>
            </w:tabs>
            <w:suppressAutoHyphens/>
            <w:ind w:right="-87"/>
            <w:jc w:val="center"/>
            <w:rPr>
              <w:b/>
              <w:bCs/>
              <w:szCs w:val="24"/>
              <w:lang w:eastAsia="ar-SA"/>
            </w:rPr>
          </w:pPr>
          <w:r>
            <w:rPr>
              <w:b/>
              <w:bCs/>
              <w:szCs w:val="24"/>
              <w:lang w:eastAsia="ar-SA"/>
            </w:rPr>
            <w:t>SPRENDIMAS</w:t>
          </w:r>
        </w:p>
        <w:p w14:paraId="4E49FBB8" w14:textId="1FD990CB">
          <w:pPr>
            <w:suppressAutoHyphens/>
            <w:ind w:right="-87"/>
            <w:jc w:val="center"/>
            <w:rPr>
              <w:b/>
              <w:bCs/>
              <w:color w:val="000000"/>
              <w:szCs w:val="24"/>
              <w:shd w:val="clear" w:color="auto" w:fill="FFFFFF"/>
              <w:lang w:eastAsia="ar-SA"/>
            </w:rPr>
          </w:pPr>
          <w:r>
            <w:rPr>
              <w:b/>
              <w:bCs/>
              <w:color w:val="000000"/>
              <w:szCs w:val="24"/>
              <w:shd w:val="clear" w:color="auto" w:fill="FFFFFF"/>
              <w:lang w:eastAsia="ar-SA"/>
            </w:rPr>
            <w:t>DĖL PRITARIMO PERLEISTI NUOSAVYBĖS TEISE PRIKLAUSANČIŲ PASTATO IR KITŲ INŽINERINIŲ STATINIŲ DALIŲ ŽEMĖS SKLYPE VERDULIŲ G. 25, ŠIAULIŲ MIESTE, IR VALSTYBINĖS ŽEMĖS NUOMOS SUTARTIES NUTRAUKIMO PRIEŠ TERMINĄ</w:t>
          </w:r>
        </w:p>
        <w:p w14:paraId="4B12CB34" w14:textId="074AAD25">
          <w:pPr>
            <w:suppressAutoHyphens/>
            <w:ind w:right="-87"/>
            <w:jc w:val="center"/>
            <w:rPr>
              <w:b/>
              <w:szCs w:val="24"/>
              <w:lang w:eastAsia="ar-SA"/>
            </w:rPr>
          </w:pPr>
        </w:p>
        <w:p w14:paraId="2B0A6B13" w14:textId="77777777">
          <w:pPr>
            <w:suppressAutoHyphens/>
            <w:ind w:right="-87"/>
            <w:jc w:val="center"/>
            <w:rPr>
              <w:szCs w:val="24"/>
              <w:lang w:eastAsia="ar-SA"/>
            </w:rPr>
          </w:pPr>
        </w:p>
        <w:p w14:paraId="49BA81EE" w14:textId="07242882">
          <w:pPr>
            <w:suppressAutoHyphens/>
            <w:ind w:right="-87"/>
            <w:jc w:val="center"/>
            <w:rPr>
              <w:szCs w:val="24"/>
              <w:lang w:eastAsia="ar-SA"/>
            </w:rPr>
          </w:pPr>
          <w:r>
            <w:rPr>
              <w:szCs w:val="24"/>
              <w:lang w:eastAsia="ar-SA"/>
            </w:rPr>
            <w:t xml:space="preserve">2024 m.                   d. Nr. T-</w:t>
          </w:r>
        </w:p>
        <w:p w14:paraId="131772FC" w14:textId="77777777">
          <w:pPr>
            <w:suppressAutoHyphens/>
            <w:ind w:right="-87"/>
            <w:jc w:val="center"/>
            <w:rPr>
              <w:szCs w:val="24"/>
              <w:lang w:eastAsia="ar-SA"/>
            </w:rPr>
          </w:pPr>
          <w:r>
            <w:rPr>
              <w:szCs w:val="24"/>
              <w:lang w:eastAsia="ar-SA"/>
            </w:rPr>
            <w:t xml:space="preserve">Šiauliai </w:t>
          </w:r>
        </w:p>
        <w:p w14:paraId="05A2FA21" w14:textId="77777777">
          <w:pPr>
            <w:suppressAutoHyphens/>
            <w:ind w:right="-87"/>
            <w:jc w:val="center"/>
            <w:rPr>
              <w:szCs w:val="24"/>
              <w:lang w:eastAsia="ar-SA"/>
            </w:rPr>
          </w:pPr>
        </w:p>
        <w:sdt>
          <w:sdtPr>
            <w:alias w:val="preambule"/>
            <w:tag w:val="part_5014458daaa44df5b3c9069d93dbc46a"/>
            <w:lock w:val="sdtLocked"/>
            <w:richText/>
          </w:sdtPr>
          <w:sdtContent>
            <w:p w14:paraId="32F84101" w14:textId="1E4175AC">
              <w:pPr>
                <w:suppressAutoHyphens/>
                <w:ind w:firstLine="720"/>
                <w:jc w:val="both"/>
                <w:rPr>
                  <w:rFonts w:eastAsia="HG Mincho Light J"/>
                  <w:color w:val="000000"/>
                  <w:spacing w:val="40"/>
                  <w:szCs w:val="24"/>
                  <w:lang w:eastAsia="lt-LT"/>
                </w:rPr>
              </w:pPr>
              <w:r>
                <w:rPr>
                  <w:szCs w:val="24"/>
                  <w:lang w:eastAsia="ar-SA"/>
                </w:rPr>
                <w:t xml:space="preserve">Vadovaudamasi Lietuvos Respublikos civilinio kodekso </w:t>
              </w:r>
              <w:r>
                <w:rPr>
                  <w:bCs/>
                  <w:lang w:eastAsia="ar-SA"/>
                </w:rPr>
                <w:t>6.394 straipsnio 3 dalimi</w:t>
              </w:r>
              <w:r>
                <w:rPr>
                  <w:szCs w:val="24"/>
                  <w:lang w:eastAsia="ar-SA"/>
                </w:rPr>
                <w:t>, 6.562 straipsnio 6 punktu, Lietuvos Respublikos vietos savivaldos įstatymo 7 straipsnio 9 punktu, 15 straipsnio 2 dalies 20 punktu, 63 straipsnio 4 dalimi, K</w:t>
              </w:r>
              <w:r>
                <w:rPr>
                  <w:color w:val="000000"/>
                  <w:lang w:eastAsia="ar-SA"/>
                </w:rPr>
                <w:t xml:space="preserve">itos paskirties valstybinės žemės sklypų pardavimo ir nuomos taisyklių, </w:t>
              </w:r>
              <w:r>
                <w:rPr>
                  <w:szCs w:val="24"/>
                  <w:lang w:eastAsia="ar-SA"/>
                </w:rPr>
                <w:t xml:space="preserve">patvirtintų Lietuvos Respublikos Vyriausybės 1999 m. kovo 9 d. nutarimu Nr. 260 „Dėl kitos paskirties valstybinės žemės sklypų pardavimo ir nuomos taisyklių patvirtinimo“ </w:t>
              </w:r>
              <w:r>
                <w:rPr>
                  <w:bCs/>
                  <w:szCs w:val="24"/>
                  <w:lang w:eastAsia="lt-LT"/>
                </w:rPr>
                <w:t xml:space="preserve">(toliau – Taisyklės) </w:t>
              </w:r>
              <w:r>
                <w:rPr>
                  <w:szCs w:val="24"/>
                  <w:lang w:eastAsia="ar-SA"/>
                </w:rPr>
                <w:t>2 punktu, atsižvelgdama į P. A. G.</w:t>
              </w:r>
              <w:r>
                <w:rPr>
                  <w:color w:val="FF0000"/>
                  <w:szCs w:val="24"/>
                  <w:lang w:eastAsia="ar-SA"/>
                </w:rPr>
                <w:t xml:space="preserve"> </w:t>
              </w:r>
              <w:r>
                <w:rPr>
                  <w:szCs w:val="24"/>
                  <w:lang w:eastAsia="ar-SA"/>
                </w:rPr>
                <w:t xml:space="preserve">2024-05-30 prašymą (registracijos DVS „Avilys“ Nr. GP-632), Šiaulių miesto savivaldybės taryba </w:t>
              </w:r>
              <w:r>
                <w:rPr>
                  <w:rFonts w:eastAsia="HG Mincho Light J"/>
                  <w:color w:val="000000"/>
                  <w:spacing w:val="60"/>
                  <w:szCs w:val="24"/>
                  <w:lang w:eastAsia="lt-LT"/>
                </w:rPr>
                <w:t>nusprendži</w:t>
              </w:r>
              <w:r>
                <w:rPr>
                  <w:rFonts w:eastAsia="HG Mincho Light J"/>
                  <w:color w:val="000000"/>
                  <w:spacing w:val="40"/>
                  <w:szCs w:val="24"/>
                  <w:lang w:eastAsia="lt-LT"/>
                </w:rPr>
                <w:t>a:</w:t>
              </w:r>
            </w:p>
          </w:sdtContent>
        </w:sdt>
        <w:sdt>
          <w:sdtPr>
            <w:alias w:val="1 p."/>
            <w:tag w:val="part_b3a6b1f134c14777970b9543dca76d7c"/>
            <w:lock w:val="sdtLocked"/>
            <w:richText/>
          </w:sdtPr>
          <w:sdtContent>
            <w:p w14:paraId="7A3035A9" w14:textId="4D017E75">
              <w:pPr>
                <w:suppressAutoHyphens/>
                <w:ind w:firstLine="720"/>
                <w:jc w:val="both"/>
                <w:rPr>
                  <w:rFonts w:eastAsia="HG Mincho Light J"/>
                  <w:bCs/>
                  <w:color w:val="000000"/>
                  <w:szCs w:val="24"/>
                </w:rPr>
              </w:pPr>
              <w:sdt>
                <w:sdtPr>
                  <w:alias w:val="Numeris"/>
                  <w:tag w:val="nr_b3a6b1f134c14777970b9543dca76d7c"/>
                  <w:lock w:val="sdtLocked"/>
                  <w:richText/>
                </w:sdtPr>
                <w:sdtContent>
                  <w:r>
                    <w:rPr>
                      <w:szCs w:val="24"/>
                      <w:lang w:eastAsia="ar-SA"/>
                    </w:rPr>
                    <w:t>1</w:t>
                  </w:r>
                </w:sdtContent>
              </w:sdt>
              <w:r>
                <w:rPr>
                  <w:szCs w:val="24"/>
                  <w:lang w:eastAsia="ar-SA"/>
                </w:rPr>
                <w:t>. Pritarti, kad P. A. G. perleistų</w:t>
              </w:r>
              <w:r>
                <w:rPr>
                  <w:rFonts w:eastAsia="HG Mincho Light J"/>
                  <w:bCs/>
                  <w:color w:val="000000"/>
                  <w:szCs w:val="24"/>
                </w:rPr>
                <w:t xml:space="preserve"> nuosavybės teise priklausančių 14/100 dalių pastato (unikalus Nr. 2993-9011-0010), 14/100 dalių kitų inžinerinių statinių (unikalus Nr. 2993-9011-0087), esančių </w:t>
              </w:r>
              <w:r>
                <w:rPr>
                  <w:szCs w:val="24"/>
                  <w:lang w:eastAsia="ar-SA"/>
                </w:rPr>
                <w:t>suformuotame 0,1426 ha ploto valstybinės žemės sklype (unikalus Nr. 2901-0023-0387, kadastro Nr.</w:t>
              </w:r>
              <w:r>
                <w:rPr>
                  <w:lang w:eastAsia="ar-SA"/>
                </w:rPr>
                <w:t xml:space="preserve"> </w:t>
              </w:r>
              <w:r>
                <w:rPr>
                  <w:szCs w:val="24"/>
                  <w:lang w:eastAsia="ar-SA"/>
                </w:rPr>
                <w:t xml:space="preserve">2901/0023:387) </w:t>
              </w:r>
              <w:r>
                <w:rPr>
                  <w:rFonts w:eastAsia="HG Mincho Light J"/>
                  <w:bCs/>
                  <w:color w:val="000000"/>
                  <w:szCs w:val="24"/>
                </w:rPr>
                <w:t>adresu Verdulių g. 25, Šiaulių mieste</w:t>
              </w:r>
              <w:r>
                <w:rPr>
                  <w:szCs w:val="24"/>
                  <w:lang w:eastAsia="ar-SA"/>
                </w:rPr>
                <w:t>.</w:t>
              </w:r>
            </w:p>
          </w:sdtContent>
        </w:sdt>
        <w:sdt>
          <w:sdtPr>
            <w:alias w:val="2 p."/>
            <w:tag w:val="part_0ab21a03b1f94043a00aa369e1e4fce5"/>
            <w:lock w:val="sdtLocked"/>
            <w:richText/>
          </w:sdtPr>
          <w:sdtContent>
            <w:p w14:paraId="63C3E5D8" w14:textId="26878756">
              <w:pPr>
                <w:suppressAutoHyphens/>
                <w:ind w:firstLine="720"/>
                <w:jc w:val="both"/>
                <w:rPr>
                  <w:szCs w:val="24"/>
                  <w:lang w:eastAsia="lt-LT"/>
                </w:rPr>
              </w:pPr>
              <w:sdt>
                <w:sdtPr>
                  <w:alias w:val="Numeris"/>
                  <w:tag w:val="nr_0ab21a03b1f94043a00aa369e1e4fce5"/>
                  <w:lock w:val="sdtLocked"/>
                  <w:richText/>
                </w:sdtPr>
                <w:sdtContent>
                  <w:r>
                    <w:rPr>
                      <w:szCs w:val="24"/>
                      <w:lang w:eastAsia="ar-SA"/>
                    </w:rPr>
                    <w:t>2</w:t>
                  </w:r>
                </w:sdtContent>
              </w:sdt>
              <w:r>
                <w:rPr>
                  <w:szCs w:val="24"/>
                  <w:lang w:eastAsia="ar-SA"/>
                </w:rPr>
                <w:t xml:space="preserve">. Nustatyti, </w:t>
              </w:r>
              <w:r>
                <w:rPr>
                  <w:szCs w:val="24"/>
                  <w:lang w:eastAsia="lt-LT"/>
                </w:rPr>
                <w:t>kad:</w:t>
              </w:r>
            </w:p>
            <w:sdt>
              <w:sdtPr>
                <w:alias w:val="2.1 pp."/>
                <w:tag w:val="part_af3e0474a6d5408e9f4603c15bf107e9"/>
                <w:lock w:val="sdtLocked"/>
                <w:richText/>
              </w:sdtPr>
              <w:sdtContent>
                <w:p w14:paraId="78C6AC4D" w14:textId="0D7347FE">
                  <w:pPr>
                    <w:suppressAutoHyphens/>
                    <w:ind w:firstLine="720"/>
                    <w:jc w:val="both"/>
                    <w:rPr>
                      <w:rFonts w:eastAsia="HG Mincho Light J"/>
                      <w:bCs/>
                      <w:szCs w:val="24"/>
                    </w:rPr>
                  </w:pPr>
                  <w:sdt>
                    <w:sdtPr>
                      <w:alias w:val="Numeris"/>
                      <w:tag w:val="nr_af3e0474a6d5408e9f4603c15bf107e9"/>
                      <w:lock w:val="sdtLocked"/>
                      <w:richText/>
                    </w:sdtPr>
                    <w:sdtContent>
                      <w:r>
                        <w:rPr>
                          <w:szCs w:val="24"/>
                          <w:lang w:eastAsia="lt-LT"/>
                        </w:rPr>
                        <w:t>2.1</w:t>
                      </w:r>
                    </w:sdtContent>
                  </w:sdt>
                  <w:r>
                    <w:rPr>
                      <w:szCs w:val="24"/>
                      <w:lang w:eastAsia="lt-LT"/>
                    </w:rPr>
                    <w:t>.</w:t>
                  </w:r>
                  <w:r>
                    <w:rPr>
                      <w:rFonts w:eastAsia="HG Mincho Light J"/>
                      <w:bCs/>
                      <w:color w:val="000000"/>
                      <w:szCs w:val="24"/>
                    </w:rPr>
                    <w:t xml:space="preserve"> </w:t>
                  </w:r>
                  <w:r>
                    <w:rPr>
                      <w:rFonts w:eastAsia="HG Mincho Light J"/>
                      <w:bCs/>
                      <w:szCs w:val="24"/>
                    </w:rPr>
                    <w:t>įvykus sandoriui, pastato ir kitų inžinerinių statinių dalių įgijėjas parengia žemės sklypo planą su nustatytomis žemės sklypų ribų posūkio taškų ir riboženklių koordinatėmis valstybinėje koordinačių sistemoje ir dėl valstybinės žemės sklypo dalies pirkimo turi teisę kreiptis į Nacionalinę žemės tarnybą prie Aplinkos ministerijos, o dėl valstybinės žemės sklypo dalies nuomos sutarties sudarymo gali kreiptis į Šiaulių miesto savivaldybę;</w:t>
                  </w:r>
                </w:p>
              </w:sdtContent>
            </w:sdt>
            <w:sdt>
              <w:sdtPr>
                <w:alias w:val="2.2 pp."/>
                <w:tag w:val="part_0f727a2e39fc4f80867d4f31f5e65d38"/>
                <w:lock w:val="sdtLocked"/>
                <w:richText/>
              </w:sdtPr>
              <w:sdtContent>
                <w:p w14:paraId="49F6FF9E" w14:textId="45050FF7">
                  <w:pPr>
                    <w:suppressAutoHyphens/>
                    <w:ind w:firstLine="720"/>
                    <w:jc w:val="both"/>
                    <w:rPr>
                      <w:szCs w:val="24"/>
                      <w:lang w:eastAsia="ar-SA"/>
                    </w:rPr>
                  </w:pPr>
                  <w:sdt>
                    <w:sdtPr>
                      <w:alias w:val="Numeris"/>
                      <w:tag w:val="nr_0f727a2e39fc4f80867d4f31f5e65d38"/>
                      <w:lock w:val="sdtLocked"/>
                      <w:richText/>
                    </w:sdtPr>
                    <w:sdtContent>
                      <w:r>
                        <w:rPr>
                          <w:szCs w:val="24"/>
                          <w:lang w:eastAsia="ar-SA"/>
                        </w:rPr>
                        <w:t>2.2</w:t>
                      </w:r>
                    </w:sdtContent>
                  </w:sdt>
                  <w:r>
                    <w:rPr>
                      <w:szCs w:val="24"/>
                      <w:lang w:eastAsia="ar-SA"/>
                    </w:rPr>
                    <w:t>. šis pritarimas galioja ne ilgesnį kaip 3 mėnesių terminą nuo jo išdavimo dienos.</w:t>
                  </w:r>
                </w:p>
              </w:sdtContent>
            </w:sdt>
          </w:sdtContent>
        </w:sdt>
        <w:sdt>
          <w:sdtPr>
            <w:alias w:val="3 p."/>
            <w:tag w:val="part_e8f4acd487f24de4959e0f978f5e02b9"/>
            <w:lock w:val="sdtLocked"/>
            <w:richText/>
          </w:sdtPr>
          <w:sdtContent>
            <w:p w14:paraId="4FFD9E74" w14:textId="5DC5239B">
              <w:pPr>
                <w:suppressAutoHyphens/>
                <w:ind w:firstLine="720"/>
                <w:jc w:val="both"/>
                <w:rPr>
                  <w:rFonts w:eastAsia="HG Mincho Light J"/>
                  <w:bCs/>
                  <w:szCs w:val="24"/>
                </w:rPr>
              </w:pPr>
              <w:sdt>
                <w:sdtPr>
                  <w:alias w:val="Numeris"/>
                  <w:tag w:val="nr_e8f4acd487f24de4959e0f978f5e02b9"/>
                  <w:lock w:val="sdtLocked"/>
                  <w:richText/>
                </w:sdtPr>
                <w:sdtContent>
                  <w:r>
                    <w:rPr>
                      <w:szCs w:val="24"/>
                      <w:lang w:eastAsia="ar-SA"/>
                    </w:rPr>
                    <w:t>3</w:t>
                  </w:r>
                </w:sdtContent>
              </w:sdt>
              <w:r>
                <w:rPr>
                  <w:szCs w:val="24"/>
                  <w:lang w:eastAsia="ar-SA"/>
                </w:rPr>
                <w:t>. Nutraukti šalių susitarimu prieš terminą 2</w:t>
              </w:r>
              <w:r>
                <w:rPr>
                  <w:rFonts w:eastAsia="HG Mincho Light J"/>
                  <w:bCs/>
                  <w:szCs w:val="24"/>
                </w:rPr>
                <w:t xml:space="preserve">001 m. birželio 11 d. valstybinės žemės nuomos sutartį Nr. 29/01-0102, pasirašytą su P. A. G. dėl 0,0224 ha žemės sklypo dalies bendrai naudojamame 0,1426 ha ploto žemės sklype (kadastro Nr. 2901/0023:387), esančiame Verdulių g. 25, Šiaulių mieste, </w:t>
              </w:r>
              <w:r>
                <w:rPr>
                  <w:szCs w:val="24"/>
                  <w:lang w:eastAsia="ar-SA"/>
                </w:rPr>
                <w:t>nuo šio sprendimo 1 punktu numatytos pastato ir kitų inžinerinių statinių dalių perleidimo sandorio įregistravimo VĮ Registrų centre dienos</w:t>
              </w:r>
              <w:r>
                <w:rPr>
                  <w:rFonts w:eastAsia="HG Mincho Light J"/>
                  <w:bCs/>
                  <w:szCs w:val="24"/>
                  <w:lang w:eastAsia="ar-SA"/>
                </w:rPr>
                <w:t xml:space="preserve"> pagal Susitarimo dėl nuomos sutarties nutraukimo projekte numatytas sąlygas (pridedama).</w:t>
              </w:r>
            </w:p>
            <w:p w14:paraId="56F9174E" w14:textId="6E33B041">
              <w:pPr>
                <w:suppressAutoHyphens/>
                <w:ind w:firstLine="720"/>
                <w:jc w:val="both"/>
                <w:rPr>
                  <w:szCs w:val="24"/>
                  <w:lang w:eastAsia="ar-SA"/>
                </w:rPr>
              </w:pPr>
              <w:r>
                <w:rPr>
                  <w:szCs w:val="24"/>
                  <w:lang w:eastAsia="ar-SA"/>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70DC7668" w14:textId="77777777">
              <w:pPr>
                <w:tabs>
                  <w:tab w:val="left" w:pos="709"/>
                </w:tabs>
                <w:suppressAutoHyphens/>
                <w:ind w:firstLine="720"/>
                <w:jc w:val="both"/>
                <w:rPr>
                  <w:szCs w:val="24"/>
                  <w:lang w:eastAsia="ar-SA"/>
                </w:rPr>
              </w:pPr>
            </w:p>
            <w:p w14:paraId="191A8C33" w14:textId="77777777">
              <w:pPr>
                <w:tabs>
                  <w:tab w:val="left" w:pos="709"/>
                </w:tabs>
                <w:suppressAutoHyphens/>
                <w:ind w:firstLine="720"/>
                <w:jc w:val="both"/>
                <w:rPr>
                  <w:szCs w:val="24"/>
                  <w:lang w:eastAsia="ar-SA"/>
                </w:rPr>
              </w:pPr>
            </w:p>
          </w:sdtContent>
        </w:sdt>
        <w:sdt>
          <w:sdtPr>
            <w:alias w:val="signatura"/>
            <w:tag w:val="part_373317eabf2343bf8bfe9b16b3140124"/>
            <w:lock w:val="sdtLocked"/>
            <w:richText/>
          </w:sdtPr>
          <w:sdtContent>
            <w:p w14:paraId="6EDEE79C" w14:textId="77777777">
              <w:pPr>
                <w:tabs>
                  <w:tab w:val="left" w:pos="709"/>
                </w:tabs>
                <w:suppressAutoHyphens/>
                <w:ind w:right="-85"/>
                <w:jc w:val="both"/>
                <w:rPr>
                  <w:szCs w:val="24"/>
                  <w:lang w:eastAsia="ar-SA"/>
                </w:rPr>
              </w:pPr>
              <w:r>
                <w:rPr>
                  <w:szCs w:val="24"/>
                  <w:lang w:eastAsia="ar-SA"/>
                </w:rPr>
                <w:t>Savivaldybės meras</w:t>
              </w:r>
            </w:p>
            <w:p w14:paraId="78684833" w14:textId="77777777">
              <w:pPr>
                <w:tabs>
                  <w:tab w:val="left" w:pos="709"/>
                </w:tabs>
                <w:suppressAutoHyphens/>
                <w:ind w:right="-85"/>
                <w:jc w:val="both"/>
                <w:rPr>
                  <w:szCs w:val="24"/>
                  <w:lang w:eastAsia="ar-SA"/>
                </w:rPr>
              </w:pPr>
            </w:p>
            <w:p w14:paraId="2EEAF324" w14:textId="77777777">
              <w:pPr>
                <w:tabs>
                  <w:tab w:val="left" w:pos="709"/>
                </w:tabs>
                <w:suppressAutoHyphens/>
                <w:ind w:right="-85"/>
                <w:jc w:val="both"/>
                <w:rPr>
                  <w:szCs w:val="24"/>
                  <w:lang w:eastAsia="ar-SA"/>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624" w:bottom="1134" w:left="1588" w:header="567" w:footer="0" w:gutter="0"/>
      <w:cols w:space="1296"/>
      <w:formProt w:val="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1A7059" w14:textId="77777777">
      <w:pPr>
        <w:suppressAutoHyphens/>
        <w:rPr>
          <w:lang w:eastAsia="ar-SA"/>
        </w:rPr>
      </w:pPr>
      <w:r>
        <w:rPr>
          <w:lang w:eastAsia="ar-SA"/>
        </w:rPr>
        <w:separator/>
      </w:r>
    </w:p>
  </w:endnote>
  <w:endnote w:type="continuationSeparator" w:id="0">
    <w:p w14:paraId="623903E5" w14:textId="77777777">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charset w:val="BA"/>
    <w:family w:val="auto"/>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064744" w14:textId="77777777">
    <w:pPr>
      <w:tabs>
        <w:tab w:val="center" w:pos="4153"/>
        <w:tab w:val="right" w:pos="8306"/>
      </w:tabs>
      <w:suppressAutoHyphens/>
      <w:rPr>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12931F" w14:textId="77777777">
    <w:pPr>
      <w:tabs>
        <w:tab w:val="center" w:pos="4153"/>
        <w:tab w:val="right" w:pos="8306"/>
      </w:tabs>
      <w:suppressAutoHyphens/>
      <w:rPr>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566E9D" w14:textId="77777777">
    <w:pPr>
      <w:tabs>
        <w:tab w:val="center" w:pos="4153"/>
        <w:tab w:val="right" w:pos="8306"/>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73293E" w14:textId="77777777">
      <w:pPr>
        <w:suppressAutoHyphens/>
        <w:rPr>
          <w:lang w:eastAsia="ar-SA"/>
        </w:rPr>
      </w:pPr>
      <w:r>
        <w:rPr>
          <w:lang w:eastAsia="ar-SA"/>
        </w:rPr>
        <w:separator/>
      </w:r>
    </w:p>
  </w:footnote>
  <w:footnote w:type="continuationSeparator" w:id="0">
    <w:p w14:paraId="644B1C2F" w14:textId="77777777">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0A9671" w14:textId="77777777">
    <w:pPr>
      <w:suppressLineNumbers/>
      <w:tabs>
        <w:tab w:val="center" w:pos="5385"/>
        <w:tab w:val="right" w:pos="10771"/>
      </w:tabs>
      <w:suppressAutoHyphens/>
      <w:rPr>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9408B" w14:textId="77777777">
    <w:pPr>
      <w:suppressLineNumbers/>
      <w:tabs>
        <w:tab w:val="center" w:pos="5385"/>
        <w:tab w:val="right" w:pos="10771"/>
      </w:tabs>
      <w:suppressAutoHyphens/>
      <w:jc w:val="center"/>
      <w:rPr>
        <w:lang w:eastAsia="ar-SA"/>
      </w:rPr>
    </w:pPr>
    <w:r>
      <w:rPr>
        <w:lang w:eastAsia="ar-SA"/>
      </w:rPr>
      <w:fldChar w:fldCharType="begin"/>
    </w:r>
    <w:r>
      <w:rPr>
        <w:lang w:eastAsia="ar-SA"/>
      </w:rPr>
      <w:instrText>PAGE</w:instrText>
    </w:r>
    <w:r>
      <w:rPr>
        <w:lang w:eastAsia="ar-SA"/>
      </w:rPr>
      <w:fldChar w:fldCharType="separate"/>
    </w:r>
    <w:r>
      <w:rPr>
        <w:lang w:eastAsia="ar-SA"/>
      </w:rPr>
      <w:t>0</w:t>
    </w:r>
    <w:r>
      <w:rPr>
        <w:lang w:eastAsia="ar-SA"/>
      </w:rPr>
      <w:fldChar w:fldCharType="end"/>
    </w:r>
  </w:p>
  <w:p w14:paraId="1F4E17C6" w14:textId="77777777">
    <w:pPr>
      <w:tabs>
        <w:tab w:val="center" w:pos="4819"/>
      </w:tabs>
      <w:suppressAutoHyphens/>
      <w:rPr>
        <w:b/>
        <w:bCs/>
        <w:shd w:val="clear" w:color="auto" w:fill="FFFFFF"/>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15368" w14:textId="0D4D3BAA">
    <w:pPr>
      <w:suppressLineNumbers/>
      <w:tabs>
        <w:tab w:val="center" w:pos="5385"/>
        <w:tab w:val="right" w:pos="10771"/>
      </w:tabs>
      <w:suppressAutoHyphens/>
      <w:rPr>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23B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DCEF1"/>
  <w15:docId w15:val="{CD9058BC-9E3D-41E6-8880-F8723D5D36D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32301349">
      <w:bodyDiv w:val="1"/>
      <w:marLeft w:val="0"/>
      <w:marRight w:val="0"/>
      <w:marTop w:val="0"/>
      <w:marBottom w:val="0"/>
      <w:divBdr>
        <w:top w:val="none" w:sz="0" w:space="0" w:color="auto"/>
        <w:left w:val="none" w:sz="0" w:space="0" w:color="auto"/>
        <w:bottom w:val="none" w:sz="0" w:space="0" w:color="auto"/>
        <w:right w:val="none" w:sz="0" w:space="0" w:color="auto"/>
      </w:divBdr>
    </w:div>
    <w:div w:id="194564509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66e748e255144217888969c6e7128481" PartId="567592f0ce764e18be3955d3b6182b5a">
    <Part Type="preambule" DocPartId="c9eab800483e4ea3bf91c1a9dec160cd" PartId="5014458daaa44df5b3c9069d93dbc46a"/>
    <Part Type="punktas" Nr="1" Abbr="1 p." DocPartId="eb6a6795517e4253b19b33139e519b1c" PartId="b3a6b1f134c14777970b9543dca76d7c"/>
    <Part Type="punktas" Nr="2" Abbr="2 p." DocPartId="0da944bbdb9c4e46a65be2eb49613c85" PartId="0ab21a03b1f94043a00aa369e1e4fce5">
      <Part Type="papunktis" Nr="2.1" Abbr="2.1 pp." DocPartId="527bc8f7ab294fe0aae733f6b0f2b37d" PartId="af3e0474a6d5408e9f4603c15bf107e9"/>
      <Part Type="papunktis" Nr="2.2" Abbr="2.2 pp." DocPartId="00ea61c894bd4e128d805cd9f47bb795" PartId="0f727a2e39fc4f80867d4f31f5e65d38"/>
    </Part>
    <Part Type="punktas" Nr="3" Abbr="3 p." DocPartId="d93355f313dd4adc954c28b132078610" PartId="e8f4acd487f24de4959e0f978f5e02b9"/>
    <Part Type="signatura" DocPartId="0d1e2e8e259b4470a625c5438bd19c91" PartId="373317eabf2343bf8bfe9b16b3140124"/>
  </Part>
</Parts>
</file>

<file path=customXml/itemProps1.xml><?xml version="1.0" encoding="utf-8"?>
<ds:datastoreItem xmlns:ds="http://schemas.openxmlformats.org/officeDocument/2006/customXml" ds:itemID="{9A0BAC9E-4E4B-45C3-A551-4B2B1BC75EFB}">
  <ds:schemaRefs>
    <ds:schemaRef ds:uri="http://schemas.openxmlformats.org/officeDocument/2006/bibliography"/>
  </ds:schemaRefs>
</ds:datastoreItem>
</file>

<file path=customXml/itemProps2.xml><?xml version="1.0" encoding="utf-8"?>
<ds:datastoreItem xmlns:ds="http://schemas.openxmlformats.org/officeDocument/2006/customXml" ds:itemID="{2B9C075D-4869-446B-B952-D4548D90948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372</Words>
  <Characters>2413</Characters>
  <Application>Microsoft Office Word</Application>
  <DocSecurity>4</DocSecurity>
  <Lines>44</Lines>
  <Paragraphs>15</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2770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2024-06-11T03:21:00Z</dcterms:created>
  <dc:creator>Evaldas</dc:creator>
  <dc:language>en-US</dc:language>
  <lastModifiedBy>adlibuser</lastModifiedBy>
  <lastPrinted>2022-03-15T08:06:00Z</lastPrinted>
  <dcterms:modified xsi:type="dcterms:W3CDTF">2024-06-11T03:21:00Z</dcterms:modified>
  <revision>2</revision>
</coreProperties>
</file>