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1ee139a7b2c43349dc66006c2d89a38"/>
        <w:lock w:val="sdtLocked"/>
        <w:richText/>
      </w:sdtPr>
      <w:sdtContent>
        <w:p>
          <w:pPr>
            <w:tabs>
              <w:tab w:val="center" w:pos="4819"/>
              <w:tab w:val="right" w:pos="9638"/>
            </w:tabs>
          </w:pPr>
        </w:p>
        <w:p>
          <w:pPr>
            <w:tabs>
              <w:tab w:val="center" w:pos="4819"/>
              <w:tab w:val="right" w:pos="9072"/>
            </w:tabs>
            <w:rPr>
              <w:b/>
              <w:bCs/>
            </w:rPr>
          </w:pPr>
          <w:r>
            <w:tab/>
            <w:tab/>
          </w:r>
          <w:r>
            <w:rPr>
              <w:b/>
              <w:bCs/>
            </w:rPr>
            <w:t>Projektas</w:t>
          </w:r>
        </w:p>
        <w:sdt>
          <w:sdtPr>
            <w:alias w:val="preambule"/>
            <w:tag w:val="part_f0ca2c092ddb4afab4f094d9a23413f6"/>
            <w:lock w:val="sdtLocked"/>
            <w:richText/>
          </w:sdtPr>
          <w:sdtContent>
            <w:p>
              <w:pPr>
                <w:tabs>
                  <w:tab w:val="center" w:pos="4819"/>
                  <w:tab w:val="right" w:pos="8931"/>
                </w:tabs>
              </w:pPr>
              <w:r>
                <w:tab/>
                <w:tab/>
                <w:t>Nr. TSP-</w:t>
              </w:r>
            </w:p>
            <w:p>
              <w:pPr>
                <w:tabs>
                  <w:tab w:val="left" w:pos="7740"/>
                </w:tabs>
                <w:rPr>
                  <w:szCs w:val="24"/>
                </w:rPr>
              </w:pPr>
            </w:p>
          </w:sdtContent>
        </w:sdt>
        <w:sdt>
          <w:sdtPr>
            <w:alias w:val="skirsnis"/>
            <w:tag w:val="part_de5b12545a9c47e09c3cfcaf61c0008e"/>
            <w:lock w:val="sdtLocked"/>
            <w:richText/>
          </w:sdtPr>
          <w:sdtContent>
            <w:p>
              <w:pPr>
                <w:ind w:left="-993" w:firstLine="567"/>
                <w:jc w:val="center"/>
                <w:rPr>
                  <w:b/>
                  <w:szCs w:val="24"/>
                </w:rPr>
              </w:pPr>
              <w:sdt>
                <w:sdtPr>
                  <w:alias w:val="Pavadinimas"/>
                  <w:tag w:val="title_de5b12545a9c47e09c3cfcaf61c0008e"/>
                  <w:lock w:val="sdtLocked"/>
                  <w:richText/>
                </w:sdtPr>
                <w:sdtContent>
                  <w:r>
                    <w:rPr>
                      <w:b/>
                      <w:szCs w:val="24"/>
                    </w:rPr>
                    <w:t>RADVILIŠKIO RAJONO SAVIVALDYBĖS TARYBA</w:t>
                  </w:r>
                </w:sdtContent>
              </w:sdt>
            </w:p>
            <w:p>
              <w:pPr>
                <w:ind w:left="-993" w:firstLine="567"/>
                <w:jc w:val="center"/>
                <w:rPr>
                  <w:b/>
                  <w:szCs w:val="24"/>
                </w:rPr>
              </w:pPr>
            </w:p>
          </w:sdtContent>
        </w:sdt>
        <w:sdt>
          <w:sdtPr>
            <w:alias w:val="skirsnis"/>
            <w:tag w:val="part_5f31ba17f2a44822b0e944f42725ece4"/>
            <w:lock w:val="sdtLocked"/>
            <w:richText/>
          </w:sdtPr>
          <w:sdtContent>
            <w:sdt>
              <w:sdtPr>
                <w:alias w:val="Pavadinimas"/>
                <w:tag w:val="title_5f31ba17f2a44822b0e944f42725ece4"/>
                <w:lock w:val="sdtLocked"/>
                <w:richText/>
              </w:sdtPr>
              <w:sdtContent>
                <w:p>
                  <w:pPr>
                    <w:ind w:left="-993" w:firstLine="567"/>
                    <w:jc w:val="center"/>
                    <w:rPr>
                      <w:szCs w:val="24"/>
                    </w:rPr>
                  </w:pPr>
                  <w:r>
                    <w:rPr>
                      <w:b/>
                      <w:szCs w:val="24"/>
                    </w:rPr>
                    <w:t>SPRENDIMAS</w:t>
                  </w:r>
                </w:p>
                <w:p>
                  <w:pPr>
                    <w:ind w:right="7"/>
                    <w:jc w:val="center"/>
                    <w:rPr>
                      <w:b/>
                      <w:bCs/>
                      <w:szCs w:val="24"/>
                    </w:rPr>
                  </w:pPr>
                  <w:r>
                    <w:rPr>
                      <w:b/>
                      <w:szCs w:val="24"/>
                    </w:rPr>
                    <w:t xml:space="preserve">DĖL </w:t>
                  </w:r>
                  <w:r>
                    <w:rPr>
                      <w:rFonts w:ascii="Times New Roman,Bold" w:hAnsi="Times New Roman,Bold"/>
                      <w:b/>
                      <w:bCs/>
                      <w:szCs w:val="24"/>
                      <w:lang w:eastAsia="lt-LT"/>
                    </w:rPr>
                    <w:t xml:space="preserve">RADVILIŠKIO RAJONO SAVIVALDYBĖS TARYBOS </w:t>
                  </w:r>
                  <w:r>
                    <w:rPr>
                      <w:b/>
                      <w:bCs/>
                      <w:szCs w:val="24"/>
                      <w:lang w:eastAsia="lt-LT"/>
                    </w:rPr>
                    <w:t>2017 M. BIRŽELIO 22 D. SPRENDIMO NR. T-595 „</w:t>
                  </w:r>
                  <w:r>
                    <w:rPr>
                      <w:b/>
                      <w:szCs w:val="24"/>
                    </w:rPr>
                    <w:t xml:space="preserve">DĖL RADVILIŠKIO RAJONO SAVIVALDYBĖS </w:t>
                  </w:r>
                  <w:r>
                    <w:rPr>
                      <w:b/>
                      <w:bCs/>
                      <w:szCs w:val="24"/>
                    </w:rPr>
                    <w:t>VIETINĖS RINKLIAVOS UŽ KOMUNALINIŲ ATLIEKŲ SURINKIMĄ IŠ ATLIEKŲ TURĖTOJŲ IR ATLIEKŲ TVARKYMĄ DYDŽIO NUSTATYMO METODIKOS, RADVILIŠKIO RAJONO SAVIVALDYBĖS VIETINĖS RINKLIAVOS UŽ KOMUNALINIŲ ATLIEKŲ SURINKIMĄ IŠ ATLIEKŲ TURĖTOJŲ IR ATLIEKŲ TVARKYMĄ NUOSTATŲ PATVIRTINIMO“ PAKEITIMO</w:t>
                  </w:r>
                </w:p>
              </w:sdtContent>
            </w:sdt>
            <w:p>
              <w:pPr>
                <w:shd w:val="clear" w:color="auto" w:fill="FFFFFF"/>
                <w:ind w:left="-142" w:firstLine="567"/>
                <w:jc w:val="center"/>
                <w:rPr>
                  <w:sz w:val="22"/>
                  <w:szCs w:val="22"/>
                </w:rPr>
              </w:pPr>
            </w:p>
            <w:p>
              <w:pPr>
                <w:ind w:left="-993" w:firstLine="567"/>
                <w:jc w:val="center"/>
                <w:rPr>
                  <w:szCs w:val="24"/>
                </w:rPr>
              </w:pPr>
              <w:r>
                <w:rPr>
                  <w:szCs w:val="24"/>
                </w:rPr>
                <w:t xml:space="preserve">2024 m.                       d. Nr. T-</w:t>
              </w:r>
            </w:p>
            <w:p>
              <w:pPr>
                <w:ind w:left="-993" w:firstLine="567"/>
                <w:jc w:val="center"/>
                <w:rPr>
                  <w:szCs w:val="24"/>
                </w:rPr>
              </w:pPr>
              <w:r>
                <w:rPr>
                  <w:szCs w:val="24"/>
                </w:rPr>
                <w:t>Radviliškis</w:t>
              </w:r>
            </w:p>
            <w:p>
              <w:pPr>
                <w:ind w:left="-993" w:firstLine="567"/>
                <w:jc w:val="center"/>
                <w:rPr>
                  <w:szCs w:val="24"/>
                </w:rPr>
              </w:pPr>
            </w:p>
            <w:p>
              <w:pPr>
                <w:ind w:firstLine="709"/>
                <w:jc w:val="both"/>
                <w:rPr>
                  <w:color w:val="000000"/>
                  <w:szCs w:val="24"/>
                  <w:lang w:eastAsia="lt-LT"/>
                </w:rPr>
              </w:pPr>
              <w:r>
                <w:rPr>
                  <w:color w:val="000000"/>
                  <w:szCs w:val="24"/>
                  <w:lang w:eastAsia="lt-LT"/>
                </w:rPr>
                <w:t xml:space="preserve">Radviliškio rajono savivaldybės taryba </w:t>
              </w:r>
              <w:r>
                <w:rPr>
                  <w:color w:val="000000"/>
                  <w:spacing w:val="30"/>
                  <w:szCs w:val="24"/>
                  <w:lang w:eastAsia="lt-LT"/>
                </w:rPr>
                <w:t>nusprendžia</w:t>
              </w:r>
              <w:r>
                <w:rPr>
                  <w:color w:val="000000"/>
                  <w:szCs w:val="24"/>
                  <w:lang w:eastAsia="lt-LT"/>
                </w:rPr>
                <w:t>:</w:t>
              </w:r>
            </w:p>
            <w:sdt>
              <w:sdtPr>
                <w:alias w:val="1 p."/>
                <w:tag w:val="part_0f34b816b93d482fb8f2738ce9faffd7"/>
                <w:lock w:val="sdtLocked"/>
                <w:richText/>
              </w:sdtPr>
              <w:sdtContent>
                <w:p>
                  <w:pPr>
                    <w:tabs>
                      <w:tab w:val="left" w:pos="1134"/>
                    </w:tabs>
                    <w:ind w:firstLine="709"/>
                    <w:jc w:val="both"/>
                    <w:rPr>
                      <w:color w:val="000000"/>
                      <w:szCs w:val="24"/>
                      <w:lang w:eastAsia="lt-LT"/>
                    </w:rPr>
                  </w:pPr>
                  <w:sdt>
                    <w:sdtPr>
                      <w:alias w:val="Numeris"/>
                      <w:tag w:val="nr_0f34b816b93d482fb8f2738ce9faffd7"/>
                      <w:lock w:val="sdtLocked"/>
                      <w:richText/>
                    </w:sdtPr>
                    <w:sdtContent>
                      <w:r>
                        <w:rPr>
                          <w:color w:val="000000"/>
                          <w:szCs w:val="24"/>
                          <w:lang w:eastAsia="lt-LT"/>
                        </w:rPr>
                        <w:t>1</w:t>
                      </w:r>
                    </w:sdtContent>
                  </w:sdt>
                  <w:r>
                    <w:rPr>
                      <w:color w:val="000000"/>
                      <w:szCs w:val="24"/>
                      <w:lang w:eastAsia="lt-LT"/>
                    </w:rPr>
                    <w:t>.</w:t>
                    <w:tab/>
                    <w:t>Pakeisti:</w:t>
                  </w:r>
                </w:p>
                <w:sdt>
                  <w:sdtPr>
                    <w:alias w:val="1.1 pp."/>
                    <w:tag w:val="part_04c353e11ee3472fa311997887c6d1de"/>
                    <w:lock w:val="sdtLocked"/>
                    <w:richText/>
                  </w:sdtPr>
                  <w:sdtContent>
                    <w:p>
                      <w:pPr>
                        <w:tabs>
                          <w:tab w:val="left" w:pos="1276"/>
                        </w:tabs>
                        <w:ind w:firstLine="709"/>
                        <w:jc w:val="both"/>
                        <w:rPr>
                          <w:color w:val="000000"/>
                          <w:szCs w:val="24"/>
                          <w:lang w:eastAsia="lt-LT"/>
                        </w:rPr>
                      </w:pPr>
                      <w:sdt>
                        <w:sdtPr>
                          <w:alias w:val="Numeris"/>
                          <w:tag w:val="nr_04c353e11ee3472fa311997887c6d1de"/>
                          <w:lock w:val="sdtLocked"/>
                          <w:richText/>
                        </w:sdtPr>
                        <w:sdtContent>
                          <w:r>
                            <w:rPr>
                              <w:color w:val="000000"/>
                              <w:szCs w:val="24"/>
                              <w:lang w:eastAsia="lt-LT"/>
                            </w:rPr>
                            <w:t>1.1</w:t>
                          </w:r>
                        </w:sdtContent>
                      </w:sdt>
                      <w:r>
                        <w:rPr>
                          <w:color w:val="000000"/>
                          <w:szCs w:val="24"/>
                          <w:lang w:eastAsia="lt-LT"/>
                        </w:rPr>
                        <w:t>.</w:t>
                        <w:tab/>
                        <w:t>Radviliškio rajono savivaldybės tarybos 2017 m. birželio 22 d. sprendimo Nr. T-595 „Dėl Radviliškio rajono savivaldybės vietinės rinkliavos už komunalinių atliekų surinkimą iš atliekų turėtojų ir atliekų tvarkymą dydžio nustatymo metodikos, Radviliškio rajono savivaldybės vietinės rinkliavos už komunalinių atliekų surinkimą iš atliekų turėtojų ir atliekų tvarkymą nuostatų patvirtinimo“ (toliau – Sprendimas) preambulę ir išdėstyti ją taip:</w:t>
                      </w:r>
                    </w:p>
                    <w:sdt>
                      <w:sdtPr>
                        <w:alias w:val="citata"/>
                        <w:tag w:val="part_365abc74bff741bcb8b279aba5efcc8b"/>
                        <w:lock w:val="sdtLocked"/>
                        <w:richText/>
                      </w:sdtPr>
                      <w:sdtContent>
                        <w:sdt>
                          <w:sdtPr>
                            <w:alias w:val="pastraipa"/>
                            <w:tag w:val="part_2e1dd2aa07394be7b2c7fd694ce80f8d"/>
                            <w:lock w:val="sdtLocked"/>
                            <w:richText/>
                          </w:sdtPr>
                          <w:sdtContent>
                            <w:p>
                              <w:pPr>
                                <w:ind w:firstLine="709"/>
                                <w:jc w:val="both"/>
                                <w:rPr>
                                  <w:szCs w:val="24"/>
                                </w:rPr>
                              </w:pPr>
                              <w:r>
                                <w:rPr>
                                  <w:color w:val="000000"/>
                                  <w:szCs w:val="24"/>
                                  <w:lang w:eastAsia="lt-LT"/>
                                </w:rPr>
                                <w:t xml:space="preserve">„Vadovaudamasi Lietuvos Respublikos vietos savivaldos įstatymo 6 straipsnio 2 punktu, Lietuvos Respublikos rinkliavų įstatymo 11 straipsnio 1 dalies 8 punktu, 12 ir 13 straipsniais, Lietuvos Respublikos atliekų </w:t>
                              </w:r>
                              <w:r>
                                <w:rPr>
                                  <w:szCs w:val="24"/>
                                  <w:lang w:eastAsia="lt-LT"/>
                                </w:rPr>
                                <w:t>tvarkymo įstatymo 25 ir 30</w:t>
                              </w:r>
                              <w:r>
                                <w:rPr>
                                  <w:szCs w:val="24"/>
                                  <w:vertAlign w:val="superscript"/>
                                  <w:lang w:eastAsia="lt-LT"/>
                                </w:rPr>
                                <w:t>1</w:t>
                              </w:r>
                              <w:r>
                                <w:rPr>
                                  <w:szCs w:val="24"/>
                                  <w:lang w:eastAsia="lt-LT"/>
                                </w:rPr>
                                <w:t xml:space="preserve"> straipsniais </w:t>
                              </w:r>
                              <w:r>
                                <w:rPr>
                                  <w:color w:val="000000"/>
                                  <w:szCs w:val="24"/>
                                  <w:lang w:eastAsia="lt-LT"/>
                                </w:rPr>
                                <w:t xml:space="preserve">Radviliškio rajono savivaldybės taryba </w:t>
                              </w:r>
                              <w:r>
                                <w:rPr>
                                  <w:spacing w:val="50"/>
                                  <w:szCs w:val="24"/>
                                </w:rPr>
                                <w:t>nusprendži</w:t>
                              </w:r>
                              <w:r>
                                <w:rPr>
                                  <w:szCs w:val="24"/>
                                </w:rPr>
                                <w:t>a:“</w:t>
                              </w:r>
                            </w:p>
                          </w:sdtContent>
                        </w:sdt>
                      </w:sdtContent>
                    </w:sdt>
                  </w:sdtContent>
                </w:sdt>
                <w:sdt>
                  <w:sdtPr>
                    <w:alias w:val="1.2 pp."/>
                    <w:tag w:val="part_7b24b13adcf045ad8618abdd11337ba1"/>
                    <w:lock w:val="sdtLocked"/>
                    <w:richText/>
                  </w:sdtPr>
                  <w:sdtContent>
                    <w:p>
                      <w:pPr>
                        <w:ind w:firstLine="709"/>
                        <w:jc w:val="both"/>
                      </w:pPr>
                      <w:sdt>
                        <w:sdtPr>
                          <w:alias w:val="Numeris"/>
                          <w:tag w:val="nr_7b24b13adcf045ad8618abdd11337ba1"/>
                          <w:lock w:val="sdtLocked"/>
                          <w:richText/>
                        </w:sdtPr>
                        <w:sdtContent>
                          <w:r>
                            <w:t>1.2</w:t>
                          </w:r>
                        </w:sdtContent>
                      </w:sdt>
                      <w:r>
                        <w:t>. Radviliškio rajono savivaldybės vietinės rinkliavos už komunalinių atliekų surinkimą iš atliekų turėtojų ir atliekų tvarkymą dydžio nustatymo metodikos, patvirtintos Sprendimo 1.1 papunkčiu, 4.3 papunktį ir jį išdėstyti taip:</w:t>
                      </w:r>
                    </w:p>
                    <w:sdt>
                      <w:sdtPr>
                        <w:alias w:val="citata"/>
                        <w:tag w:val="part_dfa6254c75654c318d2685dfacc8b8c3"/>
                        <w:lock w:val="sdtLocked"/>
                        <w:richText/>
                      </w:sdtPr>
                      <w:sdtContent>
                        <w:sdt>
                          <w:sdtPr>
                            <w:alias w:val="4.3 pp."/>
                            <w:tag w:val="part_0c9f322dddcf4fbd9c1673a3637655cb"/>
                            <w:lock w:val="sdtLocked"/>
                            <w:richText/>
                          </w:sdtPr>
                          <w:sdtContent>
                            <w:p>
                              <w:pPr>
                                <w:ind w:firstLine="709"/>
                                <w:jc w:val="both"/>
                                <w:rPr>
                                  <w:szCs w:val="24"/>
                                  <w:lang w:eastAsia="lt-LT"/>
                                </w:rPr>
                              </w:pPr>
                              <w:r>
                                <w:rPr>
                                  <w:szCs w:val="24"/>
                                  <w:lang w:eastAsia="lt-LT"/>
                                </w:rPr>
                                <w:t>„</w:t>
                              </w:r>
                              <w:sdt>
                                <w:sdtPr>
                                  <w:alias w:val="Numeris"/>
                                  <w:tag w:val="nr_0c9f322dddcf4fbd9c1673a3637655cb"/>
                                  <w:lock w:val="sdtLocked"/>
                                  <w:richText/>
                                </w:sdtPr>
                                <w:sdtContent>
                                  <w:r>
                                    <w:rPr>
                                      <w:szCs w:val="24"/>
                                      <w:lang w:eastAsia="lt-LT"/>
                                    </w:rPr>
                                    <w:t>4.3</w:t>
                                  </w:r>
                                </w:sdtContent>
                              </w:sdt>
                              <w:r>
                                <w:rPr>
                                  <w:szCs w:val="24"/>
                                  <w:lang w:eastAsia="lt-LT"/>
                                </w:rPr>
                                <w:t>. Pastoviąją rinkliavos dalį moka visi nekilnojamojo turto objektų savininkai arba jų įgalioti asmenys:</w:t>
                              </w:r>
                            </w:p>
                            <w:sdt>
                              <w:sdtPr>
                                <w:alias w:val="4.3.1 pp."/>
                                <w:tag w:val="part_0d0d5b113b1d4ac881391e0196883dda"/>
                                <w:lock w:val="sdtLocked"/>
                                <w:richText/>
                              </w:sdtPr>
                              <w:sdtContent>
                                <w:p>
                                  <w:pPr>
                                    <w:ind w:firstLine="709"/>
                                    <w:jc w:val="both"/>
                                    <w:rPr>
                                      <w:szCs w:val="24"/>
                                      <w:lang w:eastAsia="lt-LT"/>
                                    </w:rPr>
                                  </w:pPr>
                                  <w:sdt>
                                    <w:sdtPr>
                                      <w:alias w:val="Numeris"/>
                                      <w:tag w:val="nr_0d0d5b113b1d4ac881391e0196883dda"/>
                                      <w:lock w:val="sdtLocked"/>
                                      <w:richText/>
                                    </w:sdtPr>
                                    <w:sdtContent>
                                      <w:r>
                                        <w:rPr>
                                          <w:szCs w:val="24"/>
                                          <w:lang w:eastAsia="lt-LT"/>
                                        </w:rPr>
                                        <w:t>4.3.1</w:t>
                                      </w:r>
                                    </w:sdtContent>
                                  </w:sdt>
                                  <w:r>
                                    <w:rPr>
                                      <w:szCs w:val="24"/>
                                      <w:lang w:eastAsia="lt-LT"/>
                                    </w:rPr>
                                    <w:t xml:space="preserve"> gyvenamosios paskirties patalpų (daugiabučio namo butų, individualių namų), esančių savivaldybės teritorijoje, savininkai (jei šioms patalpoms nustatyta tvarka yra suteiktas adresas ar įregistruota nuosavybės teisė); savivaldybės gyvenamosios paskirties patalpų nuomininkai;</w:t>
                                  </w:r>
                                </w:p>
                              </w:sdtContent>
                            </w:sdt>
                            <w:sdt>
                              <w:sdtPr>
                                <w:alias w:val="4.3.2 pp."/>
                                <w:tag w:val="part_31bd9e6645fb41b8b1bba7a83ec5c1a8"/>
                                <w:lock w:val="sdtLocked"/>
                                <w:richText/>
                              </w:sdtPr>
                              <w:sdtContent>
                                <w:p>
                                  <w:pPr>
                                    <w:ind w:firstLine="709"/>
                                    <w:jc w:val="both"/>
                                    <w:rPr>
                                      <w:szCs w:val="24"/>
                                      <w:lang w:eastAsia="lt-LT"/>
                                    </w:rPr>
                                  </w:pPr>
                                  <w:sdt>
                                    <w:sdtPr>
                                      <w:alias w:val="Numeris"/>
                                      <w:tag w:val="nr_31bd9e6645fb41b8b1bba7a83ec5c1a8"/>
                                      <w:lock w:val="sdtLocked"/>
                                      <w:richText/>
                                    </w:sdtPr>
                                    <w:sdtContent>
                                      <w:r>
                                        <w:rPr>
                                          <w:szCs w:val="24"/>
                                          <w:lang w:eastAsia="lt-LT"/>
                                        </w:rPr>
                                        <w:t>4.3.2</w:t>
                                      </w:r>
                                    </w:sdtContent>
                                  </w:sdt>
                                  <w:r>
                                    <w:rPr>
                                      <w:szCs w:val="24"/>
                                      <w:lang w:eastAsia="lt-LT"/>
                                    </w:rPr>
                                    <w:t>. gyventojai, kurie yra įtraukti į gyvenamosios vietos neturinčių asmenų apskaitą savivaldybėje ir kurių žinoma faktinė gyvenamoji vieta yra savivaldybės teritorijoje;</w:t>
                                  </w:r>
                                </w:p>
                              </w:sdtContent>
                            </w:sdt>
                            <w:sdt>
                              <w:sdtPr>
                                <w:alias w:val="4.3.3 pp."/>
                                <w:tag w:val="part_cbe7752b78634e8599dfa18cf2318fab"/>
                                <w:lock w:val="sdtLocked"/>
                                <w:richText/>
                              </w:sdtPr>
                              <w:sdtContent>
                                <w:p>
                                  <w:pPr>
                                    <w:ind w:firstLine="709"/>
                                    <w:jc w:val="both"/>
                                    <w:rPr>
                                      <w:szCs w:val="24"/>
                                      <w:lang w:eastAsia="lt-LT"/>
                                    </w:rPr>
                                  </w:pPr>
                                  <w:sdt>
                                    <w:sdtPr>
                                      <w:alias w:val="Numeris"/>
                                      <w:tag w:val="nr_cbe7752b78634e8599dfa18cf2318fab"/>
                                      <w:lock w:val="sdtLocked"/>
                                      <w:richText/>
                                    </w:sdtPr>
                                    <w:sdtContent>
                                      <w:r>
                                        <w:rPr>
                                          <w:szCs w:val="24"/>
                                          <w:lang w:eastAsia="lt-LT"/>
                                        </w:rPr>
                                        <w:t>4.3.3</w:t>
                                      </w:r>
                                    </w:sdtContent>
                                  </w:sdt>
                                  <w:r>
                                    <w:rPr>
                                      <w:szCs w:val="24"/>
                                      <w:lang w:eastAsia="lt-LT"/>
                                    </w:rPr>
                                    <w:t>. fiziniai asmenys, kuriems išduotas verslo liudijimas ir / arba individualios veiklos vykdymo pažyma veiklai savivaldybės teritorijoje, ūkininkai;</w:t>
                                  </w:r>
                                </w:p>
                              </w:sdtContent>
                            </w:sdt>
                            <w:sdt>
                              <w:sdtPr>
                                <w:alias w:val="4.3.4 pp."/>
                                <w:tag w:val="part_1c377edccdba4d27910e1b4a0280826f"/>
                                <w:lock w:val="sdtLocked"/>
                                <w:richText/>
                              </w:sdtPr>
                              <w:sdtContent>
                                <w:p>
                                  <w:pPr>
                                    <w:ind w:firstLine="709"/>
                                    <w:jc w:val="both"/>
                                    <w:rPr>
                                      <w:szCs w:val="24"/>
                                      <w:lang w:eastAsia="lt-LT"/>
                                    </w:rPr>
                                  </w:pPr>
                                  <w:sdt>
                                    <w:sdtPr>
                                      <w:alias w:val="Numeris"/>
                                      <w:tag w:val="nr_1c377edccdba4d27910e1b4a0280826f"/>
                                      <w:lock w:val="sdtLocked"/>
                                      <w:richText/>
                                    </w:sdtPr>
                                    <w:sdtContent>
                                      <w:r>
                                        <w:rPr>
                                          <w:szCs w:val="24"/>
                                          <w:lang w:eastAsia="lt-LT"/>
                                        </w:rPr>
                                        <w:t>4.3.4</w:t>
                                      </w:r>
                                    </w:sdtContent>
                                  </w:sdt>
                                  <w:r>
                                    <w:rPr>
                                      <w:szCs w:val="24"/>
                                      <w:lang w:eastAsia="lt-LT"/>
                                    </w:rPr>
                                    <w:t>. savivaldybės teritorijoje įregistruoti juridiniai asmenys (įstaigos, organizacijos, įmonės, sodininkų ir garažų bendrijos ir kiti) ir kitur įregistruoti juridiniai asmenys, jei jie turi savivaldybės teritorijoje padalinių, filialų ir atstovybių arba jų neturi, tačiau veikia savivaldybės teritorijoje;</w:t>
                                  </w:r>
                                </w:p>
                              </w:sdtContent>
                            </w:sdt>
                            <w:sdt>
                              <w:sdtPr>
                                <w:alias w:val="4.3.5 pp."/>
                                <w:tag w:val="part_80e7306c4b4c453db24d8bb9ba488ab7"/>
                                <w:lock w:val="sdtLocked"/>
                                <w:richText/>
                              </w:sdtPr>
                              <w:sdtContent>
                                <w:p>
                                  <w:pPr>
                                    <w:ind w:firstLine="709"/>
                                    <w:jc w:val="both"/>
                                    <w:rPr>
                                      <w:szCs w:val="24"/>
                                      <w:lang w:eastAsia="lt-LT"/>
                                    </w:rPr>
                                  </w:pPr>
                                  <w:sdt>
                                    <w:sdtPr>
                                      <w:alias w:val="Numeris"/>
                                      <w:tag w:val="nr_80e7306c4b4c453db24d8bb9ba488ab7"/>
                                      <w:lock w:val="sdtLocked"/>
                                      <w:richText/>
                                    </w:sdtPr>
                                    <w:sdtContent>
                                      <w:r>
                                        <w:rPr>
                                          <w:szCs w:val="24"/>
                                          <w:lang w:eastAsia="lt-LT"/>
                                        </w:rPr>
                                        <w:t>4.3.5</w:t>
                                      </w:r>
                                    </w:sdtContent>
                                  </w:sdt>
                                  <w:r>
                                    <w:rPr>
                                      <w:szCs w:val="24"/>
                                      <w:lang w:eastAsia="lt-LT"/>
                                    </w:rPr>
                                    <w:t>. asmenys, nuolat veikiantys savivaldybės teritorijoje pagal jiems suteiktas licencijas ir leidimus (notarų biurai, advokatų kontoros, antstolių kontoros, jų padalinai ir pan.);</w:t>
                                  </w:r>
                                </w:p>
                              </w:sdtContent>
                            </w:sdt>
                            <w:sdt>
                              <w:sdtPr>
                                <w:alias w:val="4.3.6 pp."/>
                                <w:tag w:val="part_1ee4213025864978922095368b43cd33"/>
                                <w:lock w:val="sdtLocked"/>
                                <w:richText/>
                              </w:sdtPr>
                              <w:sdtContent>
                                <w:p>
                                  <w:pPr>
                                    <w:ind w:firstLine="709"/>
                                    <w:jc w:val="both"/>
                                    <w:rPr>
                                      <w:szCs w:val="24"/>
                                      <w:lang w:eastAsia="lt-LT"/>
                                    </w:rPr>
                                  </w:pPr>
                                  <w:sdt>
                                    <w:sdtPr>
                                      <w:alias w:val="Numeris"/>
                                      <w:tag w:val="nr_1ee4213025864978922095368b43cd33"/>
                                      <w:lock w:val="sdtLocked"/>
                                      <w:richText/>
                                    </w:sdtPr>
                                    <w:sdtContent>
                                      <w:r>
                                        <w:rPr>
                                          <w:szCs w:val="24"/>
                                          <w:lang w:eastAsia="lt-LT"/>
                                        </w:rPr>
                                        <w:t>4.3.6</w:t>
                                      </w:r>
                                    </w:sdtContent>
                                  </w:sdt>
                                  <w:r>
                                    <w:rPr>
                                      <w:szCs w:val="24"/>
                                      <w:lang w:eastAsia="lt-LT"/>
                                    </w:rPr>
                                    <w:t>. p</w:t>
                                  </w:r>
                                  <w:r>
                                    <w:rPr>
                                      <w:color w:val="000000"/>
                                    </w:rPr>
                                    <w:t>astoviosios rinkliavos dalies nemoka nekilnojamojo turto objektų, registruotų Nekilnojamojo turto registre, savininkai ar jų įgalioti asmenys, kurių nekilnojamojo turto objekte yra įvykusi ir (ar) nepašalinta statinio avarija arba statinių naudojimą sustabdė statinio naudojimo priežiūrą atliekantis viešojo administravimo subjektas vadovaudamasis Statybos įstatymo nuostatomis, arba nekilnojamojo turto objektų, registruotų Nekilnojamojo turto registre, savininkai ar jų įgalioti asmenys, kurie negali naudotis nekilnojamojo turto objektu dėl įstatymų arba teismo sprendimu apribotos nuosavybės teisės į šį nekilnojamojo turto objektą.“</w:t>
                                  </w:r>
                                </w:p>
                              </w:sdtContent>
                            </w:sdt>
                          </w:sdtContent>
                        </w:sdt>
                      </w:sdtContent>
                    </w:sdt>
                  </w:sdtContent>
                </w:sdt>
                <w:sdt>
                  <w:sdtPr>
                    <w:alias w:val="1.3 pp."/>
                    <w:tag w:val="part_e01f2b38fe6d43179833e327a5bc99eb"/>
                    <w:lock w:val="sdtLocked"/>
                    <w:richText/>
                  </w:sdtPr>
                  <w:sdtContent>
                    <w:p>
                      <w:pPr>
                        <w:ind w:firstLine="771"/>
                        <w:jc w:val="both"/>
                        <w:rPr>
                          <w:szCs w:val="24"/>
                          <w:lang w:eastAsia="lt-LT"/>
                        </w:rPr>
                      </w:pPr>
                      <w:sdt>
                        <w:sdtPr>
                          <w:alias w:val="Numeris"/>
                          <w:tag w:val="nr_e01f2b38fe6d43179833e327a5bc99eb"/>
                          <w:lock w:val="sdtLocked"/>
                          <w:richText/>
                        </w:sdtPr>
                        <w:sdtContent>
                          <w:r>
                            <w:rPr>
                              <w:szCs w:val="24"/>
                              <w:lang w:eastAsia="lt-LT"/>
                            </w:rPr>
                            <w:t>1.3</w:t>
                          </w:r>
                        </w:sdtContent>
                      </w:sdt>
                      <w:r>
                        <w:rPr>
                          <w:szCs w:val="24"/>
                          <w:lang w:eastAsia="lt-LT"/>
                        </w:rPr>
                        <w:t>. Radviliškio rajono savivaldybės vietinės rinkliavos už komunalinių atliekų surinkimą iš atliekų turėtojų ir atliekų tvarkymą nuostatų, patvirtintų Sprendimo 1.2 papunkčiu, 12 punktą ir jį išdėstyti taip:</w:t>
                      </w:r>
                    </w:p>
                    <w:sdt>
                      <w:sdtPr>
                        <w:alias w:val="citata"/>
                        <w:tag w:val="part_db8f3aa9c69142dea2d81aaca152fc01"/>
                        <w:lock w:val="sdtLocked"/>
                        <w:richText/>
                      </w:sdtPr>
                      <w:sdtContent>
                        <w:sdt>
                          <w:sdtPr>
                            <w:alias w:val="12 p."/>
                            <w:tag w:val="part_4b00d5d6f7e44221b1b45c2bd8873937"/>
                            <w:lock w:val="sdtLocked"/>
                            <w:richText/>
                          </w:sdtPr>
                          <w:sdtContent>
                            <w:p>
                              <w:pPr>
                                <w:tabs>
                                  <w:tab w:val="left" w:pos="709"/>
                                  <w:tab w:val="left" w:pos="1134"/>
                                </w:tabs>
                                <w:suppressAutoHyphens/>
                                <w:ind w:firstLine="709"/>
                                <w:jc w:val="both"/>
                                <w:rPr>
                                  <w:szCs w:val="24"/>
                                  <w:lang w:eastAsia="lt-LT"/>
                                </w:rPr>
                              </w:pPr>
                              <w:r>
                                <w:rPr>
                                  <w:szCs w:val="24"/>
                                  <w:lang w:eastAsia="lt-LT"/>
                                </w:rPr>
                                <w:t>„</w:t>
                              </w:r>
                              <w:sdt>
                                <w:sdtPr>
                                  <w:alias w:val="Numeris"/>
                                  <w:tag w:val="nr_4b00d5d6f7e44221b1b45c2bd8873937"/>
                                  <w:lock w:val="sdtLocked"/>
                                  <w:richText/>
                                </w:sdtPr>
                                <w:sdtContent>
                                  <w:r>
                                    <w:rPr>
                                      <w:szCs w:val="24"/>
                                      <w:lang w:eastAsia="lt-LT"/>
                                    </w:rPr>
                                    <w:t>12</w:t>
                                  </w:r>
                                </w:sdtContent>
                              </w:sdt>
                              <w:r>
                                <w:rPr>
                                  <w:szCs w:val="24"/>
                                  <w:lang w:eastAsia="lt-LT"/>
                                </w:rPr>
                                <w:t xml:space="preserve">. Pastoviąją dedamąją moka visi nekilnojamojo turto savininkai ar jų įgalioti asmenys: </w:t>
                              </w:r>
                            </w:p>
                            <w:sdt>
                              <w:sdtPr>
                                <w:alias w:val="12.1 pp."/>
                                <w:tag w:val="part_32d540b93d6f421689244200a429ce44"/>
                                <w:lock w:val="sdtLocked"/>
                                <w:richText/>
                              </w:sdtPr>
                              <w:sdtContent>
                                <w:p>
                                  <w:pPr>
                                    <w:tabs>
                                      <w:tab w:val="left" w:pos="709"/>
                                      <w:tab w:val="left" w:pos="1134"/>
                                    </w:tabs>
                                    <w:suppressAutoHyphens/>
                                    <w:ind w:firstLine="709"/>
                                    <w:jc w:val="both"/>
                                    <w:rPr>
                                      <w:szCs w:val="24"/>
                                      <w:lang w:eastAsia="lt-LT"/>
                                    </w:rPr>
                                  </w:pPr>
                                  <w:sdt>
                                    <w:sdtPr>
                                      <w:alias w:val="Numeris"/>
                                      <w:tag w:val="nr_32d540b93d6f421689244200a429ce44"/>
                                      <w:lock w:val="sdtLocked"/>
                                      <w:richText/>
                                    </w:sdtPr>
                                    <w:sdtContent>
                                      <w:r>
                                        <w:rPr>
                                          <w:szCs w:val="24"/>
                                          <w:lang w:eastAsia="lt-LT"/>
                                        </w:rPr>
                                        <w:t>12.1</w:t>
                                      </w:r>
                                    </w:sdtContent>
                                  </w:sdt>
                                  <w:r>
                                    <w:rPr>
                                      <w:szCs w:val="24"/>
                                      <w:lang w:eastAsia="lt-LT"/>
                                    </w:rPr>
                                    <w:t>. gyvenamosios paskirties patalpų (daugiabučio namo butų, individualių namų), esančių Savivaldybės teritorijoje, ir negyvenamosios paskirties statinių, esančių sodų bendrijos teritorijoje, savininkai (jei šioms patalpoms nustatyta tvarka yra suteiktas adresas ar įregistruota nuosavybės teisė); Savivaldybės gyvenamosios paskirties patalpų nuomininkai;</w:t>
                                  </w:r>
                                </w:p>
                              </w:sdtContent>
                            </w:sdt>
                            <w:sdt>
                              <w:sdtPr>
                                <w:alias w:val="12.2 pp."/>
                                <w:tag w:val="part_495d9adbdd234a1ca49d75df699f1544"/>
                                <w:lock w:val="sdtLocked"/>
                                <w:richText/>
                              </w:sdtPr>
                              <w:sdtContent>
                                <w:p>
                                  <w:pPr>
                                    <w:tabs>
                                      <w:tab w:val="left" w:pos="709"/>
                                      <w:tab w:val="left" w:pos="1134"/>
                                    </w:tabs>
                                    <w:suppressAutoHyphens/>
                                    <w:ind w:firstLine="709"/>
                                    <w:jc w:val="both"/>
                                    <w:rPr>
                                      <w:szCs w:val="24"/>
                                      <w:lang w:eastAsia="lt-LT"/>
                                    </w:rPr>
                                  </w:pPr>
                                  <w:sdt>
                                    <w:sdtPr>
                                      <w:alias w:val="Numeris"/>
                                      <w:tag w:val="nr_495d9adbdd234a1ca49d75df699f1544"/>
                                      <w:lock w:val="sdtLocked"/>
                                      <w:richText/>
                                    </w:sdtPr>
                                    <w:sdtContent>
                                      <w:r>
                                        <w:rPr>
                                          <w:szCs w:val="24"/>
                                          <w:lang w:eastAsia="lt-LT"/>
                                        </w:rPr>
                                        <w:t>12.2</w:t>
                                      </w:r>
                                    </w:sdtContent>
                                  </w:sdt>
                                  <w:r>
                                    <w:rPr>
                                      <w:szCs w:val="24"/>
                                      <w:lang w:eastAsia="lt-LT"/>
                                    </w:rPr>
                                    <w:t>. gyventojai, kurie yra įtraukti į gyvenamosios vietos neturinčių asmenų apskaitą Savivaldybėje ir kurių žinoma faktinė gyvenamoji vieta yra Savivaldybės teritorijoje;</w:t>
                                  </w:r>
                                </w:p>
                              </w:sdtContent>
                            </w:sdt>
                            <w:sdt>
                              <w:sdtPr>
                                <w:alias w:val="12.3 pp."/>
                                <w:tag w:val="part_ef669dec2c57438f989a0cbf0d107290"/>
                                <w:lock w:val="sdtLocked"/>
                                <w:richText/>
                              </w:sdtPr>
                              <w:sdtContent>
                                <w:p>
                                  <w:pPr>
                                    <w:tabs>
                                      <w:tab w:val="left" w:pos="709"/>
                                      <w:tab w:val="left" w:pos="1134"/>
                                    </w:tabs>
                                    <w:suppressAutoHyphens/>
                                    <w:ind w:firstLine="709"/>
                                    <w:jc w:val="both"/>
                                    <w:rPr>
                                      <w:szCs w:val="24"/>
                                      <w:lang w:eastAsia="lt-LT"/>
                                    </w:rPr>
                                  </w:pPr>
                                  <w:sdt>
                                    <w:sdtPr>
                                      <w:alias w:val="Numeris"/>
                                      <w:tag w:val="nr_ef669dec2c57438f989a0cbf0d107290"/>
                                      <w:lock w:val="sdtLocked"/>
                                      <w:richText/>
                                    </w:sdtPr>
                                    <w:sdtContent>
                                      <w:r>
                                        <w:rPr>
                                          <w:szCs w:val="24"/>
                                          <w:lang w:eastAsia="lt-LT"/>
                                        </w:rPr>
                                        <w:t>12.3</w:t>
                                      </w:r>
                                    </w:sdtContent>
                                  </w:sdt>
                                  <w:r>
                                    <w:rPr>
                                      <w:szCs w:val="24"/>
                                      <w:lang w:eastAsia="lt-LT"/>
                                    </w:rPr>
                                    <w:t>. fiziniai asmenys, kuriems išduotas verslo liudijimas ir / arba individualios veiklos vykdymo pažyma veiklai Savivaldybės teritorijoje, ūkininkai;</w:t>
                                  </w:r>
                                </w:p>
                              </w:sdtContent>
                            </w:sdt>
                            <w:sdt>
                              <w:sdtPr>
                                <w:alias w:val="12.4 pp."/>
                                <w:tag w:val="part_66053f3cdcb2473c9bc6529264bd6404"/>
                                <w:lock w:val="sdtLocked"/>
                                <w:richText/>
                              </w:sdtPr>
                              <w:sdtContent>
                                <w:p>
                                  <w:pPr>
                                    <w:tabs>
                                      <w:tab w:val="left" w:pos="709"/>
                                      <w:tab w:val="left" w:pos="1134"/>
                                    </w:tabs>
                                    <w:suppressAutoHyphens/>
                                    <w:ind w:firstLine="709"/>
                                    <w:jc w:val="both"/>
                                    <w:rPr>
                                      <w:szCs w:val="24"/>
                                      <w:lang w:eastAsia="lt-LT"/>
                                    </w:rPr>
                                  </w:pPr>
                                  <w:sdt>
                                    <w:sdtPr>
                                      <w:alias w:val="Numeris"/>
                                      <w:tag w:val="nr_66053f3cdcb2473c9bc6529264bd6404"/>
                                      <w:lock w:val="sdtLocked"/>
                                      <w:richText/>
                                    </w:sdtPr>
                                    <w:sdtContent>
                                      <w:r>
                                        <w:rPr>
                                          <w:szCs w:val="24"/>
                                          <w:lang w:eastAsia="lt-LT"/>
                                        </w:rPr>
                                        <w:t>12.4</w:t>
                                      </w:r>
                                    </w:sdtContent>
                                  </w:sdt>
                                  <w:r>
                                    <w:rPr>
                                      <w:szCs w:val="24"/>
                                      <w:lang w:eastAsia="lt-LT"/>
                                    </w:rPr>
                                    <w:t>. Savivaldybės teritorijoje įregistruoti juridiniai asmenys (įstaigos, organizacijos, įmonės, sodininkų ir garažų bendrijos ir kiti) ir kitur įregistruoti juridiniai asmenys, jei jie turi Savivaldybės teritorijoje padalinių, filialų ir atstovybių arba jų neturi, tačiau veikia Savivaldybės teritorijoje;</w:t>
                                  </w:r>
                                </w:p>
                              </w:sdtContent>
                            </w:sdt>
                            <w:sdt>
                              <w:sdtPr>
                                <w:alias w:val="12.5 pp."/>
                                <w:tag w:val="part_9de688ff6a114d19a96e9f8231650dfa"/>
                                <w:lock w:val="sdtLocked"/>
                                <w:richText/>
                              </w:sdtPr>
                              <w:sdtContent>
                                <w:p>
                                  <w:pPr>
                                    <w:tabs>
                                      <w:tab w:val="left" w:pos="709"/>
                                      <w:tab w:val="left" w:pos="1134"/>
                                    </w:tabs>
                                    <w:suppressAutoHyphens/>
                                    <w:ind w:firstLine="709"/>
                                    <w:jc w:val="both"/>
                                    <w:rPr>
                                      <w:szCs w:val="24"/>
                                      <w:lang w:eastAsia="lt-LT"/>
                                    </w:rPr>
                                  </w:pPr>
                                  <w:sdt>
                                    <w:sdtPr>
                                      <w:alias w:val="Numeris"/>
                                      <w:tag w:val="nr_9de688ff6a114d19a96e9f8231650dfa"/>
                                      <w:lock w:val="sdtLocked"/>
                                      <w:richText/>
                                    </w:sdtPr>
                                    <w:sdtContent>
                                      <w:r>
                                        <w:rPr>
                                          <w:szCs w:val="24"/>
                                          <w:lang w:eastAsia="lt-LT"/>
                                        </w:rPr>
                                        <w:t>12.5</w:t>
                                      </w:r>
                                    </w:sdtContent>
                                  </w:sdt>
                                  <w:r>
                                    <w:rPr>
                                      <w:szCs w:val="24"/>
                                      <w:lang w:eastAsia="lt-LT"/>
                                    </w:rPr>
                                    <w:t>. asmenys, nuolat veikiantys Savivaldybės teritorijoje pagal jiems suteiktas licencijas ir leidimus (notarų biurai, advokatų kontoros, antstolių kontoros, jų padalinai ir pan.);</w:t>
                                  </w:r>
                                </w:p>
                              </w:sdtContent>
                            </w:sdt>
                            <w:sdt>
                              <w:sdtPr>
                                <w:alias w:val="12.6 pp."/>
                                <w:tag w:val="part_e05ec40b759846a29dd9c3bf8255e92c"/>
                                <w:lock w:val="sdtLocked"/>
                                <w:richText/>
                              </w:sdtPr>
                              <w:sdtContent>
                                <w:p>
                                  <w:pPr>
                                    <w:tabs>
                                      <w:tab w:val="left" w:pos="709"/>
                                      <w:tab w:val="left" w:pos="1134"/>
                                    </w:tabs>
                                    <w:suppressAutoHyphens/>
                                    <w:ind w:firstLine="709"/>
                                    <w:jc w:val="both"/>
                                    <w:rPr>
                                      <w:szCs w:val="24"/>
                                      <w:lang w:eastAsia="lt-LT"/>
                                    </w:rPr>
                                  </w:pPr>
                                  <w:sdt>
                                    <w:sdtPr>
                                      <w:alias w:val="Numeris"/>
                                      <w:tag w:val="nr_e05ec40b759846a29dd9c3bf8255e92c"/>
                                      <w:lock w:val="sdtLocked"/>
                                      <w:richText/>
                                    </w:sdtPr>
                                    <w:sdtContent>
                                      <w:r>
                                        <w:rPr>
                                          <w:szCs w:val="24"/>
                                          <w:lang w:eastAsia="lt-LT"/>
                                        </w:rPr>
                                        <w:t>12.6</w:t>
                                      </w:r>
                                    </w:sdtContent>
                                  </w:sdt>
                                  <w:r>
                                    <w:rPr>
                                      <w:szCs w:val="24"/>
                                      <w:lang w:eastAsia="lt-LT"/>
                                    </w:rPr>
                                    <w:t>.</w:t>
                                  </w:r>
                                  <w:r>
                                    <w:rPr>
                                      <w:color w:val="000000"/>
                                    </w:rPr>
                                    <w:t xml:space="preserve"> pastoviosios dedamosios nemoka nekilnojamojo turto objektų, registruotų Nekilnojamojo turto registre, savininkai ar jų įgalioti asmenys, kurių nekilnojamojo turto objekte yra įvykusi ir (ar) nepašalinta statinio avarija arba statinių naudojimą sustabdė statinio naudojimo priežiūrą atliekantis viešojo administravimo subjektas vadovaudamasis Statybos įstatymo nuostatomis, arba nekilnojamojo turto objektų, registruotų Nekilnojamojo turto registre, savininkai ar jų įgalioti asmenys, kurie negali naudotis nekilnojamojo turto objektu dėl įstatymų arba teismo sprendimu apribotos nuosavybės teisės į šį nekilnojamojo turto objektą.“</w:t>
                                  </w:r>
                                </w:p>
                              </w:sdtContent>
                            </w:sdt>
                          </w:sdtContent>
                        </w:sdt>
                      </w:sdtContent>
                    </w:sdt>
                  </w:sdtContent>
                </w:sdt>
                <w:sdt>
                  <w:sdtPr>
                    <w:alias w:val="1.4 pp."/>
                    <w:tag w:val="part_9715f2db336742d09a4fed32a4bbe891"/>
                    <w:lock w:val="sdtLocked"/>
                    <w:richText/>
                  </w:sdtPr>
                  <w:sdtContent>
                    <w:p>
                      <w:pPr>
                        <w:suppressAutoHyphens/>
                        <w:ind w:firstLine="771"/>
                        <w:jc w:val="both"/>
                        <w:rPr>
                          <w:szCs w:val="24"/>
                          <w:lang w:eastAsia="lt-LT"/>
                        </w:rPr>
                      </w:pPr>
                      <w:sdt>
                        <w:sdtPr>
                          <w:alias w:val="Numeris"/>
                          <w:tag w:val="nr_9715f2db336742d09a4fed32a4bbe891"/>
                          <w:lock w:val="sdtLocked"/>
                          <w:richText/>
                        </w:sdtPr>
                        <w:sdtContent>
                          <w:r>
                            <w:rPr>
                              <w:szCs w:val="24"/>
                              <w:lang w:eastAsia="lt-LT"/>
                            </w:rPr>
                            <w:t>1.4</w:t>
                          </w:r>
                        </w:sdtContent>
                      </w:sdt>
                      <w:r>
                        <w:rPr>
                          <w:szCs w:val="24"/>
                          <w:lang w:eastAsia="lt-LT"/>
                        </w:rPr>
                        <w:t>. Sprendimo 1 priedą „Vietinės rinkliavos mokėtojų grupių vietinės rinkliavos už komunalinių atliekų surinkimą ir tvarkymą dydžiai“ ir išdėstyti jį taip:</w:t>
                      </w:r>
                    </w:p>
                    <w:p>
                      <w:pPr>
                        <w:suppressAutoHyphens/>
                        <w:ind w:firstLine="851"/>
                        <w:jc w:val="both"/>
                        <w:rPr>
                          <w:szCs w:val="24"/>
                          <w:lang w:eastAsia="lt-LT"/>
                        </w:rPr>
                      </w:pPr>
                    </w:p>
                  </w:sdtContent>
                </w:sdt>
              </w:sdtContent>
            </w:sdt>
          </w:sdtContent>
        </w:sdt>
        <w:sdt>
          <w:sdtPr>
            <w:alias w:val="skirsnis"/>
            <w:tag w:val="part_b6e95ef2b2544290b9d4a9f8b2fc5c01"/>
            <w:lock w:val="sdtLocked"/>
            <w:richText/>
          </w:sdtPr>
          <w:sdtContent>
            <w:p>
              <w:pPr>
                <w:ind w:left="5971" w:firstLine="720"/>
                <w:jc w:val="both"/>
                <w:rPr>
                  <w:b/>
                  <w:szCs w:val="24"/>
                </w:rPr>
              </w:pPr>
              <w:sdt>
                <w:sdtPr>
                  <w:alias w:val="Pavadinimas"/>
                  <w:tag w:val="title_b6e95ef2b2544290b9d4a9f8b2fc5c01"/>
                  <w:lock w:val="sdtLocked"/>
                  <w:richText/>
                </w:sdtPr>
                <w:sdtContent>
                  <w:r>
                    <w:rPr>
                      <w:b/>
                      <w:szCs w:val="24"/>
                    </w:rPr>
                    <w:t>2024-12-</w:t>
                  </w:r>
                </w:sdtContent>
              </w:sdt>
            </w:p>
          </w:sdtContent>
        </w:sdt>
      </w:sdtContent>
    </w:sdt>
    <w:sdt>
      <w:sdtPr>
        <w:alias w:val="1 pr."/>
        <w:tag w:val="part_cbf8fdfcc7f7478a9b160d47db8acaf6"/>
        <w:lock w:val="sdtLocked"/>
        <w:richText/>
      </w:sdtPr>
      <w:sdtContent>
        <w:p>
          <w:pPr>
            <w:ind w:left="6691"/>
            <w:rPr>
              <w:bCs/>
              <w:szCs w:val="24"/>
              <w:lang w:eastAsia="lt-LT"/>
            </w:rPr>
          </w:pPr>
          <w:r>
            <w:rPr>
              <w:szCs w:val="24"/>
            </w:rPr>
            <w:t xml:space="preserve">Radviliškio rajono </w:t>
          </w:r>
          <w:r>
            <w:rPr>
              <w:szCs w:val="24"/>
              <w:lang w:eastAsia="lt-LT"/>
            </w:rPr>
            <w:t xml:space="preserve">savivaldybės vietinės rinkliavos už komunalinių atliekų surinkimą ir atliekų tvarkymą nuostatų </w:t>
          </w:r>
          <w:sdt>
            <w:sdtPr>
              <w:alias w:val="Numeris"/>
              <w:tag w:val="nr_cbf8fdfcc7f7478a9b160d47db8acaf6"/>
              <w:lock w:val="sdtLocked"/>
              <w:richText/>
            </w:sdtPr>
            <w:sdtContent>
              <w:r>
                <w:rPr>
                  <w:bCs/>
                  <w:szCs w:val="24"/>
                  <w:lang w:eastAsia="lt-LT"/>
                </w:rPr>
                <w:t>1</w:t>
              </w:r>
            </w:sdtContent>
          </w:sdt>
          <w:r>
            <w:rPr>
              <w:bCs/>
              <w:szCs w:val="24"/>
              <w:lang w:eastAsia="lt-LT"/>
            </w:rPr>
            <w:t xml:space="preserve"> priedas</w:t>
          </w:r>
        </w:p>
        <w:p>
          <w:pPr>
            <w:ind w:left="6691"/>
            <w:rPr>
              <w:szCs w:val="24"/>
            </w:rPr>
          </w:pPr>
          <w:r>
            <w:rPr>
              <w:bCs/>
              <w:szCs w:val="24"/>
              <w:lang w:eastAsia="lt-LT"/>
            </w:rPr>
            <w:t>(nauja redakcija)</w:t>
          </w:r>
        </w:p>
        <w:p>
          <w:pPr>
            <w:suppressAutoHyphens/>
            <w:ind w:firstLine="709"/>
            <w:jc w:val="both"/>
            <w:rPr>
              <w:szCs w:val="24"/>
              <w:lang w:eastAsia="lt-LT"/>
            </w:rPr>
          </w:pPr>
        </w:p>
        <w:p>
          <w:pPr>
            <w:jc w:val="center"/>
            <w:rPr>
              <w:b/>
              <w:szCs w:val="24"/>
            </w:rPr>
          </w:pPr>
          <w:sdt>
            <w:sdtPr>
              <w:alias w:val="Pavadinimas"/>
              <w:tag w:val="title_cbf8fdfcc7f7478a9b160d47db8acaf6"/>
              <w:lock w:val="sdtLocked"/>
              <w:richText/>
            </w:sdtPr>
            <w:sdtContent>
              <w:r>
                <w:rPr>
                  <w:b/>
                  <w:caps/>
                  <w:szCs w:val="24"/>
                </w:rPr>
                <w:t>vietinės rinkliavos mokėtojų grupių</w:t>
              </w:r>
              <w:r>
                <w:rPr>
                  <w:b/>
                  <w:szCs w:val="24"/>
                </w:rPr>
                <w:t xml:space="preserve"> VIETINĖS RINKLIAVOS UŽ KOMUNALINIŲ ATLIEKŲ SURINKIMĄ IR TVARKYMĄ DYDŽIAI</w:t>
              </w:r>
            </w:sdtContent>
          </w:sdt>
        </w:p>
        <w:p>
          <w:pPr>
            <w:jc w:val="center"/>
            <w:rPr>
              <w:b/>
              <w:szCs w:val="24"/>
            </w:rPr>
          </w:pPr>
        </w:p>
        <w:tbl>
          <w:tblPr>
            <w:tblW w:w="9600" w:type="dxa"/>
            <w:tblLook w:val="04A0" w:firstRow="1" w:lastRow="0" w:firstColumn="1" w:lastColumn="0" w:noHBand="0" w:noVBand="1"/>
          </w:tblPr>
          <w:tblGrid>
            <w:gridCol w:w="500"/>
            <w:gridCol w:w="1920"/>
            <w:gridCol w:w="2683"/>
            <w:gridCol w:w="1617"/>
            <w:gridCol w:w="1502"/>
            <w:gridCol w:w="1378"/>
          </w:tblGrid>
          <w:tr>
            <w:trPr>
              <w:trHeight w:val="480"/>
            </w:trPr>
            <w:tc>
              <w:tcPr>
                <w:tcW w:w="500"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Eil. Nr.</w:t>
                </w:r>
              </w:p>
            </w:tc>
            <w:tc>
              <w:tcPr>
                <w:tcW w:w="1920"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Grupės</w:t>
                </w:r>
              </w:p>
            </w:tc>
            <w:tc>
              <w:tcPr>
                <w:tcW w:w="4300" w:type="dxa"/>
                <w:gridSpan w:val="2"/>
                <w:tcBorders>
                  <w:top w:val="single" w:sz="4" w:space="0" w:color="auto"/>
                  <w:left w:val="nil"/>
                  <w:bottom w:val="single" w:sz="4" w:space="0" w:color="auto"/>
                  <w:right w:val="single" w:sz="4" w:space="0" w:color="auto"/>
                </w:tcBorders>
                <w:noWrap/>
                <w:vAlign w:val="center"/>
                <w:hideMark/>
              </w:tcPr>
              <w:p>
                <w:pPr>
                  <w:jc w:val="center"/>
                  <w:rPr>
                    <w:sz w:val="20"/>
                    <w:szCs w:val="24"/>
                    <w:lang w:eastAsia="lt-LT"/>
                  </w:rPr>
                </w:pPr>
                <w:r>
                  <w:rPr>
                    <w:sz w:val="20"/>
                    <w:szCs w:val="24"/>
                    <w:lang w:eastAsia="lt-LT"/>
                  </w:rPr>
                  <w:t>Apmokestinamieji parametrai</w:t>
                </w:r>
              </w:p>
            </w:tc>
            <w:tc>
              <w:tcPr>
                <w:tcW w:w="2880" w:type="dxa"/>
                <w:gridSpan w:val="2"/>
                <w:tcBorders>
                  <w:top w:val="single" w:sz="4" w:space="0" w:color="auto"/>
                  <w:left w:val="nil"/>
                  <w:bottom w:val="single" w:sz="4" w:space="0" w:color="auto"/>
                  <w:right w:val="single" w:sz="4" w:space="0" w:color="000000"/>
                </w:tcBorders>
                <w:vAlign w:val="center"/>
                <w:hideMark/>
              </w:tcPr>
              <w:p>
                <w:pPr>
                  <w:jc w:val="center"/>
                  <w:rPr>
                    <w:sz w:val="20"/>
                    <w:szCs w:val="24"/>
                    <w:lang w:eastAsia="lt-LT"/>
                  </w:rPr>
                </w:pPr>
                <w:r>
                  <w:rPr>
                    <w:sz w:val="20"/>
                    <w:szCs w:val="24"/>
                    <w:lang w:eastAsia="lt-LT"/>
                  </w:rPr>
                  <w:t>Vietinės rinkliavos dydžiai už apmokestinamąjį parametrą</w:t>
                </w:r>
              </w:p>
            </w:tc>
          </w:tr>
          <w:tr>
            <w:trPr>
              <w:trHeight w:val="96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0"/>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0"/>
                    <w:szCs w:val="24"/>
                    <w:lang w:eastAsia="lt-LT"/>
                  </w:rPr>
                </w:pPr>
              </w:p>
            </w:tc>
            <w:tc>
              <w:tcPr>
                <w:tcW w:w="2683"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lang w:eastAsia="lt-LT"/>
                  </w:rPr>
                  <w:t>Pastovus parametras</w:t>
                </w:r>
              </w:p>
            </w:tc>
            <w:tc>
              <w:tcPr>
                <w:tcW w:w="1617" w:type="dxa"/>
                <w:tcBorders>
                  <w:top w:val="nil"/>
                  <w:left w:val="nil"/>
                  <w:bottom w:val="single" w:sz="4" w:space="0" w:color="auto"/>
                  <w:right w:val="single" w:sz="4" w:space="0" w:color="auto"/>
                </w:tcBorders>
                <w:vAlign w:val="center"/>
                <w:hideMark/>
              </w:tcPr>
              <w:p>
                <w:pPr>
                  <w:jc w:val="center"/>
                  <w:rPr>
                    <w:sz w:val="20"/>
                    <w:szCs w:val="24"/>
                    <w:vertAlign w:val="superscript"/>
                    <w:lang w:eastAsia="lt-LT"/>
                  </w:rPr>
                </w:pPr>
                <w:r>
                  <w:rPr>
                    <w:sz w:val="20"/>
                    <w:szCs w:val="24"/>
                    <w:lang w:eastAsia="lt-LT"/>
                  </w:rPr>
                  <w:t>Kintamas parametras</w:t>
                </w:r>
                <w:r>
                  <w:rPr>
                    <w:sz w:val="20"/>
                    <w:szCs w:val="24"/>
                    <w:vertAlign w:val="superscript"/>
                    <w:lang w:eastAsia="lt-LT"/>
                  </w:rPr>
                  <w:t>1</w:t>
                </w:r>
              </w:p>
            </w:tc>
            <w:tc>
              <w:tcPr>
                <w:tcW w:w="1502"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lang w:eastAsia="lt-LT"/>
                  </w:rPr>
                  <w:t>Pastovus vietinės rinkliavos dydis, Eur</w:t>
                </w:r>
              </w:p>
            </w:tc>
            <w:tc>
              <w:tcPr>
                <w:tcW w:w="1378"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lang w:eastAsia="lt-LT"/>
                  </w:rPr>
                  <w:t>Kintamas vietinės rinkliavos dydis, Eur</w:t>
                </w:r>
              </w:p>
            </w:tc>
          </w:tr>
          <w:tr>
            <w:trPr>
              <w:trHeight w:val="480"/>
            </w:trPr>
            <w:tc>
              <w:tcPr>
                <w:tcW w:w="500" w:type="dxa"/>
                <w:vMerge w:val="restart"/>
                <w:tcBorders>
                  <w:top w:val="nil"/>
                  <w:left w:val="single" w:sz="4" w:space="0" w:color="auto"/>
                  <w:bottom w:val="single" w:sz="4" w:space="0" w:color="000000"/>
                  <w:right w:val="single" w:sz="4" w:space="0" w:color="auto"/>
                </w:tcBorders>
                <w:noWrap/>
                <w:vAlign w:val="center"/>
                <w:hideMark/>
              </w:tcPr>
              <w:p>
                <w:pPr>
                  <w:jc w:val="center"/>
                  <w:rPr>
                    <w:sz w:val="20"/>
                    <w:szCs w:val="24"/>
                    <w:lang w:eastAsia="lt-LT"/>
                  </w:rPr>
                </w:pPr>
                <w:r>
                  <w:rPr>
                    <w:sz w:val="20"/>
                    <w:szCs w:val="24"/>
                    <w:lang w:eastAsia="lt-LT"/>
                  </w:rPr>
                  <w:t>1.</w:t>
                </w:r>
              </w:p>
            </w:tc>
            <w:tc>
              <w:tcPr>
                <w:tcW w:w="1920"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lang w:eastAsia="lt-LT"/>
                  </w:rPr>
                  <w:t>Daugiabučių gyvenamųjų namų butai</w:t>
                </w:r>
              </w:p>
            </w:tc>
            <w:tc>
              <w:tcPr>
                <w:tcW w:w="2683"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lang w:eastAsia="lt-LT"/>
                  </w:rPr>
                  <w:t>Deklaruotų gyventojų skaičius</w:t>
                </w: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lang w:eastAsia="lt-LT"/>
                  </w:rPr>
                  <w:t>Deklaruotų gyventojų skaičius</w:t>
                </w:r>
              </w:p>
            </w:tc>
            <w:tc>
              <w:tcPr>
                <w:tcW w:w="1502" w:type="dxa"/>
                <w:tcBorders>
                  <w:top w:val="nil"/>
                  <w:left w:val="nil"/>
                  <w:bottom w:val="single" w:sz="4" w:space="0" w:color="auto"/>
                  <w:right w:val="single" w:sz="4" w:space="0" w:color="auto"/>
                </w:tcBorders>
                <w:noWrap/>
                <w:vAlign w:val="center"/>
                <w:hideMark/>
              </w:tcPr>
              <w:p>
                <w:pPr>
                  <w:ind w:firstLine="53"/>
                  <w:jc w:val="right"/>
                  <w:rPr>
                    <w:sz w:val="20"/>
                    <w:szCs w:val="24"/>
                    <w:lang w:eastAsia="lt-LT"/>
                  </w:rPr>
                </w:pPr>
                <w:r>
                  <w:rPr>
                    <w:sz w:val="20"/>
                    <w:szCs w:val="24"/>
                    <w:lang w:eastAsia="lt-LT"/>
                  </w:rPr>
                  <w:t>29,52</w:t>
                </w:r>
              </w:p>
            </w:tc>
            <w:tc>
              <w:tcPr>
                <w:tcW w:w="1378" w:type="dxa"/>
                <w:tcBorders>
                  <w:top w:val="nil"/>
                  <w:left w:val="nil"/>
                  <w:bottom w:val="single" w:sz="4" w:space="0" w:color="auto"/>
                  <w:right w:val="single" w:sz="4" w:space="0" w:color="auto"/>
                </w:tcBorders>
                <w:noWrap/>
                <w:vAlign w:val="center"/>
                <w:hideMark/>
              </w:tcPr>
              <w:p>
                <w:pPr>
                  <w:jc w:val="right"/>
                  <w:rPr>
                    <w:sz w:val="20"/>
                    <w:szCs w:val="24"/>
                    <w:lang w:eastAsia="lt-LT"/>
                  </w:rPr>
                </w:pPr>
                <w:r>
                  <w:rPr>
                    <w:sz w:val="20"/>
                    <w:szCs w:val="24"/>
                    <w:lang w:eastAsia="lt-LT"/>
                  </w:rPr>
                  <w:t>12,72</w:t>
                </w:r>
              </w:p>
            </w:tc>
          </w:tr>
          <w:tr>
            <w:trPr>
              <w:trHeight w:val="720"/>
            </w:trPr>
            <w:tc>
              <w:tcPr>
                <w:tcW w:w="0" w:type="auto"/>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920" w:type="dxa"/>
                <w:vMerge w:val="restart"/>
                <w:tcBorders>
                  <w:top w:val="nil"/>
                  <w:left w:val="single" w:sz="4" w:space="0" w:color="auto"/>
                  <w:bottom w:val="single" w:sz="4" w:space="0" w:color="000000"/>
                  <w:right w:val="single" w:sz="4" w:space="0" w:color="auto"/>
                </w:tcBorders>
                <w:vAlign w:val="center"/>
                <w:hideMark/>
              </w:tcPr>
              <w:p>
                <w:pPr>
                  <w:jc w:val="center"/>
                  <w:rPr>
                    <w:sz w:val="20"/>
                    <w:szCs w:val="24"/>
                    <w:lang w:eastAsia="lt-LT"/>
                  </w:rPr>
                </w:pPr>
                <w:r>
                  <w:rPr>
                    <w:sz w:val="20"/>
                    <w:szCs w:val="24"/>
                    <w:lang w:eastAsia="lt-LT"/>
                  </w:rPr>
                  <w:t>Individualūs gyvenamieji namai</w:t>
                </w:r>
              </w:p>
            </w:tc>
            <w:tc>
              <w:tcPr>
                <w:tcW w:w="2683" w:type="dxa"/>
                <w:vMerge w:val="restart"/>
                <w:tcBorders>
                  <w:top w:val="nil"/>
                  <w:left w:val="single" w:sz="4" w:space="0" w:color="auto"/>
                  <w:bottom w:val="single" w:sz="4" w:space="0" w:color="000000"/>
                  <w:right w:val="single" w:sz="4" w:space="0" w:color="auto"/>
                </w:tcBorders>
                <w:vAlign w:val="center"/>
                <w:hideMark/>
              </w:tcPr>
              <w:p>
                <w:pPr>
                  <w:jc w:val="center"/>
                  <w:rPr>
                    <w:sz w:val="20"/>
                    <w:szCs w:val="24"/>
                    <w:lang w:eastAsia="lt-LT"/>
                  </w:rPr>
                </w:pPr>
                <w:r>
                  <w:rPr>
                    <w:sz w:val="20"/>
                    <w:szCs w:val="24"/>
                    <w:lang w:eastAsia="lt-LT"/>
                  </w:rPr>
                  <w:t>Deklaruotų gyventojų skaičius</w:t>
                </w: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lang w:eastAsia="lt-LT"/>
                  </w:rPr>
                  <w:t>0,12 m</w:t>
                </w:r>
                <w:r>
                  <w:rPr>
                    <w:sz w:val="20"/>
                    <w:szCs w:val="24"/>
                    <w:vertAlign w:val="superscript"/>
                    <w:lang w:eastAsia="lt-LT"/>
                  </w:rPr>
                  <w:t>3</w:t>
                </w:r>
                <w:r>
                  <w:rPr>
                    <w:sz w:val="20"/>
                    <w:szCs w:val="24"/>
                    <w:lang w:eastAsia="lt-LT"/>
                  </w:rPr>
                  <w:t xml:space="preserve"> konteinerio ištuštinimas</w:t>
                </w:r>
              </w:p>
            </w:tc>
            <w:tc>
              <w:tcPr>
                <w:tcW w:w="1502" w:type="dxa"/>
                <w:tcBorders>
                  <w:top w:val="nil"/>
                  <w:left w:val="nil"/>
                  <w:bottom w:val="single" w:sz="4" w:space="0" w:color="auto"/>
                  <w:right w:val="single" w:sz="4" w:space="0" w:color="auto"/>
                </w:tcBorders>
                <w:vAlign w:val="center"/>
                <w:hideMark/>
              </w:tcPr>
              <w:p>
                <w:pPr>
                  <w:ind w:firstLine="53"/>
                  <w:jc w:val="right"/>
                  <w:rPr>
                    <w:sz w:val="20"/>
                    <w:szCs w:val="24"/>
                    <w:lang w:eastAsia="lt-LT"/>
                  </w:rPr>
                </w:pPr>
                <w:r>
                  <w:rPr>
                    <w:sz w:val="20"/>
                    <w:szCs w:val="24"/>
                    <w:lang w:eastAsia="lt-LT"/>
                  </w:rPr>
                  <w:t>29,52</w:t>
                </w:r>
              </w:p>
            </w:tc>
            <w:tc>
              <w:tcPr>
                <w:tcW w:w="1378" w:type="dxa"/>
                <w:tcBorders>
                  <w:top w:val="nil"/>
                  <w:left w:val="nil"/>
                  <w:bottom w:val="single" w:sz="4" w:space="0" w:color="auto"/>
                  <w:right w:val="single" w:sz="4" w:space="0" w:color="auto"/>
                </w:tcBorders>
                <w:vAlign w:val="center"/>
                <w:hideMark/>
              </w:tcPr>
              <w:p>
                <w:pPr>
                  <w:jc w:val="right"/>
                  <w:rPr>
                    <w:sz w:val="20"/>
                    <w:szCs w:val="24"/>
                    <w:lang w:eastAsia="lt-LT"/>
                  </w:rPr>
                </w:pPr>
                <w:r>
                  <w:rPr>
                    <w:sz w:val="20"/>
                    <w:szCs w:val="24"/>
                    <w:lang w:eastAsia="lt-LT"/>
                  </w:rPr>
                  <w:t>1,00</w:t>
                </w:r>
              </w:p>
            </w:tc>
          </w:tr>
          <w:tr>
            <w:trPr>
              <w:trHeight w:val="720"/>
            </w:trPr>
            <w:tc>
              <w:tcPr>
                <w:tcW w:w="0" w:type="auto"/>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jc w:val="center"/>
                  <w:rPr>
                    <w:sz w:val="20"/>
                    <w:szCs w:val="24"/>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jc w:val="center"/>
                  <w:rPr>
                    <w:sz w:val="20"/>
                    <w:szCs w:val="24"/>
                    <w:lang w:eastAsia="lt-LT"/>
                  </w:rPr>
                </w:pP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lang w:eastAsia="lt-LT"/>
                  </w:rPr>
                  <w:t>0,24 m</w:t>
                </w:r>
                <w:r>
                  <w:rPr>
                    <w:sz w:val="20"/>
                    <w:szCs w:val="24"/>
                    <w:vertAlign w:val="superscript"/>
                    <w:lang w:eastAsia="lt-LT"/>
                  </w:rPr>
                  <w:t>3</w:t>
                </w:r>
                <w:r>
                  <w:rPr>
                    <w:sz w:val="20"/>
                    <w:szCs w:val="24"/>
                    <w:lang w:eastAsia="lt-LT"/>
                  </w:rPr>
                  <w:t xml:space="preserve"> konteinerio ištuštinimas</w:t>
                </w:r>
              </w:p>
            </w:tc>
            <w:tc>
              <w:tcPr>
                <w:tcW w:w="1502" w:type="dxa"/>
                <w:tcBorders>
                  <w:top w:val="nil"/>
                  <w:left w:val="nil"/>
                  <w:bottom w:val="single" w:sz="4" w:space="0" w:color="auto"/>
                  <w:right w:val="single" w:sz="4" w:space="0" w:color="auto"/>
                </w:tcBorders>
                <w:vAlign w:val="center"/>
                <w:hideMark/>
              </w:tcPr>
              <w:p>
                <w:pPr>
                  <w:ind w:firstLine="53"/>
                  <w:jc w:val="right"/>
                  <w:rPr>
                    <w:sz w:val="20"/>
                    <w:szCs w:val="24"/>
                    <w:lang w:eastAsia="lt-LT"/>
                  </w:rPr>
                </w:pPr>
                <w:r>
                  <w:rPr>
                    <w:sz w:val="20"/>
                    <w:szCs w:val="24"/>
                    <w:lang w:eastAsia="lt-LT"/>
                  </w:rPr>
                  <w:t>29,52</w:t>
                </w:r>
              </w:p>
            </w:tc>
            <w:tc>
              <w:tcPr>
                <w:tcW w:w="1378" w:type="dxa"/>
                <w:tcBorders>
                  <w:top w:val="nil"/>
                  <w:left w:val="nil"/>
                  <w:bottom w:val="single" w:sz="4" w:space="0" w:color="auto"/>
                  <w:right w:val="single" w:sz="4" w:space="0" w:color="auto"/>
                </w:tcBorders>
                <w:vAlign w:val="center"/>
                <w:hideMark/>
              </w:tcPr>
              <w:p>
                <w:pPr>
                  <w:jc w:val="right"/>
                  <w:rPr>
                    <w:sz w:val="20"/>
                    <w:szCs w:val="24"/>
                    <w:lang w:eastAsia="lt-LT"/>
                  </w:rPr>
                </w:pPr>
                <w:r>
                  <w:rPr>
                    <w:sz w:val="20"/>
                    <w:szCs w:val="24"/>
                    <w:lang w:eastAsia="lt-LT"/>
                  </w:rPr>
                  <w:t>2,00</w:t>
                </w:r>
              </w:p>
            </w:tc>
          </w:tr>
          <w:tr>
            <w:trPr>
              <w:trHeight w:val="480"/>
            </w:trPr>
            <w:tc>
              <w:tcPr>
                <w:tcW w:w="0" w:type="auto"/>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jc w:val="center"/>
                  <w:rPr>
                    <w:sz w:val="20"/>
                    <w:szCs w:val="24"/>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jc w:val="center"/>
                  <w:rPr>
                    <w:sz w:val="20"/>
                    <w:szCs w:val="24"/>
                    <w:lang w:eastAsia="lt-LT"/>
                  </w:rPr>
                </w:pP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lang w:eastAsia="lt-LT"/>
                  </w:rPr>
                  <w:t>1,1 m</w:t>
                </w:r>
                <w:r>
                  <w:rPr>
                    <w:sz w:val="20"/>
                    <w:szCs w:val="24"/>
                    <w:vertAlign w:val="superscript"/>
                    <w:lang w:eastAsia="lt-LT"/>
                  </w:rPr>
                  <w:t>3</w:t>
                </w:r>
                <w:r>
                  <w:rPr>
                    <w:sz w:val="20"/>
                    <w:szCs w:val="24"/>
                    <w:lang w:eastAsia="lt-LT"/>
                  </w:rPr>
                  <w:t xml:space="preserve"> konteinerio ištuštinimas</w:t>
                </w:r>
              </w:p>
            </w:tc>
            <w:tc>
              <w:tcPr>
                <w:tcW w:w="1502" w:type="dxa"/>
                <w:tcBorders>
                  <w:top w:val="nil"/>
                  <w:left w:val="nil"/>
                  <w:bottom w:val="single" w:sz="4" w:space="0" w:color="auto"/>
                  <w:right w:val="single" w:sz="4" w:space="0" w:color="auto"/>
                </w:tcBorders>
                <w:vAlign w:val="center"/>
                <w:hideMark/>
              </w:tcPr>
              <w:p>
                <w:pPr>
                  <w:ind w:firstLine="53"/>
                  <w:jc w:val="right"/>
                  <w:rPr>
                    <w:sz w:val="20"/>
                    <w:szCs w:val="24"/>
                    <w:lang w:eastAsia="lt-LT"/>
                  </w:rPr>
                </w:pPr>
                <w:r>
                  <w:rPr>
                    <w:sz w:val="20"/>
                    <w:szCs w:val="24"/>
                    <w:lang w:eastAsia="lt-LT"/>
                  </w:rPr>
                  <w:t>29,52</w:t>
                </w:r>
              </w:p>
            </w:tc>
            <w:tc>
              <w:tcPr>
                <w:tcW w:w="1378" w:type="dxa"/>
                <w:tcBorders>
                  <w:top w:val="nil"/>
                  <w:left w:val="nil"/>
                  <w:bottom w:val="single" w:sz="4" w:space="0" w:color="auto"/>
                  <w:right w:val="single" w:sz="4" w:space="0" w:color="auto"/>
                </w:tcBorders>
                <w:vAlign w:val="center"/>
                <w:hideMark/>
              </w:tcPr>
              <w:p>
                <w:pPr>
                  <w:jc w:val="right"/>
                  <w:rPr>
                    <w:sz w:val="20"/>
                    <w:szCs w:val="24"/>
                    <w:lang w:eastAsia="lt-LT"/>
                  </w:rPr>
                </w:pPr>
                <w:r>
                  <w:rPr>
                    <w:sz w:val="20"/>
                    <w:szCs w:val="24"/>
                    <w:lang w:eastAsia="lt-LT"/>
                  </w:rPr>
                  <w:t>9,24</w:t>
                </w:r>
              </w:p>
            </w:tc>
          </w:tr>
          <w:tr>
            <w:trPr>
              <w:trHeight w:val="480"/>
            </w:trPr>
            <w:tc>
              <w:tcPr>
                <w:tcW w:w="0" w:type="auto"/>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jc w:val="center"/>
                  <w:rPr>
                    <w:sz w:val="20"/>
                    <w:szCs w:val="24"/>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jc w:val="center"/>
                  <w:rPr>
                    <w:sz w:val="20"/>
                    <w:szCs w:val="24"/>
                    <w:lang w:eastAsia="lt-LT"/>
                  </w:rPr>
                </w:pP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lang w:eastAsia="lt-LT"/>
                  </w:rPr>
                  <w:t>Deklaruotų gyventojų skaičius</w:t>
                </w:r>
              </w:p>
            </w:tc>
            <w:tc>
              <w:tcPr>
                <w:tcW w:w="1502" w:type="dxa"/>
                <w:tcBorders>
                  <w:top w:val="nil"/>
                  <w:left w:val="nil"/>
                  <w:bottom w:val="single" w:sz="4" w:space="0" w:color="auto"/>
                  <w:right w:val="single" w:sz="4" w:space="0" w:color="auto"/>
                </w:tcBorders>
                <w:vAlign w:val="center"/>
                <w:hideMark/>
              </w:tcPr>
              <w:p>
                <w:pPr>
                  <w:ind w:firstLine="53"/>
                  <w:jc w:val="right"/>
                  <w:rPr>
                    <w:sz w:val="20"/>
                    <w:szCs w:val="24"/>
                    <w:lang w:eastAsia="lt-LT"/>
                  </w:rPr>
                </w:pPr>
                <w:r>
                  <w:rPr>
                    <w:sz w:val="20"/>
                    <w:szCs w:val="24"/>
                    <w:lang w:eastAsia="lt-LT"/>
                  </w:rPr>
                  <w:t>29,52</w:t>
                </w:r>
              </w:p>
            </w:tc>
            <w:tc>
              <w:tcPr>
                <w:tcW w:w="1378" w:type="dxa"/>
                <w:tcBorders>
                  <w:top w:val="nil"/>
                  <w:left w:val="nil"/>
                  <w:bottom w:val="single" w:sz="4" w:space="0" w:color="auto"/>
                  <w:right w:val="single" w:sz="4" w:space="0" w:color="auto"/>
                </w:tcBorders>
                <w:vAlign w:val="center"/>
                <w:hideMark/>
              </w:tcPr>
              <w:p>
                <w:pPr>
                  <w:jc w:val="right"/>
                  <w:rPr>
                    <w:sz w:val="20"/>
                    <w:szCs w:val="24"/>
                    <w:lang w:eastAsia="lt-LT"/>
                  </w:rPr>
                </w:pPr>
                <w:r>
                  <w:rPr>
                    <w:sz w:val="20"/>
                    <w:szCs w:val="24"/>
                    <w:lang w:eastAsia="lt-LT"/>
                  </w:rPr>
                  <w:t>12,72</w:t>
                </w:r>
              </w:p>
            </w:tc>
          </w:tr>
          <w:tr>
            <w:trPr>
              <w:trHeight w:val="1440"/>
            </w:trPr>
            <w:tc>
              <w:tcPr>
                <w:tcW w:w="500" w:type="dxa"/>
                <w:tcBorders>
                  <w:top w:val="nil"/>
                  <w:left w:val="single" w:sz="4" w:space="0" w:color="auto"/>
                  <w:bottom w:val="nil"/>
                  <w:right w:val="single" w:sz="4" w:space="0" w:color="auto"/>
                </w:tcBorders>
                <w:vAlign w:val="center"/>
                <w:hideMark/>
              </w:tcPr>
              <w:p>
                <w:pPr>
                  <w:jc w:val="center"/>
                  <w:rPr>
                    <w:sz w:val="20"/>
                    <w:szCs w:val="24"/>
                    <w:lang w:eastAsia="lt-LT"/>
                  </w:rPr>
                </w:pPr>
                <w:r>
                  <w:rPr>
                    <w:sz w:val="20"/>
                    <w:szCs w:val="24"/>
                    <w:lang w:eastAsia="lt-LT"/>
                  </w:rPr>
                  <w:t>2.</w:t>
                </w:r>
              </w:p>
            </w:tc>
            <w:tc>
              <w:tcPr>
                <w:tcW w:w="1920" w:type="dxa"/>
                <w:tcBorders>
                  <w:top w:val="nil"/>
                  <w:left w:val="nil"/>
                  <w:bottom w:val="nil"/>
                  <w:right w:val="single" w:sz="4" w:space="0" w:color="auto"/>
                </w:tcBorders>
                <w:shd w:val="clear" w:color="auto" w:fill="FFFFFF"/>
                <w:vAlign w:val="center"/>
                <w:hideMark/>
              </w:tcPr>
              <w:p>
                <w:pPr>
                  <w:jc w:val="center"/>
                  <w:rPr>
                    <w:sz w:val="20"/>
                    <w:szCs w:val="24"/>
                    <w:lang w:eastAsia="lt-LT"/>
                  </w:rPr>
                </w:pPr>
                <w:r>
                  <w:rPr>
                    <w:sz w:val="20"/>
                    <w:szCs w:val="24"/>
                    <w:lang w:eastAsia="lt-LT"/>
                  </w:rPr>
                  <w:t>Prekybiniai ir daugiafunkciniai kompleksai, prekybos centrai, parduotuvės (didmeninės ir mažmeninės), kioskai, turgavietės</w:t>
                </w:r>
              </w:p>
            </w:tc>
            <w:tc>
              <w:tcPr>
                <w:tcW w:w="2683" w:type="dxa"/>
                <w:tcBorders>
                  <w:top w:val="nil"/>
                  <w:left w:val="nil"/>
                  <w:bottom w:val="nil"/>
                  <w:right w:val="single" w:sz="4" w:space="0" w:color="auto"/>
                </w:tcBorders>
                <w:hideMark/>
              </w:tcPr>
              <w:p>
                <w:pPr>
                  <w:jc w:val="center"/>
                  <w:rPr>
                    <w:sz w:val="20"/>
                    <w:szCs w:val="24"/>
                    <w:lang w:eastAsia="lt-LT"/>
                  </w:rPr>
                </w:pPr>
                <w:r>
                  <w:rPr>
                    <w:sz w:val="20"/>
                    <w:szCs w:val="24"/>
                  </w:rPr>
                  <w:t>Darbuotojų skaičius</w:t>
                </w:r>
              </w:p>
            </w:tc>
            <w:tc>
              <w:tcPr>
                <w:tcW w:w="1617" w:type="dxa"/>
                <w:tcBorders>
                  <w:top w:val="nil"/>
                  <w:left w:val="nil"/>
                  <w:bottom w:val="nil"/>
                  <w:right w:val="single" w:sz="4" w:space="0" w:color="auto"/>
                </w:tcBorders>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vAlign w:val="center"/>
                <w:hideMark/>
              </w:tcPr>
              <w:p>
                <w:pPr>
                  <w:jc w:val="right"/>
                  <w:rPr>
                    <w:rFonts w:ascii="Calibri" w:hAnsi="Calibri" w:cs="Calibri"/>
                    <w:sz w:val="18"/>
                    <w:szCs w:val="18"/>
                  </w:rPr>
                </w:pPr>
                <w:r>
                  <w:rPr>
                    <w:sz w:val="20"/>
                    <w:szCs w:val="24"/>
                    <w:lang w:eastAsia="lt-LT"/>
                  </w:rPr>
                  <w:t>58,44</w:t>
                </w:r>
              </w:p>
            </w:tc>
            <w:tc>
              <w:tcPr>
                <w:tcW w:w="1378" w:type="dxa"/>
                <w:tcBorders>
                  <w:top w:val="nil"/>
                  <w:left w:val="nil"/>
                  <w:bottom w:val="single" w:sz="4" w:space="0" w:color="auto"/>
                  <w:right w:val="single" w:sz="4" w:space="0" w:color="auto"/>
                </w:tcBorders>
                <w:vAlign w:val="center"/>
                <w:hideMark/>
              </w:tcPr>
              <w:p>
                <w:pPr>
                  <w:ind w:firstLine="53"/>
                  <w:jc w:val="right"/>
                  <w:rPr>
                    <w:strike/>
                    <w:sz w:val="20"/>
                    <w:szCs w:val="24"/>
                    <w:lang w:eastAsia="lt-LT"/>
                  </w:rPr>
                </w:pPr>
                <w:r>
                  <w:rPr>
                    <w:sz w:val="20"/>
                    <w:szCs w:val="24"/>
                    <w:lang w:eastAsia="lt-LT"/>
                  </w:rPr>
                  <w:t>24,96</w:t>
                </w:r>
              </w:p>
            </w:tc>
          </w:tr>
          <w:tr>
            <w:trPr>
              <w:trHeight w:val="480"/>
            </w:trPr>
            <w:tc>
              <w:tcPr>
                <w:tcW w:w="500" w:type="dxa"/>
                <w:tcBorders>
                  <w:top w:val="single" w:sz="4" w:space="0" w:color="auto"/>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3.</w:t>
                </w:r>
              </w:p>
            </w:tc>
            <w:tc>
              <w:tcPr>
                <w:tcW w:w="1920" w:type="dxa"/>
                <w:tcBorders>
                  <w:top w:val="single" w:sz="4" w:space="0" w:color="auto"/>
                  <w:left w:val="nil"/>
                  <w:bottom w:val="single" w:sz="4" w:space="0" w:color="auto"/>
                  <w:right w:val="single" w:sz="4" w:space="0" w:color="auto"/>
                </w:tcBorders>
                <w:shd w:val="clear" w:color="auto" w:fill="FFFFFF"/>
                <w:vAlign w:val="center"/>
                <w:hideMark/>
              </w:tcPr>
              <w:p>
                <w:pPr>
                  <w:jc w:val="center"/>
                  <w:rPr>
                    <w:sz w:val="20"/>
                    <w:szCs w:val="24"/>
                    <w:lang w:eastAsia="lt-LT"/>
                  </w:rPr>
                </w:pPr>
                <w:r>
                  <w:rPr>
                    <w:sz w:val="20"/>
                    <w:szCs w:val="24"/>
                    <w:lang w:eastAsia="lt-LT"/>
                  </w:rPr>
                  <w:t>Viešojo maitinimo objektai</w:t>
                </w:r>
              </w:p>
            </w:tc>
            <w:tc>
              <w:tcPr>
                <w:tcW w:w="2683" w:type="dxa"/>
                <w:tcBorders>
                  <w:top w:val="single" w:sz="4" w:space="0" w:color="auto"/>
                  <w:left w:val="nil"/>
                  <w:bottom w:val="single" w:sz="4" w:space="0" w:color="auto"/>
                  <w:right w:val="single" w:sz="4" w:space="0" w:color="auto"/>
                </w:tcBorders>
                <w:hideMark/>
              </w:tcPr>
              <w:p>
                <w:pPr>
                  <w:jc w:val="center"/>
                  <w:rPr>
                    <w:sz w:val="20"/>
                    <w:szCs w:val="24"/>
                    <w:lang w:eastAsia="lt-LT"/>
                  </w:rPr>
                </w:pPr>
                <w:r>
                  <w:rPr>
                    <w:sz w:val="20"/>
                    <w:szCs w:val="24"/>
                  </w:rPr>
                  <w:t>Darbuotojų skaičius</w:t>
                </w:r>
              </w:p>
            </w:tc>
            <w:tc>
              <w:tcPr>
                <w:tcW w:w="1617" w:type="dxa"/>
                <w:tcBorders>
                  <w:top w:val="single" w:sz="4" w:space="0" w:color="auto"/>
                  <w:left w:val="nil"/>
                  <w:bottom w:val="single" w:sz="4" w:space="0" w:color="auto"/>
                  <w:right w:val="single" w:sz="4" w:space="0" w:color="auto"/>
                </w:tcBorders>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noWrap/>
                <w:vAlign w:val="center"/>
                <w:hideMark/>
              </w:tcPr>
              <w:p>
                <w:pPr>
                  <w:ind w:firstLine="612"/>
                  <w:jc w:val="right"/>
                  <w:rPr>
                    <w:sz w:val="20"/>
                    <w:szCs w:val="24"/>
                    <w:lang w:eastAsia="lt-LT"/>
                  </w:rPr>
                </w:pPr>
                <w:r>
                  <w:rPr>
                    <w:sz w:val="20"/>
                    <w:szCs w:val="24"/>
                    <w:lang w:eastAsia="lt-LT"/>
                  </w:rPr>
                  <w:t>58,44</w:t>
                </w:r>
              </w:p>
            </w:tc>
            <w:tc>
              <w:tcPr>
                <w:tcW w:w="1378" w:type="dxa"/>
                <w:tcBorders>
                  <w:top w:val="nil"/>
                  <w:left w:val="nil"/>
                  <w:bottom w:val="single" w:sz="4" w:space="0" w:color="auto"/>
                  <w:right w:val="single" w:sz="4" w:space="0" w:color="auto"/>
                </w:tcBorders>
                <w:noWrap/>
                <w:vAlign w:val="center"/>
                <w:hideMark/>
              </w:tcPr>
              <w:p>
                <w:pPr>
                  <w:ind w:firstLine="53"/>
                  <w:jc w:val="right"/>
                  <w:rPr>
                    <w:strike/>
                    <w:sz w:val="20"/>
                    <w:szCs w:val="24"/>
                    <w:lang w:eastAsia="lt-LT"/>
                  </w:rPr>
                </w:pPr>
                <w:r>
                  <w:rPr>
                    <w:sz w:val="20"/>
                    <w:szCs w:val="24"/>
                    <w:lang w:eastAsia="lt-LT"/>
                  </w:rPr>
                  <w:t>24,96</w:t>
                </w:r>
              </w:p>
            </w:tc>
          </w:tr>
          <w:tr>
            <w:trPr>
              <w:trHeight w:val="720"/>
            </w:trPr>
            <w:tc>
              <w:tcPr>
                <w:tcW w:w="500" w:type="dxa"/>
                <w:tcBorders>
                  <w:top w:val="nil"/>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4.</w:t>
                </w:r>
              </w:p>
            </w:tc>
            <w:tc>
              <w:tcPr>
                <w:tcW w:w="1920" w:type="dxa"/>
                <w:tcBorders>
                  <w:top w:val="nil"/>
                  <w:left w:val="nil"/>
                  <w:bottom w:val="single" w:sz="4" w:space="0" w:color="auto"/>
                  <w:right w:val="single" w:sz="4" w:space="0" w:color="auto"/>
                </w:tcBorders>
                <w:shd w:val="clear" w:color="auto" w:fill="FFFFFF"/>
                <w:vAlign w:val="center"/>
                <w:hideMark/>
              </w:tcPr>
              <w:p>
                <w:pPr>
                  <w:jc w:val="center"/>
                  <w:rPr>
                    <w:sz w:val="20"/>
                    <w:szCs w:val="24"/>
                    <w:lang w:eastAsia="lt-LT"/>
                  </w:rPr>
                </w:pPr>
                <w:r>
                  <w:rPr>
                    <w:sz w:val="20"/>
                    <w:szCs w:val="24"/>
                    <w:lang w:eastAsia="lt-LT"/>
                  </w:rPr>
                  <w:t>Gydyklos (ligoninės, klinikos, slaugos namai, sanatorijos), globos namai</w:t>
                </w:r>
              </w:p>
            </w:tc>
            <w:tc>
              <w:tcPr>
                <w:tcW w:w="2683" w:type="dxa"/>
                <w:tcBorders>
                  <w:top w:val="nil"/>
                  <w:left w:val="nil"/>
                  <w:bottom w:val="single" w:sz="4" w:space="0" w:color="auto"/>
                  <w:right w:val="single" w:sz="4" w:space="0" w:color="auto"/>
                </w:tcBorders>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noWrap/>
                <w:vAlign w:val="center"/>
                <w:hideMark/>
              </w:tcPr>
              <w:p>
                <w:pPr>
                  <w:jc w:val="right"/>
                  <w:rPr>
                    <w:strike/>
                    <w:sz w:val="20"/>
                    <w:szCs w:val="24"/>
                    <w:lang w:eastAsia="lt-LT"/>
                  </w:rPr>
                </w:pPr>
                <w:r>
                  <w:rPr>
                    <w:sz w:val="20"/>
                    <w:szCs w:val="24"/>
                  </w:rPr>
                  <w:t>16,32</w:t>
                </w:r>
              </w:p>
            </w:tc>
            <w:tc>
              <w:tcPr>
                <w:tcW w:w="1378" w:type="dxa"/>
                <w:tcBorders>
                  <w:top w:val="nil"/>
                  <w:left w:val="nil"/>
                  <w:bottom w:val="single" w:sz="4" w:space="0" w:color="auto"/>
                  <w:right w:val="single" w:sz="4" w:space="0" w:color="auto"/>
                </w:tcBorders>
                <w:noWrap/>
                <w:vAlign w:val="center"/>
                <w:hideMark/>
              </w:tcPr>
              <w:p>
                <w:pPr>
                  <w:ind w:firstLine="53"/>
                  <w:jc w:val="right"/>
                  <w:rPr>
                    <w:sz w:val="20"/>
                    <w:szCs w:val="24"/>
                    <w:lang w:eastAsia="lt-LT"/>
                  </w:rPr>
                </w:pPr>
                <w:r>
                  <w:rPr>
                    <w:sz w:val="20"/>
                    <w:szCs w:val="24"/>
                  </w:rPr>
                  <w:t>7,08</w:t>
                </w:r>
              </w:p>
            </w:tc>
          </w:tr>
          <w:tr>
            <w:trPr>
              <w:trHeight w:val="480"/>
            </w:trPr>
            <w:tc>
              <w:tcPr>
                <w:tcW w:w="500" w:type="dxa"/>
                <w:tcBorders>
                  <w:top w:val="nil"/>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5.</w:t>
                </w:r>
              </w:p>
            </w:tc>
            <w:tc>
              <w:tcPr>
                <w:tcW w:w="1920" w:type="dxa"/>
                <w:tcBorders>
                  <w:top w:val="nil"/>
                  <w:left w:val="nil"/>
                  <w:bottom w:val="single" w:sz="4" w:space="0" w:color="auto"/>
                  <w:right w:val="single" w:sz="4" w:space="0" w:color="auto"/>
                </w:tcBorders>
                <w:shd w:val="clear" w:color="auto" w:fill="FFFFFF"/>
                <w:vAlign w:val="center"/>
                <w:hideMark/>
              </w:tcPr>
              <w:p>
                <w:pPr>
                  <w:jc w:val="center"/>
                  <w:rPr>
                    <w:sz w:val="20"/>
                    <w:szCs w:val="24"/>
                    <w:lang w:eastAsia="lt-LT"/>
                  </w:rPr>
                </w:pPr>
                <w:r>
                  <w:rPr>
                    <w:sz w:val="20"/>
                    <w:szCs w:val="24"/>
                    <w:lang w:eastAsia="lt-LT"/>
                  </w:rPr>
                  <w:t>Mokymo įstaigų bendrabučiai, internatinės mokyklos</w:t>
                </w:r>
              </w:p>
            </w:tc>
            <w:tc>
              <w:tcPr>
                <w:tcW w:w="2683" w:type="dxa"/>
                <w:tcBorders>
                  <w:top w:val="nil"/>
                  <w:left w:val="nil"/>
                  <w:bottom w:val="single" w:sz="4" w:space="0" w:color="auto"/>
                  <w:right w:val="single" w:sz="4" w:space="0" w:color="auto"/>
                </w:tcBorders>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noWrap/>
                <w:vAlign w:val="center"/>
                <w:hideMark/>
              </w:tcPr>
              <w:p>
                <w:pPr>
                  <w:jc w:val="right"/>
                  <w:rPr>
                    <w:strike/>
                    <w:sz w:val="20"/>
                    <w:szCs w:val="24"/>
                    <w:lang w:eastAsia="lt-LT"/>
                  </w:rPr>
                </w:pPr>
                <w:r>
                  <w:rPr>
                    <w:sz w:val="20"/>
                    <w:szCs w:val="24"/>
                  </w:rPr>
                  <w:t>58,56</w:t>
                </w:r>
              </w:p>
            </w:tc>
            <w:tc>
              <w:tcPr>
                <w:tcW w:w="1378" w:type="dxa"/>
                <w:tcBorders>
                  <w:top w:val="nil"/>
                  <w:left w:val="nil"/>
                  <w:bottom w:val="single" w:sz="4" w:space="0" w:color="auto"/>
                  <w:right w:val="single" w:sz="4" w:space="0" w:color="auto"/>
                </w:tcBorders>
                <w:noWrap/>
                <w:vAlign w:val="center"/>
                <w:hideMark/>
              </w:tcPr>
              <w:p>
                <w:pPr>
                  <w:ind w:firstLine="53"/>
                  <w:jc w:val="right"/>
                  <w:rPr>
                    <w:strike/>
                    <w:sz w:val="20"/>
                    <w:szCs w:val="24"/>
                    <w:lang w:eastAsia="lt-LT"/>
                  </w:rPr>
                </w:pPr>
                <w:r>
                  <w:rPr>
                    <w:sz w:val="20"/>
                    <w:szCs w:val="24"/>
                  </w:rPr>
                  <w:t>25,20</w:t>
                </w:r>
                <w:r>
                  <w:rPr>
                    <w:strike/>
                    <w:sz w:val="20"/>
                    <w:szCs w:val="24"/>
                  </w:rPr>
                  <w:t xml:space="preserve"> </w:t>
                </w:r>
              </w:p>
            </w:tc>
          </w:tr>
          <w:tr>
            <w:trPr>
              <w:trHeight w:val="515"/>
            </w:trPr>
            <w:tc>
              <w:tcPr>
                <w:tcW w:w="500" w:type="dxa"/>
                <w:tcBorders>
                  <w:top w:val="nil"/>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6.</w:t>
                </w:r>
              </w:p>
            </w:tc>
            <w:tc>
              <w:tcPr>
                <w:tcW w:w="1920" w:type="dxa"/>
                <w:tcBorders>
                  <w:top w:val="nil"/>
                  <w:left w:val="nil"/>
                  <w:bottom w:val="single" w:sz="4" w:space="0" w:color="auto"/>
                  <w:right w:val="single" w:sz="4" w:space="0" w:color="auto"/>
                </w:tcBorders>
                <w:shd w:val="clear" w:color="auto" w:fill="FFFFFF"/>
                <w:vAlign w:val="center"/>
                <w:hideMark/>
              </w:tcPr>
              <w:p>
                <w:pPr>
                  <w:jc w:val="center"/>
                  <w:rPr>
                    <w:sz w:val="20"/>
                    <w:szCs w:val="24"/>
                    <w:lang w:eastAsia="lt-LT"/>
                  </w:rPr>
                </w:pPr>
                <w:r>
                  <w:rPr>
                    <w:sz w:val="20"/>
                    <w:szCs w:val="24"/>
                    <w:lang w:eastAsia="lt-LT"/>
                  </w:rPr>
                  <w:t>Gamybos, pramonės, statybos</w:t>
                </w:r>
              </w:p>
            </w:tc>
            <w:tc>
              <w:tcPr>
                <w:tcW w:w="2683"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noWrap/>
                <w:vAlign w:val="center"/>
                <w:hideMark/>
              </w:tcPr>
              <w:p>
                <w:pPr>
                  <w:ind w:firstLine="53"/>
                  <w:jc w:val="right"/>
                  <w:rPr>
                    <w:sz w:val="20"/>
                    <w:szCs w:val="24"/>
                    <w:lang w:eastAsia="lt-LT"/>
                  </w:rPr>
                </w:pPr>
                <w:r>
                  <w:rPr>
                    <w:sz w:val="20"/>
                    <w:szCs w:val="24"/>
                  </w:rPr>
                  <w:t>16,32</w:t>
                </w:r>
              </w:p>
            </w:tc>
            <w:tc>
              <w:tcPr>
                <w:tcW w:w="1378" w:type="dxa"/>
                <w:tcBorders>
                  <w:top w:val="nil"/>
                  <w:left w:val="nil"/>
                  <w:bottom w:val="single" w:sz="4" w:space="0" w:color="auto"/>
                  <w:right w:val="single" w:sz="4" w:space="0" w:color="auto"/>
                </w:tcBorders>
                <w:noWrap/>
                <w:vAlign w:val="center"/>
                <w:hideMark/>
              </w:tcPr>
              <w:p>
                <w:pPr>
                  <w:ind w:firstLine="53"/>
                  <w:jc w:val="right"/>
                  <w:rPr>
                    <w:strike/>
                    <w:sz w:val="20"/>
                    <w:szCs w:val="24"/>
                    <w:lang w:eastAsia="lt-LT"/>
                  </w:rPr>
                </w:pPr>
                <w:r>
                  <w:rPr>
                    <w:sz w:val="20"/>
                    <w:szCs w:val="24"/>
                  </w:rPr>
                  <w:t>7,08</w:t>
                </w:r>
              </w:p>
            </w:tc>
          </w:tr>
          <w:tr>
            <w:trPr>
              <w:trHeight w:val="551"/>
            </w:trPr>
            <w:tc>
              <w:tcPr>
                <w:tcW w:w="500" w:type="dxa"/>
                <w:tcBorders>
                  <w:top w:val="nil"/>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7.</w:t>
                </w:r>
              </w:p>
            </w:tc>
            <w:tc>
              <w:tcPr>
                <w:tcW w:w="1920" w:type="dxa"/>
                <w:tcBorders>
                  <w:top w:val="nil"/>
                  <w:left w:val="nil"/>
                  <w:bottom w:val="single" w:sz="4" w:space="0" w:color="auto"/>
                  <w:right w:val="single" w:sz="4" w:space="0" w:color="auto"/>
                </w:tcBorders>
                <w:shd w:val="clear" w:color="auto" w:fill="FFFFFF"/>
                <w:vAlign w:val="center"/>
                <w:hideMark/>
              </w:tcPr>
              <w:p>
                <w:pPr>
                  <w:jc w:val="center"/>
                  <w:rPr>
                    <w:sz w:val="20"/>
                    <w:szCs w:val="24"/>
                    <w:lang w:eastAsia="lt-LT"/>
                  </w:rPr>
                </w:pPr>
                <w:r>
                  <w:rPr>
                    <w:sz w:val="20"/>
                    <w:szCs w:val="24"/>
                    <w:lang w:eastAsia="lt-LT"/>
                  </w:rPr>
                  <w:t>Paslaugų įmonės</w:t>
                </w:r>
              </w:p>
            </w:tc>
            <w:tc>
              <w:tcPr>
                <w:tcW w:w="2683"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noWrap/>
                <w:vAlign w:val="center"/>
                <w:hideMark/>
              </w:tcPr>
              <w:p>
                <w:pPr>
                  <w:ind w:firstLine="53"/>
                  <w:jc w:val="right"/>
                  <w:rPr>
                    <w:strike/>
                    <w:sz w:val="20"/>
                    <w:szCs w:val="24"/>
                    <w:lang w:eastAsia="lt-LT"/>
                  </w:rPr>
                </w:pPr>
                <w:r>
                  <w:rPr>
                    <w:sz w:val="20"/>
                    <w:szCs w:val="24"/>
                  </w:rPr>
                  <w:t>16,32</w:t>
                </w:r>
              </w:p>
            </w:tc>
            <w:tc>
              <w:tcPr>
                <w:tcW w:w="1378" w:type="dxa"/>
                <w:tcBorders>
                  <w:top w:val="nil"/>
                  <w:left w:val="nil"/>
                  <w:bottom w:val="single" w:sz="4" w:space="0" w:color="auto"/>
                  <w:right w:val="single" w:sz="4" w:space="0" w:color="auto"/>
                </w:tcBorders>
                <w:noWrap/>
                <w:vAlign w:val="center"/>
                <w:hideMark/>
              </w:tcPr>
              <w:p>
                <w:pPr>
                  <w:ind w:firstLine="53"/>
                  <w:jc w:val="right"/>
                  <w:rPr>
                    <w:strike/>
                    <w:sz w:val="20"/>
                    <w:szCs w:val="24"/>
                    <w:lang w:eastAsia="lt-LT"/>
                  </w:rPr>
                </w:pPr>
                <w:r>
                  <w:rPr>
                    <w:sz w:val="20"/>
                    <w:szCs w:val="24"/>
                  </w:rPr>
                  <w:t>7,08</w:t>
                </w:r>
              </w:p>
            </w:tc>
          </w:tr>
          <w:tr>
            <w:trPr>
              <w:trHeight w:val="559"/>
            </w:trPr>
            <w:tc>
              <w:tcPr>
                <w:tcW w:w="500" w:type="dxa"/>
                <w:tcBorders>
                  <w:top w:val="nil"/>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8.</w:t>
                </w:r>
              </w:p>
            </w:tc>
            <w:tc>
              <w:tcPr>
                <w:tcW w:w="1920" w:type="dxa"/>
                <w:tcBorders>
                  <w:top w:val="nil"/>
                  <w:left w:val="nil"/>
                  <w:bottom w:val="single" w:sz="4" w:space="0" w:color="auto"/>
                  <w:right w:val="single" w:sz="4" w:space="0" w:color="auto"/>
                </w:tcBorders>
                <w:shd w:val="clear" w:color="auto" w:fill="FFFFFF"/>
                <w:vAlign w:val="center"/>
                <w:hideMark/>
              </w:tcPr>
              <w:p>
                <w:pPr>
                  <w:jc w:val="center"/>
                  <w:rPr>
                    <w:sz w:val="20"/>
                    <w:szCs w:val="24"/>
                    <w:lang w:eastAsia="lt-LT"/>
                  </w:rPr>
                </w:pPr>
                <w:r>
                  <w:rPr>
                    <w:sz w:val="20"/>
                    <w:szCs w:val="24"/>
                    <w:lang w:eastAsia="lt-LT"/>
                  </w:rPr>
                  <w:t>Administravimo įmonės</w:t>
                </w:r>
              </w:p>
            </w:tc>
            <w:tc>
              <w:tcPr>
                <w:tcW w:w="2683"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noWrap/>
                <w:vAlign w:val="center"/>
                <w:hideMark/>
              </w:tcPr>
              <w:p>
                <w:pPr>
                  <w:ind w:firstLine="53"/>
                  <w:jc w:val="right"/>
                  <w:rPr>
                    <w:sz w:val="20"/>
                    <w:szCs w:val="24"/>
                    <w:lang w:eastAsia="lt-LT"/>
                  </w:rPr>
                </w:pPr>
                <w:r>
                  <w:rPr>
                    <w:sz w:val="20"/>
                    <w:szCs w:val="24"/>
                  </w:rPr>
                  <w:t>16,32</w:t>
                </w:r>
              </w:p>
            </w:tc>
            <w:tc>
              <w:tcPr>
                <w:tcW w:w="1378" w:type="dxa"/>
                <w:tcBorders>
                  <w:top w:val="nil"/>
                  <w:left w:val="nil"/>
                  <w:bottom w:val="single" w:sz="4" w:space="0" w:color="auto"/>
                  <w:right w:val="single" w:sz="4" w:space="0" w:color="auto"/>
                </w:tcBorders>
                <w:noWrap/>
                <w:vAlign w:val="center"/>
                <w:hideMark/>
              </w:tcPr>
              <w:p>
                <w:pPr>
                  <w:ind w:firstLine="53"/>
                  <w:jc w:val="right"/>
                  <w:rPr>
                    <w:strike/>
                    <w:sz w:val="20"/>
                    <w:szCs w:val="24"/>
                    <w:lang w:eastAsia="lt-LT"/>
                  </w:rPr>
                </w:pPr>
                <w:r>
                  <w:rPr>
                    <w:sz w:val="20"/>
                    <w:szCs w:val="24"/>
                  </w:rPr>
                  <w:t>7,08</w:t>
                </w:r>
              </w:p>
            </w:tc>
          </w:tr>
          <w:tr>
            <w:trPr>
              <w:trHeight w:val="516"/>
            </w:trPr>
            <w:tc>
              <w:tcPr>
                <w:tcW w:w="500" w:type="dxa"/>
                <w:tcBorders>
                  <w:top w:val="nil"/>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9.</w:t>
                </w:r>
              </w:p>
            </w:tc>
            <w:tc>
              <w:tcPr>
                <w:tcW w:w="1920" w:type="dxa"/>
                <w:tcBorders>
                  <w:top w:val="nil"/>
                  <w:left w:val="nil"/>
                  <w:bottom w:val="single" w:sz="4" w:space="0" w:color="auto"/>
                  <w:right w:val="single" w:sz="4" w:space="0" w:color="auto"/>
                </w:tcBorders>
                <w:shd w:val="clear" w:color="auto" w:fill="FFFFFF"/>
                <w:vAlign w:val="center"/>
                <w:hideMark/>
              </w:tcPr>
              <w:p>
                <w:pPr>
                  <w:jc w:val="center"/>
                  <w:rPr>
                    <w:sz w:val="20"/>
                    <w:szCs w:val="24"/>
                    <w:lang w:eastAsia="lt-LT"/>
                  </w:rPr>
                </w:pPr>
                <w:r>
                  <w:rPr>
                    <w:sz w:val="20"/>
                    <w:szCs w:val="24"/>
                    <w:lang w:eastAsia="lt-LT"/>
                  </w:rPr>
                  <w:t>Kultūros įstaigos</w:t>
                </w:r>
              </w:p>
            </w:tc>
            <w:tc>
              <w:tcPr>
                <w:tcW w:w="2683"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noWrap/>
                <w:vAlign w:val="center"/>
                <w:hideMark/>
              </w:tcPr>
              <w:p>
                <w:pPr>
                  <w:ind w:firstLine="53"/>
                  <w:jc w:val="right"/>
                  <w:rPr>
                    <w:sz w:val="20"/>
                    <w:szCs w:val="24"/>
                    <w:lang w:eastAsia="lt-LT"/>
                  </w:rPr>
                </w:pPr>
                <w:r>
                  <w:rPr>
                    <w:sz w:val="20"/>
                    <w:szCs w:val="24"/>
                  </w:rPr>
                  <w:t>16,32</w:t>
                </w:r>
              </w:p>
            </w:tc>
            <w:tc>
              <w:tcPr>
                <w:tcW w:w="1378" w:type="dxa"/>
                <w:tcBorders>
                  <w:top w:val="nil"/>
                  <w:left w:val="nil"/>
                  <w:bottom w:val="single" w:sz="4" w:space="0" w:color="auto"/>
                  <w:right w:val="single" w:sz="4" w:space="0" w:color="auto"/>
                </w:tcBorders>
                <w:noWrap/>
                <w:vAlign w:val="center"/>
                <w:hideMark/>
              </w:tcPr>
              <w:p>
                <w:pPr>
                  <w:ind w:firstLine="53"/>
                  <w:jc w:val="right"/>
                  <w:rPr>
                    <w:strike/>
                    <w:sz w:val="20"/>
                    <w:szCs w:val="24"/>
                    <w:lang w:eastAsia="lt-LT"/>
                  </w:rPr>
                </w:pPr>
                <w:r>
                  <w:rPr>
                    <w:sz w:val="20"/>
                    <w:szCs w:val="24"/>
                  </w:rPr>
                  <w:t>7,08</w:t>
                </w:r>
              </w:p>
            </w:tc>
          </w:tr>
          <w:tr>
            <w:trPr>
              <w:trHeight w:val="720"/>
            </w:trPr>
            <w:tc>
              <w:tcPr>
                <w:tcW w:w="500" w:type="dxa"/>
                <w:tcBorders>
                  <w:top w:val="single" w:sz="4" w:space="0" w:color="auto"/>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10.</w:t>
                </w:r>
              </w:p>
            </w:tc>
            <w:tc>
              <w:tcPr>
                <w:tcW w:w="1920" w:type="dxa"/>
                <w:tcBorders>
                  <w:top w:val="single" w:sz="4" w:space="0" w:color="auto"/>
                  <w:left w:val="nil"/>
                  <w:bottom w:val="single" w:sz="4" w:space="0" w:color="auto"/>
                  <w:right w:val="single" w:sz="4" w:space="0" w:color="auto"/>
                </w:tcBorders>
                <w:shd w:val="clear" w:color="auto" w:fill="FFFFFF"/>
                <w:vAlign w:val="center"/>
                <w:hideMark/>
              </w:tcPr>
              <w:p>
                <w:pPr>
                  <w:jc w:val="center"/>
                  <w:rPr>
                    <w:sz w:val="20"/>
                    <w:szCs w:val="24"/>
                    <w:lang w:eastAsia="lt-LT"/>
                  </w:rPr>
                </w:pPr>
                <w:r>
                  <w:rPr>
                    <w:sz w:val="20"/>
                    <w:szCs w:val="24"/>
                    <w:lang w:eastAsia="lt-LT"/>
                  </w:rPr>
                  <w:t>Transporto įmonės</w:t>
                </w:r>
              </w:p>
            </w:tc>
            <w:tc>
              <w:tcPr>
                <w:tcW w:w="2683" w:type="dxa"/>
                <w:tcBorders>
                  <w:top w:val="single" w:sz="4" w:space="0" w:color="auto"/>
                  <w:left w:val="nil"/>
                  <w:bottom w:val="single" w:sz="4" w:space="0" w:color="auto"/>
                  <w:right w:val="single" w:sz="4" w:space="0" w:color="auto"/>
                </w:tcBorders>
                <w:hideMark/>
              </w:tcPr>
              <w:p>
                <w:pPr>
                  <w:jc w:val="center"/>
                  <w:rPr>
                    <w:sz w:val="20"/>
                    <w:szCs w:val="24"/>
                    <w:lang w:eastAsia="lt-LT"/>
                  </w:rPr>
                </w:pPr>
                <w:r>
                  <w:rPr>
                    <w:sz w:val="20"/>
                    <w:szCs w:val="24"/>
                  </w:rPr>
                  <w:t>Darbuotojų skaičius</w:t>
                </w:r>
              </w:p>
            </w:tc>
            <w:tc>
              <w:tcPr>
                <w:tcW w:w="1617" w:type="dxa"/>
                <w:tcBorders>
                  <w:top w:val="single" w:sz="4" w:space="0" w:color="auto"/>
                  <w:left w:val="nil"/>
                  <w:bottom w:val="single" w:sz="4" w:space="0" w:color="auto"/>
                  <w:right w:val="single" w:sz="4" w:space="0" w:color="auto"/>
                </w:tcBorders>
                <w:hideMark/>
              </w:tcPr>
              <w:p>
                <w:pPr>
                  <w:jc w:val="center"/>
                  <w:rPr>
                    <w:sz w:val="20"/>
                    <w:szCs w:val="24"/>
                    <w:lang w:eastAsia="lt-LT"/>
                  </w:rPr>
                </w:pPr>
                <w:r>
                  <w:rPr>
                    <w:sz w:val="20"/>
                    <w:szCs w:val="24"/>
                  </w:rPr>
                  <w:t>Darbuotojų skaičius</w:t>
                </w:r>
              </w:p>
            </w:tc>
            <w:tc>
              <w:tcPr>
                <w:tcW w:w="1502" w:type="dxa"/>
                <w:tcBorders>
                  <w:top w:val="single" w:sz="4" w:space="0" w:color="auto"/>
                  <w:left w:val="nil"/>
                  <w:bottom w:val="single" w:sz="4" w:space="0" w:color="auto"/>
                  <w:right w:val="single" w:sz="4" w:space="0" w:color="auto"/>
                </w:tcBorders>
                <w:noWrap/>
                <w:vAlign w:val="center"/>
                <w:hideMark/>
              </w:tcPr>
              <w:p>
                <w:pPr>
                  <w:jc w:val="right"/>
                  <w:rPr>
                    <w:strike/>
                    <w:sz w:val="20"/>
                    <w:szCs w:val="24"/>
                    <w:lang w:eastAsia="lt-LT"/>
                  </w:rPr>
                </w:pPr>
                <w:r>
                  <w:rPr>
                    <w:sz w:val="20"/>
                    <w:szCs w:val="24"/>
                  </w:rPr>
                  <w:t>16,32</w:t>
                </w:r>
              </w:p>
            </w:tc>
            <w:tc>
              <w:tcPr>
                <w:tcW w:w="1378" w:type="dxa"/>
                <w:tcBorders>
                  <w:top w:val="single" w:sz="4" w:space="0" w:color="auto"/>
                  <w:left w:val="nil"/>
                  <w:bottom w:val="single" w:sz="4" w:space="0" w:color="auto"/>
                  <w:right w:val="single" w:sz="4" w:space="0" w:color="auto"/>
                </w:tcBorders>
                <w:noWrap/>
                <w:vAlign w:val="center"/>
                <w:hideMark/>
              </w:tcPr>
              <w:p>
                <w:pPr>
                  <w:ind w:firstLine="53"/>
                  <w:jc w:val="right"/>
                  <w:rPr>
                    <w:strike/>
                    <w:sz w:val="20"/>
                    <w:szCs w:val="24"/>
                    <w:lang w:eastAsia="lt-LT"/>
                  </w:rPr>
                </w:pPr>
                <w:r>
                  <w:rPr>
                    <w:sz w:val="20"/>
                    <w:szCs w:val="24"/>
                  </w:rPr>
                  <w:t>7,08</w:t>
                </w:r>
              </w:p>
            </w:tc>
          </w:tr>
          <w:tr>
            <w:trPr>
              <w:trHeight w:val="697"/>
            </w:trPr>
            <w:tc>
              <w:tcPr>
                <w:tcW w:w="500" w:type="dxa"/>
                <w:tcBorders>
                  <w:top w:val="nil"/>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11.</w:t>
                </w:r>
              </w:p>
            </w:tc>
            <w:tc>
              <w:tcPr>
                <w:tcW w:w="1920" w:type="dxa"/>
                <w:tcBorders>
                  <w:top w:val="nil"/>
                  <w:left w:val="nil"/>
                  <w:bottom w:val="single" w:sz="4" w:space="0" w:color="auto"/>
                  <w:right w:val="single" w:sz="4" w:space="0" w:color="auto"/>
                </w:tcBorders>
                <w:shd w:val="clear" w:color="auto" w:fill="FFFFFF"/>
                <w:vAlign w:val="center"/>
                <w:hideMark/>
              </w:tcPr>
              <w:p>
                <w:pPr>
                  <w:jc w:val="center"/>
                  <w:rPr>
                    <w:sz w:val="20"/>
                    <w:szCs w:val="24"/>
                    <w:lang w:eastAsia="lt-LT"/>
                  </w:rPr>
                </w:pPr>
                <w:r>
                  <w:rPr>
                    <w:sz w:val="20"/>
                    <w:szCs w:val="24"/>
                    <w:lang w:eastAsia="lt-LT"/>
                  </w:rPr>
                  <w:t>Gyvulininkystės, žemės ūkio įmonės</w:t>
                </w:r>
              </w:p>
            </w:tc>
            <w:tc>
              <w:tcPr>
                <w:tcW w:w="2683"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noWrap/>
                <w:vAlign w:val="center"/>
                <w:hideMark/>
              </w:tcPr>
              <w:p>
                <w:pPr>
                  <w:ind w:firstLine="53"/>
                  <w:jc w:val="right"/>
                  <w:rPr>
                    <w:sz w:val="20"/>
                    <w:szCs w:val="24"/>
                    <w:lang w:eastAsia="lt-LT"/>
                  </w:rPr>
                </w:pPr>
                <w:r>
                  <w:rPr>
                    <w:sz w:val="20"/>
                    <w:szCs w:val="24"/>
                  </w:rPr>
                  <w:t>16,32</w:t>
                </w:r>
              </w:p>
            </w:tc>
            <w:tc>
              <w:tcPr>
                <w:tcW w:w="1378" w:type="dxa"/>
                <w:tcBorders>
                  <w:top w:val="nil"/>
                  <w:left w:val="nil"/>
                  <w:bottom w:val="single" w:sz="4" w:space="0" w:color="auto"/>
                  <w:right w:val="single" w:sz="4" w:space="0" w:color="auto"/>
                </w:tcBorders>
                <w:noWrap/>
                <w:vAlign w:val="center"/>
                <w:hideMark/>
              </w:tcPr>
              <w:p>
                <w:pPr>
                  <w:ind w:firstLine="106"/>
                  <w:jc w:val="right"/>
                  <w:rPr>
                    <w:strike/>
                    <w:sz w:val="20"/>
                    <w:szCs w:val="24"/>
                    <w:lang w:eastAsia="lt-LT"/>
                  </w:rPr>
                </w:pPr>
                <w:r>
                  <w:rPr>
                    <w:sz w:val="20"/>
                    <w:szCs w:val="24"/>
                  </w:rPr>
                  <w:t>7,08</w:t>
                </w:r>
              </w:p>
            </w:tc>
          </w:tr>
          <w:tr>
            <w:trPr>
              <w:trHeight w:val="720"/>
            </w:trPr>
            <w:tc>
              <w:tcPr>
                <w:tcW w:w="500" w:type="dxa"/>
                <w:tcBorders>
                  <w:top w:val="nil"/>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12.</w:t>
                </w:r>
              </w:p>
            </w:tc>
            <w:tc>
              <w:tcPr>
                <w:tcW w:w="1920" w:type="dxa"/>
                <w:tcBorders>
                  <w:top w:val="nil"/>
                  <w:left w:val="nil"/>
                  <w:bottom w:val="single" w:sz="4" w:space="0" w:color="auto"/>
                  <w:right w:val="single" w:sz="4" w:space="0" w:color="auto"/>
                </w:tcBorders>
                <w:shd w:val="clear" w:color="auto" w:fill="FFFFFF"/>
                <w:vAlign w:val="center"/>
                <w:hideMark/>
              </w:tcPr>
              <w:p>
                <w:pPr>
                  <w:jc w:val="center"/>
                  <w:rPr>
                    <w:sz w:val="20"/>
                    <w:szCs w:val="24"/>
                    <w:lang w:eastAsia="lt-LT"/>
                  </w:rPr>
                </w:pPr>
                <w:r>
                  <w:rPr>
                    <w:sz w:val="20"/>
                    <w:szCs w:val="24"/>
                    <w:lang w:eastAsia="lt-LT"/>
                  </w:rPr>
                  <w:t xml:space="preserve">Kiti subjektai: fiziniai ir juridiniai asmenys, kurie nepriskirti šios  lentelės kitoms eilutėms, taip pat fiziniai asmenys, kuriems išduotas verslo liudijimas ir/arba individualios veiklos pažyma, ūkininkai, bei asmenys, nuolat veikiantys Radviliškio rajone pagal jiems suteiktas licencijas ir leidimus (notarų biurai, advokatų, antstolių kontoros, jų padaliniai ir pan.)</w:t>
                </w:r>
              </w:p>
            </w:tc>
            <w:tc>
              <w:tcPr>
                <w:tcW w:w="2683"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Darbuotojų skaičius, vienas fizinis asmuo</w:t>
                </w: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Darbuotojų skaičius, vienas fizinis asmuo</w:t>
                </w:r>
              </w:p>
            </w:tc>
            <w:tc>
              <w:tcPr>
                <w:tcW w:w="1502" w:type="dxa"/>
                <w:tcBorders>
                  <w:top w:val="nil"/>
                  <w:left w:val="nil"/>
                  <w:bottom w:val="single" w:sz="4" w:space="0" w:color="auto"/>
                  <w:right w:val="single" w:sz="4" w:space="0" w:color="auto"/>
                </w:tcBorders>
                <w:noWrap/>
                <w:vAlign w:val="center"/>
                <w:hideMark/>
              </w:tcPr>
              <w:p>
                <w:pPr>
                  <w:jc w:val="right"/>
                  <w:rPr>
                    <w:sz w:val="20"/>
                    <w:szCs w:val="24"/>
                    <w:lang w:eastAsia="lt-LT"/>
                  </w:rPr>
                </w:pPr>
                <w:r>
                  <w:rPr>
                    <w:sz w:val="20"/>
                    <w:szCs w:val="24"/>
                  </w:rPr>
                  <w:t>16,32</w:t>
                </w:r>
              </w:p>
            </w:tc>
            <w:tc>
              <w:tcPr>
                <w:tcW w:w="1378" w:type="dxa"/>
                <w:tcBorders>
                  <w:top w:val="nil"/>
                  <w:left w:val="nil"/>
                  <w:bottom w:val="single" w:sz="4" w:space="0" w:color="auto"/>
                  <w:right w:val="single" w:sz="4" w:space="0" w:color="auto"/>
                </w:tcBorders>
                <w:noWrap/>
                <w:vAlign w:val="center"/>
                <w:hideMark/>
              </w:tcPr>
              <w:p>
                <w:pPr>
                  <w:ind w:firstLine="106"/>
                  <w:jc w:val="right"/>
                  <w:rPr>
                    <w:strike/>
                    <w:sz w:val="20"/>
                    <w:szCs w:val="24"/>
                    <w:lang w:eastAsia="lt-LT"/>
                  </w:rPr>
                </w:pPr>
                <w:r>
                  <w:rPr>
                    <w:sz w:val="20"/>
                    <w:szCs w:val="24"/>
                  </w:rPr>
                  <w:t>7,08</w:t>
                </w:r>
              </w:p>
            </w:tc>
          </w:tr>
          <w:tr>
            <w:trPr>
              <w:trHeight w:val="539"/>
            </w:trPr>
            <w:tc>
              <w:tcPr>
                <w:tcW w:w="500" w:type="dxa"/>
                <w:tcBorders>
                  <w:top w:val="nil"/>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13.</w:t>
                </w:r>
              </w:p>
            </w:tc>
            <w:tc>
              <w:tcPr>
                <w:tcW w:w="1920" w:type="dxa"/>
                <w:tcBorders>
                  <w:top w:val="nil"/>
                  <w:left w:val="nil"/>
                  <w:bottom w:val="single" w:sz="4" w:space="0" w:color="auto"/>
                  <w:right w:val="single" w:sz="4" w:space="0" w:color="auto"/>
                </w:tcBorders>
                <w:shd w:val="clear" w:color="auto" w:fill="FFFFFF"/>
                <w:vAlign w:val="center"/>
                <w:hideMark/>
              </w:tcPr>
              <w:p>
                <w:pPr>
                  <w:jc w:val="center"/>
                  <w:rPr>
                    <w:sz w:val="20"/>
                    <w:szCs w:val="24"/>
                    <w:lang w:eastAsia="lt-LT"/>
                  </w:rPr>
                </w:pPr>
                <w:r>
                  <w:rPr>
                    <w:sz w:val="20"/>
                    <w:szCs w:val="24"/>
                    <w:lang w:eastAsia="lt-LT"/>
                  </w:rPr>
                  <w:t>Garažų boksų savininkai</w:t>
                </w:r>
              </w:p>
            </w:tc>
            <w:tc>
              <w:tcPr>
                <w:tcW w:w="2683"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Boksų skaičius</w:t>
                </w: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Boksų skaičius</w:t>
                </w:r>
              </w:p>
            </w:tc>
            <w:tc>
              <w:tcPr>
                <w:tcW w:w="1502" w:type="dxa"/>
                <w:tcBorders>
                  <w:top w:val="nil"/>
                  <w:left w:val="nil"/>
                  <w:bottom w:val="single" w:sz="4" w:space="0" w:color="auto"/>
                  <w:right w:val="single" w:sz="4" w:space="0" w:color="auto"/>
                </w:tcBorders>
                <w:noWrap/>
                <w:vAlign w:val="center"/>
                <w:hideMark/>
              </w:tcPr>
              <w:p>
                <w:pPr>
                  <w:ind w:firstLine="53"/>
                  <w:jc w:val="right"/>
                  <w:rPr>
                    <w:sz w:val="20"/>
                    <w:szCs w:val="24"/>
                    <w:lang w:eastAsia="lt-LT"/>
                  </w:rPr>
                </w:pPr>
                <w:r>
                  <w:rPr>
                    <w:sz w:val="20"/>
                    <w:szCs w:val="24"/>
                  </w:rPr>
                  <w:t>6,24</w:t>
                </w:r>
              </w:p>
            </w:tc>
            <w:tc>
              <w:tcPr>
                <w:tcW w:w="1378" w:type="dxa"/>
                <w:tcBorders>
                  <w:top w:val="nil"/>
                  <w:left w:val="nil"/>
                  <w:bottom w:val="single" w:sz="4" w:space="0" w:color="auto"/>
                  <w:right w:val="single" w:sz="4" w:space="0" w:color="auto"/>
                </w:tcBorders>
                <w:noWrap/>
                <w:vAlign w:val="center"/>
                <w:hideMark/>
              </w:tcPr>
              <w:p>
                <w:pPr>
                  <w:ind w:firstLine="53"/>
                  <w:jc w:val="right"/>
                  <w:rPr>
                    <w:strike/>
                    <w:sz w:val="20"/>
                    <w:szCs w:val="24"/>
                    <w:lang w:eastAsia="lt-LT"/>
                  </w:rPr>
                </w:pPr>
                <w:r>
                  <w:rPr>
                    <w:sz w:val="20"/>
                    <w:szCs w:val="24"/>
                  </w:rPr>
                  <w:t>2,76</w:t>
                </w:r>
                <w:r>
                  <w:rPr>
                    <w:strike/>
                    <w:sz w:val="20"/>
                    <w:szCs w:val="24"/>
                  </w:rPr>
                  <w:t xml:space="preserve"> </w:t>
                </w:r>
              </w:p>
            </w:tc>
          </w:tr>
          <w:tr>
            <w:trPr>
              <w:trHeight w:val="547"/>
            </w:trPr>
            <w:tc>
              <w:tcPr>
                <w:tcW w:w="500" w:type="dxa"/>
                <w:tcBorders>
                  <w:top w:val="nil"/>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14.</w:t>
                </w:r>
              </w:p>
            </w:tc>
            <w:tc>
              <w:tcPr>
                <w:tcW w:w="1920" w:type="dxa"/>
                <w:tcBorders>
                  <w:top w:val="nil"/>
                  <w:left w:val="nil"/>
                  <w:bottom w:val="single" w:sz="4" w:space="0" w:color="auto"/>
                  <w:right w:val="single" w:sz="4" w:space="0" w:color="auto"/>
                </w:tcBorders>
                <w:shd w:val="clear" w:color="auto" w:fill="FFFFFF"/>
                <w:vAlign w:val="center"/>
                <w:hideMark/>
              </w:tcPr>
              <w:p>
                <w:pPr>
                  <w:jc w:val="center"/>
                  <w:rPr>
                    <w:sz w:val="20"/>
                    <w:szCs w:val="24"/>
                    <w:lang w:eastAsia="lt-LT"/>
                  </w:rPr>
                </w:pPr>
                <w:r>
                  <w:rPr>
                    <w:sz w:val="20"/>
                    <w:szCs w:val="24"/>
                    <w:lang w:eastAsia="lt-LT"/>
                  </w:rPr>
                  <w:t>Sodo sklypų savininkai</w:t>
                </w:r>
              </w:p>
            </w:tc>
            <w:tc>
              <w:tcPr>
                <w:tcW w:w="2683"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Valda, sodo sklypas</w:t>
                </w: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Valda, sodo sklypas</w:t>
                </w:r>
              </w:p>
            </w:tc>
            <w:tc>
              <w:tcPr>
                <w:tcW w:w="1502" w:type="dxa"/>
                <w:tcBorders>
                  <w:top w:val="nil"/>
                  <w:left w:val="nil"/>
                  <w:bottom w:val="single" w:sz="4" w:space="0" w:color="auto"/>
                  <w:right w:val="single" w:sz="4" w:space="0" w:color="auto"/>
                </w:tcBorders>
                <w:noWrap/>
                <w:vAlign w:val="center"/>
                <w:hideMark/>
              </w:tcPr>
              <w:p>
                <w:pPr>
                  <w:ind w:firstLine="53"/>
                  <w:jc w:val="right"/>
                  <w:rPr>
                    <w:sz w:val="20"/>
                    <w:szCs w:val="24"/>
                    <w:lang w:eastAsia="lt-LT"/>
                  </w:rPr>
                </w:pPr>
                <w:r>
                  <w:rPr>
                    <w:sz w:val="20"/>
                    <w:szCs w:val="24"/>
                  </w:rPr>
                  <w:t>18,60</w:t>
                </w:r>
              </w:p>
            </w:tc>
            <w:tc>
              <w:tcPr>
                <w:tcW w:w="1378" w:type="dxa"/>
                <w:tcBorders>
                  <w:top w:val="nil"/>
                  <w:left w:val="nil"/>
                  <w:bottom w:val="single" w:sz="4" w:space="0" w:color="auto"/>
                  <w:right w:val="single" w:sz="4" w:space="0" w:color="auto"/>
                </w:tcBorders>
                <w:noWrap/>
                <w:vAlign w:val="center"/>
                <w:hideMark/>
              </w:tcPr>
              <w:p>
                <w:pPr>
                  <w:ind w:firstLine="106"/>
                  <w:jc w:val="right"/>
                  <w:rPr>
                    <w:strike/>
                    <w:sz w:val="20"/>
                    <w:szCs w:val="24"/>
                    <w:lang w:eastAsia="lt-LT"/>
                  </w:rPr>
                </w:pPr>
                <w:r>
                  <w:rPr>
                    <w:sz w:val="20"/>
                    <w:szCs w:val="24"/>
                  </w:rPr>
                  <w:t>7,08</w:t>
                </w:r>
                <w:r>
                  <w:rPr>
                    <w:strike/>
                    <w:sz w:val="20"/>
                    <w:szCs w:val="24"/>
                  </w:rPr>
                  <w:t xml:space="preserve">  </w:t>
                </w:r>
              </w:p>
            </w:tc>
          </w:tr>
          <w:tr>
            <w:trPr>
              <w:trHeight w:val="569"/>
            </w:trPr>
            <w:tc>
              <w:tcPr>
                <w:tcW w:w="500" w:type="dxa"/>
                <w:tcBorders>
                  <w:top w:val="nil"/>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15.</w:t>
                </w:r>
              </w:p>
            </w:tc>
            <w:tc>
              <w:tcPr>
                <w:tcW w:w="1920" w:type="dxa"/>
                <w:tcBorders>
                  <w:top w:val="nil"/>
                  <w:left w:val="nil"/>
                  <w:bottom w:val="single" w:sz="4" w:space="0" w:color="auto"/>
                  <w:right w:val="single" w:sz="4" w:space="0" w:color="auto"/>
                </w:tcBorders>
                <w:shd w:val="clear" w:color="auto" w:fill="FFFFFF"/>
                <w:vAlign w:val="center"/>
                <w:hideMark/>
              </w:tcPr>
              <w:p>
                <w:pPr>
                  <w:jc w:val="center"/>
                  <w:rPr>
                    <w:sz w:val="20"/>
                    <w:szCs w:val="24"/>
                    <w:lang w:eastAsia="lt-LT"/>
                  </w:rPr>
                </w:pPr>
                <w:r>
                  <w:rPr>
                    <w:sz w:val="20"/>
                    <w:szCs w:val="24"/>
                    <w:lang w:eastAsia="lt-LT"/>
                  </w:rPr>
                  <w:t>Viešbučiai, moteliai, svečių namai</w:t>
                </w:r>
              </w:p>
            </w:tc>
            <w:tc>
              <w:tcPr>
                <w:tcW w:w="2683"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noWrap/>
                <w:vAlign w:val="center"/>
                <w:hideMark/>
              </w:tcPr>
              <w:p>
                <w:pPr>
                  <w:jc w:val="right"/>
                  <w:rPr>
                    <w:sz w:val="20"/>
                    <w:szCs w:val="24"/>
                    <w:lang w:eastAsia="lt-LT"/>
                  </w:rPr>
                </w:pPr>
                <w:r>
                  <w:rPr>
                    <w:sz w:val="20"/>
                    <w:szCs w:val="24"/>
                  </w:rPr>
                  <w:t>16,32</w:t>
                </w:r>
              </w:p>
            </w:tc>
            <w:tc>
              <w:tcPr>
                <w:tcW w:w="1378" w:type="dxa"/>
                <w:tcBorders>
                  <w:top w:val="nil"/>
                  <w:left w:val="nil"/>
                  <w:bottom w:val="single" w:sz="4" w:space="0" w:color="auto"/>
                  <w:right w:val="single" w:sz="4" w:space="0" w:color="auto"/>
                </w:tcBorders>
                <w:noWrap/>
                <w:vAlign w:val="center"/>
                <w:hideMark/>
              </w:tcPr>
              <w:p>
                <w:pPr>
                  <w:ind w:firstLine="106"/>
                  <w:jc w:val="right"/>
                  <w:rPr>
                    <w:strike/>
                    <w:sz w:val="20"/>
                    <w:szCs w:val="24"/>
                    <w:lang w:eastAsia="lt-LT"/>
                  </w:rPr>
                </w:pPr>
                <w:r>
                  <w:rPr>
                    <w:sz w:val="20"/>
                    <w:szCs w:val="24"/>
                  </w:rPr>
                  <w:t>7,08</w:t>
                </w:r>
                <w:r>
                  <w:rPr>
                    <w:strike/>
                    <w:sz w:val="20"/>
                    <w:szCs w:val="24"/>
                  </w:rPr>
                  <w:t xml:space="preserve">  </w:t>
                </w:r>
              </w:p>
            </w:tc>
          </w:tr>
          <w:tr>
            <w:trPr>
              <w:trHeight w:val="720"/>
            </w:trPr>
            <w:tc>
              <w:tcPr>
                <w:tcW w:w="500" w:type="dxa"/>
                <w:tcBorders>
                  <w:top w:val="nil"/>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16.</w:t>
                </w:r>
              </w:p>
            </w:tc>
            <w:tc>
              <w:tcPr>
                <w:tcW w:w="1920" w:type="dxa"/>
                <w:tcBorders>
                  <w:top w:val="nil"/>
                  <w:left w:val="nil"/>
                  <w:bottom w:val="single" w:sz="4" w:space="0" w:color="auto"/>
                  <w:right w:val="single" w:sz="4" w:space="0" w:color="auto"/>
                </w:tcBorders>
                <w:shd w:val="clear" w:color="auto" w:fill="FFFFFF"/>
                <w:vAlign w:val="center"/>
                <w:hideMark/>
              </w:tcPr>
              <w:p>
                <w:pPr>
                  <w:jc w:val="center"/>
                  <w:rPr>
                    <w:sz w:val="20"/>
                    <w:szCs w:val="24"/>
                    <w:lang w:eastAsia="lt-LT"/>
                  </w:rPr>
                </w:pPr>
                <w:r>
                  <w:rPr>
                    <w:sz w:val="20"/>
                    <w:szCs w:val="24"/>
                    <w:lang w:eastAsia="lt-LT"/>
                  </w:rPr>
                  <w:t>Mokslo ir švietimo įstaigos, vaikų darželiai ir lopšeliai</w:t>
                </w:r>
              </w:p>
            </w:tc>
            <w:tc>
              <w:tcPr>
                <w:tcW w:w="2683"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noWrap/>
                <w:vAlign w:val="center"/>
                <w:hideMark/>
              </w:tcPr>
              <w:p>
                <w:pPr>
                  <w:jc w:val="right"/>
                  <w:rPr>
                    <w:sz w:val="20"/>
                    <w:szCs w:val="24"/>
                    <w:lang w:eastAsia="lt-LT"/>
                  </w:rPr>
                </w:pPr>
                <w:r>
                  <w:rPr>
                    <w:sz w:val="20"/>
                    <w:szCs w:val="24"/>
                  </w:rPr>
                  <w:t>14,64</w:t>
                </w:r>
              </w:p>
            </w:tc>
            <w:tc>
              <w:tcPr>
                <w:tcW w:w="1378" w:type="dxa"/>
                <w:tcBorders>
                  <w:top w:val="nil"/>
                  <w:left w:val="nil"/>
                  <w:bottom w:val="single" w:sz="4" w:space="0" w:color="auto"/>
                  <w:right w:val="single" w:sz="4" w:space="0" w:color="auto"/>
                </w:tcBorders>
                <w:noWrap/>
                <w:vAlign w:val="center"/>
                <w:hideMark/>
              </w:tcPr>
              <w:p>
                <w:pPr>
                  <w:ind w:firstLine="53"/>
                  <w:jc w:val="right"/>
                  <w:rPr>
                    <w:sz w:val="20"/>
                    <w:szCs w:val="24"/>
                    <w:lang w:eastAsia="lt-LT"/>
                  </w:rPr>
                </w:pPr>
                <w:r>
                  <w:rPr>
                    <w:sz w:val="20"/>
                    <w:szCs w:val="24"/>
                  </w:rPr>
                  <w:t>6,24</w:t>
                </w:r>
                <w:r>
                  <w:rPr>
                    <w:strike/>
                    <w:sz w:val="20"/>
                    <w:szCs w:val="24"/>
                  </w:rPr>
                  <w:t xml:space="preserve">  </w:t>
                </w:r>
              </w:p>
            </w:tc>
          </w:tr>
          <w:tr>
            <w:trPr>
              <w:trHeight w:val="240"/>
            </w:trPr>
            <w:tc>
              <w:tcPr>
                <w:tcW w:w="500" w:type="dxa"/>
                <w:tcBorders>
                  <w:top w:val="nil"/>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17.</w:t>
                </w:r>
              </w:p>
            </w:tc>
            <w:tc>
              <w:tcPr>
                <w:tcW w:w="1920" w:type="dxa"/>
                <w:tcBorders>
                  <w:top w:val="nil"/>
                  <w:left w:val="nil"/>
                  <w:bottom w:val="single" w:sz="4" w:space="0" w:color="auto"/>
                  <w:right w:val="single" w:sz="4" w:space="0" w:color="auto"/>
                </w:tcBorders>
                <w:shd w:val="clear" w:color="auto" w:fill="FFFFFF"/>
                <w:vAlign w:val="center"/>
                <w:hideMark/>
              </w:tcPr>
              <w:p>
                <w:pPr>
                  <w:jc w:val="center"/>
                  <w:rPr>
                    <w:sz w:val="20"/>
                    <w:szCs w:val="24"/>
                    <w:lang w:eastAsia="lt-LT"/>
                  </w:rPr>
                </w:pPr>
                <w:r>
                  <w:rPr>
                    <w:sz w:val="20"/>
                    <w:szCs w:val="24"/>
                    <w:lang w:eastAsia="lt-LT"/>
                  </w:rPr>
                  <w:t>Seniūnijų veikiančios kapinės</w:t>
                </w:r>
              </w:p>
            </w:tc>
            <w:tc>
              <w:tcPr>
                <w:tcW w:w="2683" w:type="dxa"/>
                <w:tcBorders>
                  <w:top w:val="nil"/>
                  <w:left w:val="nil"/>
                  <w:bottom w:val="single" w:sz="4" w:space="0" w:color="auto"/>
                  <w:right w:val="single" w:sz="4" w:space="0" w:color="auto"/>
                </w:tcBorders>
                <w:vAlign w:val="center"/>
              </w:tcPr>
              <w:p>
                <w:pPr>
                  <w:jc w:val="center"/>
                  <w:rPr>
                    <w:sz w:val="20"/>
                    <w:szCs w:val="24"/>
                    <w:lang w:eastAsia="lt-LT"/>
                  </w:rPr>
                </w:pPr>
              </w:p>
            </w:tc>
            <w:tc>
              <w:tcPr>
                <w:tcW w:w="1617" w:type="dxa"/>
                <w:tcBorders>
                  <w:top w:val="nil"/>
                  <w:left w:val="nil"/>
                  <w:bottom w:val="single" w:sz="4" w:space="0" w:color="auto"/>
                  <w:right w:val="single" w:sz="4" w:space="0" w:color="auto"/>
                </w:tcBorders>
                <w:vAlign w:val="center"/>
              </w:tcPr>
              <w:p>
                <w:pPr>
                  <w:jc w:val="center"/>
                  <w:rPr>
                    <w:sz w:val="20"/>
                    <w:szCs w:val="24"/>
                    <w:lang w:eastAsia="lt-LT"/>
                  </w:rPr>
                </w:pPr>
              </w:p>
            </w:tc>
            <w:tc>
              <w:tcPr>
                <w:tcW w:w="1502" w:type="dxa"/>
                <w:tcBorders>
                  <w:top w:val="nil"/>
                  <w:left w:val="nil"/>
                  <w:bottom w:val="single" w:sz="4" w:space="0" w:color="auto"/>
                  <w:right w:val="single" w:sz="4" w:space="0" w:color="auto"/>
                </w:tcBorders>
                <w:noWrap/>
                <w:vAlign w:val="center"/>
              </w:tcPr>
              <w:p>
                <w:pPr>
                  <w:jc w:val="right"/>
                  <w:rPr>
                    <w:strike/>
                    <w:sz w:val="20"/>
                    <w:szCs w:val="24"/>
                    <w:lang w:eastAsia="lt-LT"/>
                  </w:rPr>
                </w:pPr>
              </w:p>
            </w:tc>
            <w:tc>
              <w:tcPr>
                <w:tcW w:w="1378" w:type="dxa"/>
                <w:tcBorders>
                  <w:top w:val="nil"/>
                  <w:left w:val="nil"/>
                  <w:bottom w:val="single" w:sz="4" w:space="0" w:color="auto"/>
                  <w:right w:val="single" w:sz="4" w:space="0" w:color="auto"/>
                </w:tcBorders>
                <w:noWrap/>
                <w:vAlign w:val="center"/>
              </w:tcPr>
              <w:p>
                <w:pPr>
                  <w:jc w:val="right"/>
                  <w:rPr>
                    <w:strike/>
                    <w:sz w:val="20"/>
                    <w:szCs w:val="24"/>
                    <w:lang w:eastAsia="lt-LT"/>
                  </w:rPr>
                </w:pPr>
              </w:p>
            </w:tc>
          </w:tr>
          <w:tr>
            <w:trPr>
              <w:trHeight w:val="240"/>
            </w:trPr>
            <w:tc>
              <w:tcPr>
                <w:tcW w:w="500" w:type="dxa"/>
                <w:tcBorders>
                  <w:top w:val="nil"/>
                  <w:left w:val="single" w:sz="4" w:space="0" w:color="auto"/>
                  <w:bottom w:val="single" w:sz="4" w:space="0" w:color="auto"/>
                  <w:right w:val="single" w:sz="4" w:space="0" w:color="auto"/>
                </w:tcBorders>
                <w:vAlign w:val="center"/>
              </w:tcPr>
              <w:p>
                <w:pPr>
                  <w:jc w:val="center"/>
                  <w:rPr>
                    <w:sz w:val="20"/>
                    <w:szCs w:val="24"/>
                    <w:lang w:eastAsia="lt-LT"/>
                  </w:rPr>
                </w:pPr>
              </w:p>
            </w:tc>
            <w:tc>
              <w:tcPr>
                <w:tcW w:w="1920" w:type="dxa"/>
                <w:tcBorders>
                  <w:top w:val="single" w:sz="4" w:space="0" w:color="auto"/>
                  <w:left w:val="single" w:sz="4" w:space="0" w:color="auto"/>
                  <w:bottom w:val="single" w:sz="4" w:space="0" w:color="auto"/>
                  <w:right w:val="single" w:sz="4" w:space="0" w:color="auto"/>
                </w:tcBorders>
                <w:vAlign w:val="center"/>
                <w:hideMark/>
              </w:tcPr>
              <w:p>
                <w:pPr>
                  <w:jc w:val="center"/>
                  <w:rPr>
                    <w:sz w:val="20"/>
                    <w:szCs w:val="24"/>
                    <w:lang w:eastAsia="lt-LT"/>
                  </w:rPr>
                </w:pPr>
                <w:r>
                  <w:rPr>
                    <w:i/>
                    <w:iCs/>
                    <w:sz w:val="20"/>
                    <w:szCs w:val="24"/>
                  </w:rPr>
                  <w:t>iki 1 ha ploto</w:t>
                </w:r>
              </w:p>
            </w:tc>
            <w:tc>
              <w:tcPr>
                <w:tcW w:w="2683"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Vnt.</w:t>
                </w: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Vnt.</w:t>
                </w:r>
              </w:p>
            </w:tc>
            <w:tc>
              <w:tcPr>
                <w:tcW w:w="1502" w:type="dxa"/>
                <w:tcBorders>
                  <w:top w:val="nil"/>
                  <w:left w:val="nil"/>
                  <w:bottom w:val="single" w:sz="4" w:space="0" w:color="auto"/>
                  <w:right w:val="single" w:sz="4" w:space="0" w:color="auto"/>
                </w:tcBorders>
                <w:noWrap/>
                <w:vAlign w:val="center"/>
                <w:hideMark/>
              </w:tcPr>
              <w:p>
                <w:pPr>
                  <w:ind w:firstLine="53"/>
                  <w:jc w:val="right"/>
                  <w:rPr>
                    <w:sz w:val="20"/>
                    <w:szCs w:val="24"/>
                    <w:lang w:eastAsia="lt-LT"/>
                  </w:rPr>
                </w:pPr>
                <w:r>
                  <w:rPr>
                    <w:sz w:val="20"/>
                    <w:szCs w:val="24"/>
                  </w:rPr>
                  <w:t>391,80</w:t>
                </w:r>
              </w:p>
            </w:tc>
            <w:tc>
              <w:tcPr>
                <w:tcW w:w="1378" w:type="dxa"/>
                <w:tcBorders>
                  <w:top w:val="nil"/>
                  <w:left w:val="nil"/>
                  <w:bottom w:val="single" w:sz="4" w:space="0" w:color="auto"/>
                  <w:right w:val="single" w:sz="4" w:space="0" w:color="auto"/>
                </w:tcBorders>
                <w:noWrap/>
                <w:vAlign w:val="center"/>
                <w:hideMark/>
              </w:tcPr>
              <w:p>
                <w:pPr>
                  <w:ind w:firstLine="53"/>
                  <w:jc w:val="right"/>
                  <w:rPr>
                    <w:strike/>
                    <w:sz w:val="20"/>
                    <w:szCs w:val="24"/>
                    <w:lang w:eastAsia="lt-LT"/>
                  </w:rPr>
                </w:pPr>
                <w:r>
                  <w:rPr>
                    <w:sz w:val="20"/>
                    <w:szCs w:val="24"/>
                  </w:rPr>
                  <w:t>168,00</w:t>
                </w:r>
                <w:r>
                  <w:rPr>
                    <w:strike/>
                    <w:sz w:val="20"/>
                    <w:szCs w:val="24"/>
                  </w:rPr>
                  <w:t xml:space="preserve"> </w:t>
                </w:r>
              </w:p>
            </w:tc>
          </w:tr>
          <w:tr>
            <w:trPr>
              <w:trHeight w:val="240"/>
            </w:trPr>
            <w:tc>
              <w:tcPr>
                <w:tcW w:w="500" w:type="dxa"/>
                <w:tcBorders>
                  <w:top w:val="nil"/>
                  <w:left w:val="single" w:sz="4" w:space="0" w:color="auto"/>
                  <w:bottom w:val="single" w:sz="4" w:space="0" w:color="auto"/>
                  <w:right w:val="single" w:sz="4" w:space="0" w:color="auto"/>
                </w:tcBorders>
                <w:vAlign w:val="center"/>
              </w:tcPr>
              <w:p>
                <w:pPr>
                  <w:jc w:val="center"/>
                  <w:rPr>
                    <w:sz w:val="20"/>
                    <w:szCs w:val="24"/>
                    <w:lang w:eastAsia="lt-LT"/>
                  </w:rPr>
                </w:pPr>
              </w:p>
            </w:tc>
            <w:tc>
              <w:tcPr>
                <w:tcW w:w="1920" w:type="dxa"/>
                <w:tcBorders>
                  <w:top w:val="nil"/>
                  <w:left w:val="single" w:sz="4" w:space="0" w:color="auto"/>
                  <w:bottom w:val="single" w:sz="4" w:space="0" w:color="auto"/>
                  <w:right w:val="single" w:sz="4" w:space="0" w:color="auto"/>
                </w:tcBorders>
                <w:vAlign w:val="center"/>
                <w:hideMark/>
              </w:tcPr>
              <w:p>
                <w:pPr>
                  <w:jc w:val="center"/>
                  <w:rPr>
                    <w:sz w:val="20"/>
                    <w:szCs w:val="24"/>
                    <w:lang w:eastAsia="lt-LT"/>
                  </w:rPr>
                </w:pPr>
                <w:r>
                  <w:rPr>
                    <w:i/>
                    <w:iCs/>
                    <w:sz w:val="20"/>
                    <w:szCs w:val="24"/>
                  </w:rPr>
                  <w:t>nuo 1,01 ha iki 3 ha ploto</w:t>
                </w:r>
              </w:p>
            </w:tc>
            <w:tc>
              <w:tcPr>
                <w:tcW w:w="2683"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Vnt.</w:t>
                </w: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Vnt.</w:t>
                </w:r>
              </w:p>
            </w:tc>
            <w:tc>
              <w:tcPr>
                <w:tcW w:w="1502" w:type="dxa"/>
                <w:tcBorders>
                  <w:top w:val="nil"/>
                  <w:left w:val="nil"/>
                  <w:bottom w:val="single" w:sz="4" w:space="0" w:color="auto"/>
                  <w:right w:val="single" w:sz="4" w:space="0" w:color="auto"/>
                </w:tcBorders>
                <w:noWrap/>
                <w:vAlign w:val="center"/>
                <w:hideMark/>
              </w:tcPr>
              <w:p>
                <w:pPr>
                  <w:ind w:firstLine="53"/>
                  <w:jc w:val="right"/>
                  <w:rPr>
                    <w:sz w:val="20"/>
                    <w:szCs w:val="24"/>
                    <w:lang w:eastAsia="lt-LT"/>
                  </w:rPr>
                </w:pPr>
                <w:r>
                  <w:rPr>
                    <w:sz w:val="20"/>
                    <w:szCs w:val="24"/>
                  </w:rPr>
                  <w:t>2805,80</w:t>
                </w:r>
              </w:p>
            </w:tc>
            <w:tc>
              <w:tcPr>
                <w:tcW w:w="1378" w:type="dxa"/>
                <w:tcBorders>
                  <w:top w:val="nil"/>
                  <w:left w:val="nil"/>
                  <w:bottom w:val="single" w:sz="4" w:space="0" w:color="auto"/>
                  <w:right w:val="single" w:sz="4" w:space="0" w:color="auto"/>
                </w:tcBorders>
                <w:noWrap/>
                <w:vAlign w:val="center"/>
                <w:hideMark/>
              </w:tcPr>
              <w:p>
                <w:pPr>
                  <w:ind w:firstLine="106"/>
                  <w:jc w:val="right"/>
                  <w:rPr>
                    <w:strike/>
                    <w:sz w:val="20"/>
                    <w:szCs w:val="24"/>
                    <w:lang w:eastAsia="lt-LT"/>
                  </w:rPr>
                </w:pPr>
                <w:r>
                  <w:rPr>
                    <w:sz w:val="20"/>
                    <w:szCs w:val="24"/>
                  </w:rPr>
                  <w:t>1208,88</w:t>
                </w:r>
                <w:r>
                  <w:rPr>
                    <w:strike/>
                    <w:sz w:val="20"/>
                    <w:szCs w:val="24"/>
                  </w:rPr>
                  <w:t xml:space="preserve"> </w:t>
                </w:r>
              </w:p>
            </w:tc>
          </w:tr>
          <w:tr>
            <w:trPr>
              <w:trHeight w:val="240"/>
            </w:trPr>
            <w:tc>
              <w:tcPr>
                <w:tcW w:w="500" w:type="dxa"/>
                <w:tcBorders>
                  <w:top w:val="nil"/>
                  <w:left w:val="single" w:sz="4" w:space="0" w:color="auto"/>
                  <w:bottom w:val="single" w:sz="4" w:space="0" w:color="auto"/>
                  <w:right w:val="single" w:sz="4" w:space="0" w:color="auto"/>
                </w:tcBorders>
                <w:vAlign w:val="center"/>
                <w:hideMark/>
              </w:tcPr>
              <w:p>
                <w:pPr>
                  <w:rPr>
                    <w:strike/>
                    <w:sz w:val="20"/>
                    <w:szCs w:val="24"/>
                    <w:lang w:eastAsia="lt-LT"/>
                  </w:rPr>
                </w:pPr>
              </w:p>
            </w:tc>
            <w:tc>
              <w:tcPr>
                <w:tcW w:w="1920" w:type="dxa"/>
                <w:tcBorders>
                  <w:top w:val="nil"/>
                  <w:left w:val="single" w:sz="4" w:space="0" w:color="auto"/>
                  <w:bottom w:val="single" w:sz="4" w:space="0" w:color="auto"/>
                  <w:right w:val="single" w:sz="4" w:space="0" w:color="auto"/>
                </w:tcBorders>
                <w:vAlign w:val="center"/>
                <w:hideMark/>
              </w:tcPr>
              <w:p>
                <w:pPr>
                  <w:jc w:val="right"/>
                  <w:rPr>
                    <w:sz w:val="20"/>
                    <w:szCs w:val="24"/>
                    <w:lang w:eastAsia="lt-LT"/>
                  </w:rPr>
                </w:pPr>
                <w:r>
                  <w:rPr>
                    <w:i/>
                    <w:iCs/>
                    <w:sz w:val="20"/>
                    <w:szCs w:val="24"/>
                  </w:rPr>
                  <w:t>Daugiau kaip 3 ha ploto</w:t>
                </w:r>
              </w:p>
            </w:tc>
            <w:tc>
              <w:tcPr>
                <w:tcW w:w="2683"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Vnt.</w:t>
                </w: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Vnt.</w:t>
                </w:r>
              </w:p>
            </w:tc>
            <w:tc>
              <w:tcPr>
                <w:tcW w:w="1502" w:type="dxa"/>
                <w:tcBorders>
                  <w:top w:val="nil"/>
                  <w:left w:val="nil"/>
                  <w:bottom w:val="single" w:sz="4" w:space="0" w:color="auto"/>
                  <w:right w:val="single" w:sz="4" w:space="0" w:color="auto"/>
                </w:tcBorders>
                <w:noWrap/>
                <w:vAlign w:val="center"/>
                <w:hideMark/>
              </w:tcPr>
              <w:p>
                <w:pPr>
                  <w:ind w:firstLine="53"/>
                  <w:jc w:val="right"/>
                  <w:rPr>
                    <w:sz w:val="20"/>
                    <w:szCs w:val="24"/>
                    <w:lang w:eastAsia="lt-LT"/>
                  </w:rPr>
                </w:pPr>
                <w:r>
                  <w:rPr>
                    <w:sz w:val="20"/>
                    <w:szCs w:val="24"/>
                  </w:rPr>
                  <w:t>7017,00</w:t>
                </w:r>
              </w:p>
            </w:tc>
            <w:tc>
              <w:tcPr>
                <w:tcW w:w="1378" w:type="dxa"/>
                <w:tcBorders>
                  <w:top w:val="nil"/>
                  <w:left w:val="nil"/>
                  <w:bottom w:val="single" w:sz="4" w:space="0" w:color="auto"/>
                  <w:right w:val="single" w:sz="4" w:space="0" w:color="auto"/>
                </w:tcBorders>
                <w:noWrap/>
                <w:vAlign w:val="center"/>
                <w:hideMark/>
              </w:tcPr>
              <w:p>
                <w:pPr>
                  <w:ind w:firstLine="106"/>
                  <w:jc w:val="right"/>
                  <w:rPr>
                    <w:strike/>
                    <w:sz w:val="20"/>
                    <w:szCs w:val="24"/>
                    <w:lang w:eastAsia="lt-LT"/>
                  </w:rPr>
                </w:pPr>
                <w:r>
                  <w:rPr>
                    <w:sz w:val="20"/>
                    <w:szCs w:val="24"/>
                  </w:rPr>
                  <w:t>3007,32</w:t>
                </w:r>
                <w:r>
                  <w:rPr>
                    <w:strike/>
                    <w:sz w:val="20"/>
                    <w:szCs w:val="24"/>
                  </w:rPr>
                  <w:t xml:space="preserve"> </w:t>
                </w:r>
              </w:p>
            </w:tc>
          </w:tr>
        </w:tbl>
        <w:p>
          <w:pPr>
            <w:jc w:val="both"/>
            <w:rPr>
              <w:szCs w:val="24"/>
              <w:vertAlign w:val="superscript"/>
            </w:rPr>
          </w:pPr>
        </w:p>
        <w:p>
          <w:pPr>
            <w:jc w:val="both"/>
            <w:rPr>
              <w:szCs w:val="24"/>
            </w:rPr>
          </w:pPr>
          <w:r>
            <w:rPr>
              <w:szCs w:val="24"/>
              <w:vertAlign w:val="superscript"/>
            </w:rPr>
            <w:t>1</w:t>
          </w:r>
          <w:r>
            <w:rPr>
              <w:szCs w:val="24"/>
            </w:rPr>
            <w:t xml:space="preserve"> Parametras, nesusijęs su individualaus identifikuoto mišriųjų komunalinių atliekų surinkimo konteinerio ištuštinimu, taikomas tuo atveju, kai vietinės rinkliavos mokėtojas naudojasi kolektyviniais mišriųjų komunalinių atliekų surinkimo konteineriais. </w:t>
          </w:r>
        </w:p>
        <w:p>
          <w:pPr>
            <w:jc w:val="both"/>
            <w:rPr>
              <w:szCs w:val="24"/>
            </w:rPr>
          </w:pPr>
          <w:r>
            <w:rPr>
              <w:szCs w:val="24"/>
            </w:rPr>
            <w:t>Kintamoji vieno konteinerio ištuštinimo kaina apskaičiuojama pagal konteinerio tūrį, taikant įkainį 9,85 Eur už m³ Nuostatų 12.3–12.5 papunkčiuose nurodytų Vietinės rinkliavos mokėtojų grupių atliekų turėtojams, naudojantiems individualius identifikuotus mišriųjų komunalinių atliekų konteinerius.“.</w:t>
          </w:r>
        </w:p>
        <w:p>
          <w:pPr>
            <w:ind w:firstLine="851"/>
            <w:jc w:val="both"/>
            <w:rPr>
              <w:szCs w:val="24"/>
              <w:lang w:eastAsia="lt-LT"/>
            </w:rPr>
          </w:pPr>
        </w:p>
        <w:p>
          <w:pPr>
            <w:ind w:firstLine="851"/>
            <w:jc w:val="both"/>
            <w:rPr>
              <w:szCs w:val="24"/>
              <w:lang w:eastAsia="lt-LT"/>
            </w:rPr>
          </w:pPr>
        </w:p>
        <w:p>
          <w:pPr>
            <w:jc w:val="both"/>
            <w:rPr>
              <w:szCs w:val="24"/>
            </w:rPr>
          </w:pPr>
        </w:p>
        <w:p>
          <w:pPr>
            <w:jc w:val="both"/>
            <w:rPr>
              <w:szCs w:val="24"/>
            </w:rPr>
          </w:pPr>
          <w:r>
            <w:rPr>
              <w:szCs w:val="24"/>
            </w:rPr>
            <w:t xml:space="preserve">Savivaldybės meras                                                                                           </w:t>
          </w: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ind w:firstLine="6944"/>
            <w:jc w:val="both"/>
            <w:rPr>
              <w:i/>
              <w:iCs/>
              <w:szCs w:val="24"/>
            </w:rPr>
          </w:pPr>
          <w:r>
            <w:rPr>
              <w:i/>
              <w:iCs/>
              <w:szCs w:val="24"/>
            </w:rPr>
            <w:t>Lyginamasis variantas</w:t>
          </w:r>
        </w:p>
        <w:sdt>
          <w:sdtPr>
            <w:alias w:val="skirsnis"/>
            <w:tag w:val="part_ad11649c706b4f5f94a2f1c34e286c9a"/>
            <w:lock w:val="sdtLocked"/>
            <w:richText/>
          </w:sdtPr>
          <w:sdtContent>
            <w:p>
              <w:pPr>
                <w:ind w:left="5971" w:firstLine="720"/>
                <w:jc w:val="both"/>
                <w:rPr>
                  <w:b/>
                  <w:szCs w:val="24"/>
                </w:rPr>
              </w:pPr>
              <w:sdt>
                <w:sdtPr>
                  <w:alias w:val="Pavadinimas"/>
                  <w:tag w:val="title_ad11649c706b4f5f94a2f1c34e286c9a"/>
                  <w:lock w:val="sdtLocked"/>
                  <w:richText/>
                </w:sdtPr>
                <w:sdtContent>
                  <w:r>
                    <w:rPr>
                      <w:b/>
                      <w:szCs w:val="24"/>
                    </w:rPr>
                    <w:t>2024-12-</w:t>
                  </w:r>
                </w:sdtContent>
              </w:sdt>
            </w:p>
          </w:sdtContent>
        </w:sdt>
      </w:sdtContent>
    </w:sdt>
    <w:sdt>
      <w:sdtPr>
        <w:alias w:val="1 pr."/>
        <w:tag w:val="part_40346131a174423097280afe83ebf7de"/>
        <w:lock w:val="sdtLocked"/>
        <w:richText/>
      </w:sdtPr>
      <w:sdtContent>
        <w:p>
          <w:pPr>
            <w:ind w:left="6691"/>
            <w:rPr>
              <w:bCs/>
              <w:szCs w:val="24"/>
              <w:lang w:eastAsia="lt-LT"/>
            </w:rPr>
          </w:pPr>
          <w:r>
            <w:rPr>
              <w:szCs w:val="24"/>
            </w:rPr>
            <w:t xml:space="preserve">Radviliškio rajono </w:t>
          </w:r>
          <w:r>
            <w:rPr>
              <w:szCs w:val="24"/>
              <w:lang w:eastAsia="lt-LT"/>
            </w:rPr>
            <w:t xml:space="preserve">savivaldybės vietinės rinkliavos už komunalinių atliekų surinkimą ir atliekų tvarkymą nuostatų </w:t>
          </w:r>
          <w:sdt>
            <w:sdtPr>
              <w:alias w:val="Numeris"/>
              <w:tag w:val="nr_40346131a174423097280afe83ebf7de"/>
              <w:lock w:val="sdtLocked"/>
              <w:richText/>
            </w:sdtPr>
            <w:sdtContent>
              <w:r>
                <w:rPr>
                  <w:bCs/>
                  <w:szCs w:val="24"/>
                  <w:lang w:eastAsia="lt-LT"/>
                </w:rPr>
                <w:t>1</w:t>
              </w:r>
            </w:sdtContent>
          </w:sdt>
          <w:r>
            <w:rPr>
              <w:bCs/>
              <w:szCs w:val="24"/>
              <w:lang w:eastAsia="lt-LT"/>
            </w:rPr>
            <w:t xml:space="preserve"> priedas</w:t>
          </w:r>
        </w:p>
        <w:p>
          <w:pPr>
            <w:ind w:left="6691"/>
            <w:rPr>
              <w:szCs w:val="24"/>
            </w:rPr>
          </w:pPr>
          <w:r>
            <w:rPr>
              <w:bCs/>
              <w:szCs w:val="24"/>
              <w:lang w:eastAsia="lt-LT"/>
            </w:rPr>
            <w:t>(nauja redakcija)</w:t>
          </w:r>
        </w:p>
        <w:p>
          <w:pPr>
            <w:suppressAutoHyphens/>
            <w:ind w:firstLine="709"/>
            <w:jc w:val="both"/>
            <w:rPr>
              <w:szCs w:val="24"/>
              <w:lang w:eastAsia="lt-LT"/>
            </w:rPr>
          </w:pPr>
        </w:p>
        <w:p>
          <w:pPr>
            <w:jc w:val="center"/>
            <w:rPr>
              <w:b/>
              <w:szCs w:val="24"/>
            </w:rPr>
          </w:pPr>
          <w:sdt>
            <w:sdtPr>
              <w:alias w:val="Pavadinimas"/>
              <w:tag w:val="title_40346131a174423097280afe83ebf7de"/>
              <w:lock w:val="sdtLocked"/>
              <w:richText/>
            </w:sdtPr>
            <w:sdtContent>
              <w:r>
                <w:rPr>
                  <w:b/>
                  <w:caps/>
                  <w:szCs w:val="24"/>
                </w:rPr>
                <w:t>vietinės rinkliavos mokėtojų grupių</w:t>
              </w:r>
              <w:r>
                <w:rPr>
                  <w:b/>
                  <w:szCs w:val="24"/>
                </w:rPr>
                <w:t xml:space="preserve"> VIETINĖS RINKLIAVOS UŽ KOMUNALINIŲ ATLIEKŲ SURINKIMĄ IR TVARKYMĄ DYDŽIAI</w:t>
              </w:r>
            </w:sdtContent>
          </w:sdt>
        </w:p>
        <w:p>
          <w:pPr>
            <w:jc w:val="center"/>
            <w:rPr>
              <w:b/>
              <w:szCs w:val="24"/>
            </w:rPr>
          </w:pPr>
        </w:p>
        <w:tbl>
          <w:tblPr>
            <w:tblW w:w="9600" w:type="dxa"/>
            <w:tblLook w:val="04A0" w:firstRow="1" w:lastRow="0" w:firstColumn="1" w:lastColumn="0" w:noHBand="0" w:noVBand="1"/>
          </w:tblPr>
          <w:tblGrid>
            <w:gridCol w:w="500"/>
            <w:gridCol w:w="1920"/>
            <w:gridCol w:w="2683"/>
            <w:gridCol w:w="1617"/>
            <w:gridCol w:w="1502"/>
            <w:gridCol w:w="1378"/>
          </w:tblGrid>
          <w:tr>
            <w:trPr>
              <w:trHeight w:val="480"/>
            </w:trPr>
            <w:tc>
              <w:tcPr>
                <w:tcW w:w="5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Eil. Nr.</w:t>
                </w:r>
              </w:p>
            </w:tc>
            <w:tc>
              <w:tcPr>
                <w:tcW w:w="19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Grupės</w:t>
                </w:r>
              </w:p>
            </w:tc>
            <w:tc>
              <w:tcPr>
                <w:tcW w:w="4300" w:type="dxa"/>
                <w:gridSpan w:val="2"/>
                <w:tcBorders>
                  <w:top w:val="single" w:sz="4" w:space="0" w:color="auto"/>
                  <w:left w:val="nil"/>
                  <w:bottom w:val="single" w:sz="4" w:space="0" w:color="auto"/>
                  <w:right w:val="single" w:sz="4" w:space="0" w:color="auto"/>
                </w:tcBorders>
                <w:shd w:val="clear" w:color="auto" w:fill="auto"/>
                <w:noWrap/>
                <w:vAlign w:val="center"/>
                <w:hideMark/>
              </w:tcPr>
              <w:p>
                <w:pPr>
                  <w:jc w:val="center"/>
                  <w:rPr>
                    <w:sz w:val="20"/>
                    <w:szCs w:val="24"/>
                    <w:lang w:eastAsia="lt-LT"/>
                  </w:rPr>
                </w:pPr>
                <w:r>
                  <w:rPr>
                    <w:sz w:val="20"/>
                    <w:szCs w:val="24"/>
                    <w:lang w:eastAsia="lt-LT"/>
                  </w:rPr>
                  <w:t>Apmokestinamieji parametrai</w:t>
                </w:r>
              </w:p>
            </w:tc>
            <w:tc>
              <w:tcPr>
                <w:tcW w:w="2880" w:type="dxa"/>
                <w:gridSpan w:val="2"/>
                <w:tcBorders>
                  <w:top w:val="single" w:sz="4" w:space="0" w:color="auto"/>
                  <w:left w:val="nil"/>
                  <w:bottom w:val="single" w:sz="4" w:space="0" w:color="auto"/>
                  <w:right w:val="single" w:sz="4" w:space="0" w:color="000000"/>
                </w:tcBorders>
                <w:shd w:val="clear" w:color="auto" w:fill="auto"/>
                <w:vAlign w:val="center"/>
                <w:hideMark/>
              </w:tcPr>
              <w:p>
                <w:pPr>
                  <w:jc w:val="center"/>
                  <w:rPr>
                    <w:sz w:val="20"/>
                    <w:szCs w:val="24"/>
                    <w:lang w:eastAsia="lt-LT"/>
                  </w:rPr>
                </w:pPr>
                <w:r>
                  <w:rPr>
                    <w:sz w:val="20"/>
                    <w:szCs w:val="24"/>
                    <w:lang w:eastAsia="lt-LT"/>
                  </w:rPr>
                  <w:t>Vietinės rinkliavos dydžiai už apmokestinamąjį parametrą</w:t>
                </w:r>
              </w:p>
            </w:tc>
          </w:tr>
          <w:tr>
            <w:trPr>
              <w:trHeight w:val="960"/>
            </w:trPr>
            <w:tc>
              <w:tcPr>
                <w:tcW w:w="500" w:type="dxa"/>
                <w:vMerge/>
                <w:tcBorders>
                  <w:top w:val="single" w:sz="4" w:space="0" w:color="auto"/>
                  <w:left w:val="single" w:sz="4" w:space="0" w:color="auto"/>
                  <w:bottom w:val="single" w:sz="4" w:space="0" w:color="auto"/>
                  <w:right w:val="single" w:sz="4" w:space="0" w:color="auto"/>
                </w:tcBorders>
                <w:vAlign w:val="center"/>
                <w:hideMark/>
              </w:tcPr>
              <w:p>
                <w:pPr>
                  <w:rPr>
                    <w:sz w:val="20"/>
                    <w:szCs w:val="24"/>
                    <w:lang w:eastAsia="lt-LT"/>
                  </w:rPr>
                </w:pPr>
              </w:p>
            </w:tc>
            <w:tc>
              <w:tcPr>
                <w:tcW w:w="1920" w:type="dxa"/>
                <w:vMerge/>
                <w:tcBorders>
                  <w:top w:val="single" w:sz="4" w:space="0" w:color="auto"/>
                  <w:left w:val="single" w:sz="4" w:space="0" w:color="auto"/>
                  <w:bottom w:val="single" w:sz="4" w:space="0" w:color="auto"/>
                  <w:right w:val="single" w:sz="4" w:space="0" w:color="auto"/>
                </w:tcBorders>
                <w:vAlign w:val="center"/>
                <w:hideMark/>
              </w:tcPr>
              <w:p>
                <w:pPr>
                  <w:rPr>
                    <w:sz w:val="20"/>
                    <w:szCs w:val="24"/>
                    <w:lang w:eastAsia="lt-LT"/>
                  </w:rPr>
                </w:pP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Pastovus parametras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vertAlign w:val="superscript"/>
                    <w:lang w:eastAsia="lt-LT"/>
                  </w:rPr>
                </w:pPr>
                <w:r>
                  <w:rPr>
                    <w:sz w:val="20"/>
                    <w:szCs w:val="24"/>
                    <w:lang w:eastAsia="lt-LT"/>
                  </w:rPr>
                  <w:t>Kintamas parametras</w:t>
                </w:r>
                <w:r>
                  <w:rPr>
                    <w:sz w:val="20"/>
                    <w:szCs w:val="24"/>
                    <w:vertAlign w:val="superscript"/>
                    <w:lang w:eastAsia="lt-LT"/>
                  </w:rPr>
                  <w:t>1</w:t>
                </w:r>
              </w:p>
            </w:tc>
            <w:tc>
              <w:tcPr>
                <w:tcW w:w="1502"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Pastovus vietinės rinkliavos dydis, Eur</w:t>
                </w:r>
              </w:p>
            </w:tc>
            <w:tc>
              <w:tcPr>
                <w:tcW w:w="1378"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Kintamas vietinės rinkliavos dydis, Eur</w:t>
                </w:r>
              </w:p>
            </w:tc>
          </w:tr>
          <w:tr>
            <w:trPr>
              <w:trHeight w:val="480"/>
            </w:trPr>
            <w:tc>
              <w:tcPr>
                <w:tcW w:w="500" w:type="dxa"/>
                <w:vMerge w:val="restart"/>
                <w:tcBorders>
                  <w:top w:val="nil"/>
                  <w:left w:val="single" w:sz="4" w:space="0" w:color="auto"/>
                  <w:bottom w:val="single" w:sz="4" w:space="0" w:color="000000"/>
                  <w:right w:val="single" w:sz="4" w:space="0" w:color="auto"/>
                </w:tcBorders>
                <w:shd w:val="clear" w:color="auto" w:fill="auto"/>
                <w:noWrap/>
                <w:vAlign w:val="center"/>
                <w:hideMark/>
              </w:tcPr>
              <w:p>
                <w:pPr>
                  <w:jc w:val="center"/>
                  <w:rPr>
                    <w:sz w:val="20"/>
                    <w:szCs w:val="24"/>
                    <w:lang w:eastAsia="lt-LT"/>
                  </w:rPr>
                </w:pPr>
                <w:r>
                  <w:rPr>
                    <w:sz w:val="20"/>
                    <w:szCs w:val="24"/>
                    <w:lang w:eastAsia="lt-LT"/>
                  </w:rPr>
                  <w:t>1.</w:t>
                </w:r>
              </w:p>
            </w:tc>
            <w:tc>
              <w:tcPr>
                <w:tcW w:w="1920" w:type="dxa"/>
                <w:tcBorders>
                  <w:top w:val="nil"/>
                  <w:left w:val="nil"/>
                  <w:bottom w:val="single" w:sz="4" w:space="0" w:color="auto"/>
                  <w:right w:val="single" w:sz="4" w:space="0" w:color="auto"/>
                </w:tcBorders>
                <w:shd w:val="clear" w:color="auto" w:fill="auto"/>
                <w:vAlign w:val="center"/>
                <w:hideMark/>
              </w:tcPr>
              <w:p>
                <w:pPr>
                  <w:rPr>
                    <w:sz w:val="20"/>
                    <w:szCs w:val="24"/>
                    <w:lang w:eastAsia="lt-LT"/>
                  </w:rPr>
                </w:pPr>
                <w:r>
                  <w:rPr>
                    <w:sz w:val="20"/>
                    <w:szCs w:val="24"/>
                    <w:lang w:eastAsia="lt-LT"/>
                  </w:rPr>
                  <w:t>Daugiabučių gyvenamųjų namų butai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Deklaruotų gyventojų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Deklaruotų gyventojų skaičius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trike/>
                    <w:sz w:val="20"/>
                    <w:szCs w:val="24"/>
                    <w:lang w:eastAsia="lt-LT"/>
                  </w:rPr>
                  <w:t>21,00</w:t>
                </w:r>
                <w:r>
                  <w:rPr>
                    <w:sz w:val="20"/>
                    <w:szCs w:val="24"/>
                    <w:lang w:eastAsia="lt-LT"/>
                  </w:rPr>
                  <w:t xml:space="preserve"> 29,52</w:t>
                </w:r>
              </w:p>
            </w:tc>
            <w:tc>
              <w:tcPr>
                <w:tcW w:w="1378" w:type="dxa"/>
                <w:tcBorders>
                  <w:top w:val="nil"/>
                  <w:left w:val="nil"/>
                  <w:bottom w:val="single" w:sz="4" w:space="0" w:color="auto"/>
                  <w:right w:val="single" w:sz="4" w:space="0" w:color="auto"/>
                </w:tcBorders>
                <w:shd w:val="clear" w:color="auto" w:fill="auto"/>
                <w:noWrap/>
                <w:vAlign w:val="center"/>
              </w:tcPr>
              <w:p>
                <w:pPr>
                  <w:jc w:val="center"/>
                  <w:rPr>
                    <w:sz w:val="20"/>
                    <w:szCs w:val="24"/>
                    <w:lang w:eastAsia="lt-LT"/>
                  </w:rPr>
                </w:pPr>
                <w:r>
                  <w:rPr>
                    <w:strike/>
                    <w:sz w:val="20"/>
                    <w:szCs w:val="24"/>
                    <w:lang w:eastAsia="lt-LT"/>
                  </w:rPr>
                  <w:t>9,00</w:t>
                </w:r>
                <w:r>
                  <w:rPr>
                    <w:sz w:val="20"/>
                    <w:szCs w:val="24"/>
                    <w:lang w:eastAsia="lt-LT"/>
                  </w:rPr>
                  <w:t xml:space="preserve"> 12,72</w:t>
                </w:r>
              </w:p>
            </w:tc>
          </w:tr>
          <w:tr>
            <w:trPr>
              <w:trHeight w:val="720"/>
            </w:trPr>
            <w:tc>
              <w:tcPr>
                <w:tcW w:w="500"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920" w:type="dxa"/>
                <w:vMerge w:val="restart"/>
                <w:tcBorders>
                  <w:top w:val="nil"/>
                  <w:left w:val="single" w:sz="4" w:space="0" w:color="auto"/>
                  <w:bottom w:val="single" w:sz="4" w:space="0" w:color="000000"/>
                  <w:right w:val="single" w:sz="4" w:space="0" w:color="auto"/>
                </w:tcBorders>
                <w:shd w:val="clear" w:color="auto" w:fill="auto"/>
                <w:vAlign w:val="center"/>
                <w:hideMark/>
              </w:tcPr>
              <w:p>
                <w:pPr>
                  <w:jc w:val="center"/>
                  <w:rPr>
                    <w:sz w:val="20"/>
                    <w:szCs w:val="24"/>
                    <w:lang w:eastAsia="lt-LT"/>
                  </w:rPr>
                </w:pPr>
                <w:r>
                  <w:rPr>
                    <w:sz w:val="20"/>
                    <w:szCs w:val="24"/>
                    <w:lang w:eastAsia="lt-LT"/>
                  </w:rPr>
                  <w:t>Individualūs gyvenamieji namai</w:t>
                </w:r>
              </w:p>
            </w:tc>
            <w:tc>
              <w:tcPr>
                <w:tcW w:w="2683" w:type="dxa"/>
                <w:vMerge w:val="restart"/>
                <w:tcBorders>
                  <w:top w:val="nil"/>
                  <w:left w:val="single" w:sz="4" w:space="0" w:color="auto"/>
                  <w:bottom w:val="single" w:sz="4" w:space="0" w:color="000000"/>
                  <w:right w:val="single" w:sz="4" w:space="0" w:color="auto"/>
                </w:tcBorders>
                <w:shd w:val="clear" w:color="auto" w:fill="auto"/>
                <w:vAlign w:val="center"/>
                <w:hideMark/>
              </w:tcPr>
              <w:p>
                <w:pPr>
                  <w:jc w:val="center"/>
                  <w:rPr>
                    <w:sz w:val="20"/>
                    <w:szCs w:val="24"/>
                    <w:lang w:eastAsia="lt-LT"/>
                  </w:rPr>
                </w:pPr>
                <w:r>
                  <w:rPr>
                    <w:sz w:val="20"/>
                    <w:szCs w:val="24"/>
                    <w:lang w:eastAsia="lt-LT"/>
                  </w:rPr>
                  <w:t>Deklaruotų gyventojų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0,12 m</w:t>
                </w:r>
                <w:r>
                  <w:rPr>
                    <w:sz w:val="20"/>
                    <w:szCs w:val="24"/>
                    <w:vertAlign w:val="superscript"/>
                    <w:lang w:eastAsia="lt-LT"/>
                  </w:rPr>
                  <w:t>3</w:t>
                </w:r>
                <w:r>
                  <w:rPr>
                    <w:sz w:val="20"/>
                    <w:szCs w:val="24"/>
                    <w:lang w:eastAsia="lt-LT"/>
                  </w:rPr>
                  <w:t xml:space="preserve"> konteinerio ištuštinimas</w:t>
                </w:r>
              </w:p>
            </w:tc>
            <w:tc>
              <w:tcPr>
                <w:tcW w:w="1502" w:type="dxa"/>
                <w:tcBorders>
                  <w:top w:val="nil"/>
                  <w:left w:val="nil"/>
                  <w:bottom w:val="single" w:sz="4" w:space="0" w:color="auto"/>
                  <w:right w:val="single" w:sz="4" w:space="0" w:color="auto"/>
                </w:tcBorders>
                <w:shd w:val="clear" w:color="auto" w:fill="auto"/>
                <w:vAlign w:val="center"/>
              </w:tcPr>
              <w:p>
                <w:pPr>
                  <w:ind w:firstLine="53"/>
                  <w:jc w:val="right"/>
                  <w:rPr>
                    <w:sz w:val="20"/>
                    <w:szCs w:val="24"/>
                    <w:lang w:eastAsia="lt-LT"/>
                  </w:rPr>
                </w:pPr>
                <w:r>
                  <w:rPr>
                    <w:strike/>
                    <w:sz w:val="20"/>
                    <w:szCs w:val="24"/>
                    <w:lang w:eastAsia="lt-LT"/>
                  </w:rPr>
                  <w:t>21,00</w:t>
                </w:r>
                <w:r>
                  <w:rPr>
                    <w:sz w:val="20"/>
                    <w:szCs w:val="24"/>
                    <w:lang w:eastAsia="lt-LT"/>
                  </w:rPr>
                  <w:t xml:space="preserve"> 29,52</w:t>
                </w:r>
              </w:p>
            </w:tc>
            <w:tc>
              <w:tcPr>
                <w:tcW w:w="1378" w:type="dxa"/>
                <w:tcBorders>
                  <w:top w:val="nil"/>
                  <w:left w:val="nil"/>
                  <w:bottom w:val="single" w:sz="4" w:space="0" w:color="auto"/>
                  <w:right w:val="single" w:sz="4" w:space="0" w:color="auto"/>
                </w:tcBorders>
                <w:shd w:val="clear" w:color="auto" w:fill="auto"/>
                <w:vAlign w:val="center"/>
              </w:tcPr>
              <w:p>
                <w:pPr>
                  <w:jc w:val="right"/>
                  <w:rPr>
                    <w:sz w:val="20"/>
                    <w:szCs w:val="24"/>
                    <w:lang w:eastAsia="lt-LT"/>
                  </w:rPr>
                </w:pPr>
                <w:r>
                  <w:rPr>
                    <w:strike/>
                    <w:sz w:val="20"/>
                    <w:szCs w:val="24"/>
                    <w:lang w:eastAsia="lt-LT"/>
                  </w:rPr>
                  <w:t>0,70</w:t>
                </w:r>
                <w:r>
                  <w:rPr>
                    <w:sz w:val="20"/>
                    <w:szCs w:val="24"/>
                    <w:lang w:eastAsia="lt-LT"/>
                  </w:rPr>
                  <w:t xml:space="preserve"> 1,00</w:t>
                </w:r>
              </w:p>
            </w:tc>
          </w:tr>
          <w:tr>
            <w:trPr>
              <w:trHeight w:val="720"/>
            </w:trPr>
            <w:tc>
              <w:tcPr>
                <w:tcW w:w="500"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920"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2683"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0,24 m</w:t>
                </w:r>
                <w:r>
                  <w:rPr>
                    <w:sz w:val="20"/>
                    <w:szCs w:val="24"/>
                    <w:vertAlign w:val="superscript"/>
                    <w:lang w:eastAsia="lt-LT"/>
                  </w:rPr>
                  <w:t>3</w:t>
                </w:r>
                <w:r>
                  <w:rPr>
                    <w:sz w:val="20"/>
                    <w:szCs w:val="24"/>
                    <w:lang w:eastAsia="lt-LT"/>
                  </w:rPr>
                  <w:t xml:space="preserve"> konteinerio ištuštinimas</w:t>
                </w:r>
              </w:p>
            </w:tc>
            <w:tc>
              <w:tcPr>
                <w:tcW w:w="1502" w:type="dxa"/>
                <w:tcBorders>
                  <w:top w:val="nil"/>
                  <w:left w:val="nil"/>
                  <w:bottom w:val="single" w:sz="4" w:space="0" w:color="auto"/>
                  <w:right w:val="single" w:sz="4" w:space="0" w:color="auto"/>
                </w:tcBorders>
                <w:shd w:val="clear" w:color="auto" w:fill="auto"/>
                <w:vAlign w:val="center"/>
              </w:tcPr>
              <w:p>
                <w:pPr>
                  <w:ind w:firstLine="53"/>
                  <w:jc w:val="right"/>
                  <w:rPr>
                    <w:sz w:val="20"/>
                    <w:szCs w:val="24"/>
                    <w:lang w:eastAsia="lt-LT"/>
                  </w:rPr>
                </w:pPr>
                <w:r>
                  <w:rPr>
                    <w:strike/>
                    <w:sz w:val="20"/>
                    <w:szCs w:val="24"/>
                    <w:lang w:eastAsia="lt-LT"/>
                  </w:rPr>
                  <w:t>21,00</w:t>
                </w:r>
                <w:r>
                  <w:rPr>
                    <w:sz w:val="20"/>
                    <w:szCs w:val="24"/>
                    <w:lang w:eastAsia="lt-LT"/>
                  </w:rPr>
                  <w:t xml:space="preserve"> 29,52</w:t>
                </w:r>
              </w:p>
            </w:tc>
            <w:tc>
              <w:tcPr>
                <w:tcW w:w="1378" w:type="dxa"/>
                <w:tcBorders>
                  <w:top w:val="nil"/>
                  <w:left w:val="nil"/>
                  <w:bottom w:val="single" w:sz="4" w:space="0" w:color="auto"/>
                  <w:right w:val="single" w:sz="4" w:space="0" w:color="auto"/>
                </w:tcBorders>
                <w:shd w:val="clear" w:color="auto" w:fill="auto"/>
                <w:vAlign w:val="center"/>
              </w:tcPr>
              <w:p>
                <w:pPr>
                  <w:jc w:val="right"/>
                  <w:rPr>
                    <w:sz w:val="20"/>
                    <w:szCs w:val="24"/>
                    <w:lang w:eastAsia="lt-LT"/>
                  </w:rPr>
                </w:pPr>
                <w:r>
                  <w:rPr>
                    <w:strike/>
                    <w:sz w:val="20"/>
                    <w:szCs w:val="24"/>
                    <w:lang w:eastAsia="lt-LT"/>
                  </w:rPr>
                  <w:t>1,40</w:t>
                </w:r>
                <w:r>
                  <w:rPr>
                    <w:sz w:val="20"/>
                    <w:szCs w:val="24"/>
                    <w:lang w:eastAsia="lt-LT"/>
                  </w:rPr>
                  <w:t xml:space="preserve"> 2,00</w:t>
                </w:r>
              </w:p>
            </w:tc>
          </w:tr>
          <w:tr>
            <w:trPr>
              <w:trHeight w:val="480"/>
            </w:trPr>
            <w:tc>
              <w:tcPr>
                <w:tcW w:w="500"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920"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2683"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1,1 m</w:t>
                </w:r>
                <w:r>
                  <w:rPr>
                    <w:sz w:val="20"/>
                    <w:szCs w:val="24"/>
                    <w:vertAlign w:val="superscript"/>
                    <w:lang w:eastAsia="lt-LT"/>
                  </w:rPr>
                  <w:t>3</w:t>
                </w:r>
                <w:r>
                  <w:rPr>
                    <w:sz w:val="20"/>
                    <w:szCs w:val="24"/>
                    <w:lang w:eastAsia="lt-LT"/>
                  </w:rPr>
                  <w:t xml:space="preserve"> konteinerio ištuštinimas</w:t>
                </w:r>
              </w:p>
            </w:tc>
            <w:tc>
              <w:tcPr>
                <w:tcW w:w="1502" w:type="dxa"/>
                <w:tcBorders>
                  <w:top w:val="nil"/>
                  <w:left w:val="nil"/>
                  <w:bottom w:val="single" w:sz="4" w:space="0" w:color="auto"/>
                  <w:right w:val="single" w:sz="4" w:space="0" w:color="auto"/>
                </w:tcBorders>
                <w:shd w:val="clear" w:color="auto" w:fill="auto"/>
                <w:vAlign w:val="center"/>
              </w:tcPr>
              <w:p>
                <w:pPr>
                  <w:ind w:firstLine="53"/>
                  <w:jc w:val="right"/>
                  <w:rPr>
                    <w:sz w:val="20"/>
                    <w:szCs w:val="24"/>
                    <w:lang w:eastAsia="lt-LT"/>
                  </w:rPr>
                </w:pPr>
                <w:r>
                  <w:rPr>
                    <w:strike/>
                    <w:sz w:val="20"/>
                    <w:szCs w:val="24"/>
                    <w:lang w:eastAsia="lt-LT"/>
                  </w:rPr>
                  <w:t>21,00</w:t>
                </w:r>
                <w:r>
                  <w:rPr>
                    <w:sz w:val="20"/>
                    <w:szCs w:val="24"/>
                    <w:lang w:eastAsia="lt-LT"/>
                  </w:rPr>
                  <w:t xml:space="preserve"> 29,52</w:t>
                </w:r>
              </w:p>
            </w:tc>
            <w:tc>
              <w:tcPr>
                <w:tcW w:w="1378" w:type="dxa"/>
                <w:tcBorders>
                  <w:top w:val="nil"/>
                  <w:left w:val="nil"/>
                  <w:bottom w:val="single" w:sz="4" w:space="0" w:color="auto"/>
                  <w:right w:val="single" w:sz="4" w:space="0" w:color="auto"/>
                </w:tcBorders>
                <w:shd w:val="clear" w:color="auto" w:fill="auto"/>
                <w:vAlign w:val="center"/>
              </w:tcPr>
              <w:p>
                <w:pPr>
                  <w:jc w:val="right"/>
                  <w:rPr>
                    <w:sz w:val="20"/>
                    <w:szCs w:val="24"/>
                    <w:lang w:eastAsia="lt-LT"/>
                  </w:rPr>
                </w:pPr>
                <w:r>
                  <w:rPr>
                    <w:strike/>
                    <w:sz w:val="20"/>
                    <w:szCs w:val="24"/>
                    <w:lang w:eastAsia="lt-LT"/>
                  </w:rPr>
                  <w:t>6,50</w:t>
                </w:r>
                <w:r>
                  <w:rPr>
                    <w:sz w:val="20"/>
                    <w:szCs w:val="24"/>
                    <w:lang w:eastAsia="lt-LT"/>
                  </w:rPr>
                  <w:t xml:space="preserve"> 9,24</w:t>
                </w:r>
              </w:p>
            </w:tc>
          </w:tr>
          <w:tr>
            <w:trPr>
              <w:trHeight w:val="480"/>
            </w:trPr>
            <w:tc>
              <w:tcPr>
                <w:tcW w:w="500"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920"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2683"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Deklaruotų gyventojų skaičius</w:t>
                </w:r>
              </w:p>
            </w:tc>
            <w:tc>
              <w:tcPr>
                <w:tcW w:w="1502" w:type="dxa"/>
                <w:tcBorders>
                  <w:top w:val="nil"/>
                  <w:left w:val="nil"/>
                  <w:bottom w:val="single" w:sz="4" w:space="0" w:color="auto"/>
                  <w:right w:val="single" w:sz="4" w:space="0" w:color="auto"/>
                </w:tcBorders>
                <w:shd w:val="clear" w:color="auto" w:fill="auto"/>
                <w:vAlign w:val="center"/>
              </w:tcPr>
              <w:p>
                <w:pPr>
                  <w:ind w:firstLine="53"/>
                  <w:jc w:val="right"/>
                  <w:rPr>
                    <w:sz w:val="20"/>
                    <w:szCs w:val="24"/>
                    <w:lang w:eastAsia="lt-LT"/>
                  </w:rPr>
                </w:pPr>
                <w:r>
                  <w:rPr>
                    <w:strike/>
                    <w:sz w:val="20"/>
                    <w:szCs w:val="24"/>
                    <w:lang w:eastAsia="lt-LT"/>
                  </w:rPr>
                  <w:t>21,00</w:t>
                </w:r>
                <w:r>
                  <w:rPr>
                    <w:sz w:val="20"/>
                    <w:szCs w:val="24"/>
                    <w:lang w:eastAsia="lt-LT"/>
                  </w:rPr>
                  <w:t xml:space="preserve"> 29,52</w:t>
                </w:r>
              </w:p>
            </w:tc>
            <w:tc>
              <w:tcPr>
                <w:tcW w:w="1378" w:type="dxa"/>
                <w:tcBorders>
                  <w:top w:val="nil"/>
                  <w:left w:val="nil"/>
                  <w:bottom w:val="single" w:sz="4" w:space="0" w:color="auto"/>
                  <w:right w:val="single" w:sz="4" w:space="0" w:color="auto"/>
                </w:tcBorders>
                <w:shd w:val="clear" w:color="auto" w:fill="auto"/>
                <w:vAlign w:val="center"/>
              </w:tcPr>
              <w:p>
                <w:pPr>
                  <w:jc w:val="right"/>
                  <w:rPr>
                    <w:sz w:val="20"/>
                    <w:szCs w:val="24"/>
                    <w:lang w:eastAsia="lt-LT"/>
                  </w:rPr>
                </w:pPr>
                <w:r>
                  <w:rPr>
                    <w:strike/>
                    <w:sz w:val="20"/>
                    <w:szCs w:val="24"/>
                    <w:lang w:eastAsia="lt-LT"/>
                  </w:rPr>
                  <w:t>9,00</w:t>
                </w:r>
                <w:r>
                  <w:rPr>
                    <w:sz w:val="20"/>
                    <w:szCs w:val="24"/>
                    <w:lang w:eastAsia="lt-LT"/>
                  </w:rPr>
                  <w:t xml:space="preserve"> 12,72</w:t>
                </w:r>
              </w:p>
            </w:tc>
          </w:tr>
          <w:tr>
            <w:trPr>
              <w:trHeight w:val="1440"/>
            </w:trPr>
            <w:tc>
              <w:tcPr>
                <w:tcW w:w="500" w:type="dxa"/>
                <w:tcBorders>
                  <w:top w:val="nil"/>
                  <w:left w:val="single" w:sz="4" w:space="0" w:color="auto"/>
                  <w:bottom w:val="nil"/>
                  <w:right w:val="single" w:sz="4" w:space="0" w:color="auto"/>
                </w:tcBorders>
                <w:shd w:val="clear" w:color="auto" w:fill="auto"/>
                <w:vAlign w:val="center"/>
                <w:hideMark/>
              </w:tcPr>
              <w:p>
                <w:pPr>
                  <w:jc w:val="center"/>
                  <w:rPr>
                    <w:sz w:val="20"/>
                    <w:szCs w:val="24"/>
                    <w:lang w:eastAsia="lt-LT"/>
                  </w:rPr>
                </w:pPr>
                <w:r>
                  <w:rPr>
                    <w:sz w:val="20"/>
                    <w:szCs w:val="24"/>
                    <w:lang w:eastAsia="lt-LT"/>
                  </w:rPr>
                  <w:t>2.</w:t>
                </w:r>
              </w:p>
            </w:tc>
            <w:tc>
              <w:tcPr>
                <w:tcW w:w="1920" w:type="dxa"/>
                <w:tcBorders>
                  <w:top w:val="nil"/>
                  <w:left w:val="nil"/>
                  <w:bottom w:val="nil"/>
                  <w:right w:val="single" w:sz="4" w:space="0" w:color="auto"/>
                </w:tcBorders>
                <w:shd w:val="clear" w:color="000000" w:fill="FFFFFF"/>
                <w:vAlign w:val="center"/>
                <w:hideMark/>
              </w:tcPr>
              <w:p>
                <w:pPr>
                  <w:rPr>
                    <w:sz w:val="20"/>
                    <w:szCs w:val="24"/>
                    <w:lang w:eastAsia="lt-LT"/>
                  </w:rPr>
                </w:pPr>
                <w:r>
                  <w:rPr>
                    <w:sz w:val="20"/>
                    <w:szCs w:val="24"/>
                    <w:lang w:eastAsia="lt-LT"/>
                  </w:rPr>
                  <w:t>Prekybiniai ir daugiafunkciniai kompleksai, prekybos centrai, parduotuvės (didmeninės ir mažmeninės), kioskai, turgavietės</w:t>
                </w:r>
              </w:p>
            </w:tc>
            <w:tc>
              <w:tcPr>
                <w:tcW w:w="2683" w:type="dxa"/>
                <w:tcBorders>
                  <w:top w:val="nil"/>
                  <w:left w:val="nil"/>
                  <w:bottom w:val="nil"/>
                  <w:right w:val="single" w:sz="4" w:space="0" w:color="auto"/>
                </w:tcBorders>
                <w:shd w:val="clear" w:color="auto" w:fill="auto"/>
                <w:hideMark/>
              </w:tcPr>
              <w:p>
                <w:pPr>
                  <w:jc w:val="center"/>
                  <w:rPr>
                    <w:sz w:val="20"/>
                    <w:szCs w:val="24"/>
                    <w:lang w:eastAsia="lt-LT"/>
                  </w:rPr>
                </w:pPr>
                <w:r>
                  <w:rPr>
                    <w:sz w:val="20"/>
                    <w:szCs w:val="24"/>
                  </w:rPr>
                  <w:t>Darbuotojų skaičius</w:t>
                </w:r>
              </w:p>
            </w:tc>
            <w:tc>
              <w:tcPr>
                <w:tcW w:w="1617" w:type="dxa"/>
                <w:tcBorders>
                  <w:top w:val="nil"/>
                  <w:left w:val="nil"/>
                  <w:bottom w:val="nil"/>
                  <w:right w:val="single" w:sz="4" w:space="0" w:color="auto"/>
                </w:tcBorders>
                <w:shd w:val="clear" w:color="auto" w:fill="auto"/>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vAlign w:val="center"/>
              </w:tcPr>
              <w:p>
                <w:pPr>
                  <w:ind w:left="-30" w:firstLine="106"/>
                  <w:jc w:val="right"/>
                  <w:rPr>
                    <w:rFonts w:ascii="Calibri" w:hAnsi="Calibri" w:cs="Calibri"/>
                    <w:sz w:val="18"/>
                    <w:szCs w:val="18"/>
                  </w:rPr>
                </w:pPr>
                <w:r>
                  <w:rPr>
                    <w:strike/>
                    <w:sz w:val="20"/>
                  </w:rPr>
                  <w:t>41,52</w:t>
                </w:r>
                <w:r>
                  <w:rPr>
                    <w:rFonts w:ascii="Calibri" w:hAnsi="Calibri" w:cs="Calibri"/>
                    <w:sz w:val="18"/>
                    <w:szCs w:val="18"/>
                  </w:rPr>
                  <w:t xml:space="preserve">  58</w:t>
                </w:r>
                <w:r>
                  <w:rPr>
                    <w:sz w:val="20"/>
                    <w:szCs w:val="24"/>
                    <w:lang w:eastAsia="lt-LT"/>
                  </w:rPr>
                  <w:t>,44</w:t>
                </w:r>
              </w:p>
            </w:tc>
            <w:tc>
              <w:tcPr>
                <w:tcW w:w="1378" w:type="dxa"/>
                <w:tcBorders>
                  <w:top w:val="nil"/>
                  <w:left w:val="nil"/>
                  <w:bottom w:val="single" w:sz="4" w:space="0" w:color="auto"/>
                  <w:right w:val="single" w:sz="4" w:space="0" w:color="auto"/>
                </w:tcBorders>
                <w:shd w:val="clear" w:color="auto" w:fill="auto"/>
                <w:vAlign w:val="center"/>
              </w:tcPr>
              <w:p>
                <w:pPr>
                  <w:ind w:firstLine="53"/>
                  <w:jc w:val="right"/>
                  <w:rPr>
                    <w:strike/>
                    <w:sz w:val="20"/>
                    <w:szCs w:val="24"/>
                    <w:lang w:eastAsia="lt-LT"/>
                  </w:rPr>
                </w:pPr>
                <w:r>
                  <w:rPr>
                    <w:strike/>
                    <w:sz w:val="20"/>
                    <w:szCs w:val="24"/>
                    <w:lang w:eastAsia="lt-LT"/>
                  </w:rPr>
                  <w:t>17,76</w:t>
                </w:r>
                <w:r>
                  <w:rPr>
                    <w:sz w:val="20"/>
                    <w:szCs w:val="24"/>
                    <w:lang w:eastAsia="lt-LT"/>
                  </w:rPr>
                  <w:t xml:space="preserve"> 24,96</w:t>
                </w:r>
              </w:p>
            </w:tc>
          </w:tr>
          <w:tr>
            <w:trPr>
              <w:trHeight w:val="480"/>
            </w:trPr>
            <w:tc>
              <w:tcPr>
                <w:tcW w:w="500"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3.</w:t>
                </w:r>
              </w:p>
            </w:tc>
            <w:tc>
              <w:tcPr>
                <w:tcW w:w="1920" w:type="dxa"/>
                <w:tcBorders>
                  <w:top w:val="single" w:sz="4" w:space="0" w:color="auto"/>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Viešojo maitinimo objektai</w:t>
                </w:r>
              </w:p>
            </w:tc>
            <w:tc>
              <w:tcPr>
                <w:tcW w:w="2683" w:type="dxa"/>
                <w:tcBorders>
                  <w:top w:val="single" w:sz="4" w:space="0" w:color="auto"/>
                  <w:left w:val="nil"/>
                  <w:bottom w:val="single" w:sz="4" w:space="0" w:color="auto"/>
                  <w:right w:val="single" w:sz="4" w:space="0" w:color="auto"/>
                </w:tcBorders>
                <w:shd w:val="clear" w:color="auto" w:fill="auto"/>
                <w:hideMark/>
              </w:tcPr>
              <w:p>
                <w:pPr>
                  <w:jc w:val="center"/>
                  <w:rPr>
                    <w:sz w:val="20"/>
                    <w:szCs w:val="24"/>
                    <w:lang w:eastAsia="lt-LT"/>
                  </w:rPr>
                </w:pPr>
                <w:r>
                  <w:rPr>
                    <w:sz w:val="20"/>
                    <w:szCs w:val="24"/>
                  </w:rPr>
                  <w:t>Darbuotojų skaičius</w:t>
                </w:r>
              </w:p>
            </w:tc>
            <w:tc>
              <w:tcPr>
                <w:tcW w:w="1617" w:type="dxa"/>
                <w:tcBorders>
                  <w:top w:val="single" w:sz="4" w:space="0" w:color="auto"/>
                  <w:left w:val="nil"/>
                  <w:bottom w:val="single" w:sz="4" w:space="0" w:color="auto"/>
                  <w:right w:val="single" w:sz="4" w:space="0" w:color="auto"/>
                </w:tcBorders>
                <w:shd w:val="clear" w:color="auto" w:fill="auto"/>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trike/>
                    <w:sz w:val="20"/>
                  </w:rPr>
                  <w:t>41,52</w:t>
                </w:r>
                <w:r>
                  <w:rPr>
                    <w:rFonts w:ascii="Calibri" w:hAnsi="Calibri" w:cs="Calibri"/>
                    <w:sz w:val="18"/>
                    <w:szCs w:val="18"/>
                  </w:rPr>
                  <w:t xml:space="preserve"> 58</w:t>
                </w:r>
                <w:r>
                  <w:rPr>
                    <w:sz w:val="20"/>
                    <w:szCs w:val="24"/>
                    <w:lang w:eastAsia="lt-LT"/>
                  </w:rPr>
                  <w:t>,44</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trike/>
                    <w:sz w:val="20"/>
                    <w:szCs w:val="24"/>
                    <w:lang w:eastAsia="lt-LT"/>
                  </w:rPr>
                  <w:t>17,76</w:t>
                </w:r>
                <w:r>
                  <w:rPr>
                    <w:sz w:val="20"/>
                    <w:szCs w:val="24"/>
                    <w:lang w:eastAsia="lt-LT"/>
                  </w:rPr>
                  <w:t xml:space="preserve"> 24,96</w:t>
                </w:r>
              </w:p>
            </w:tc>
          </w:tr>
          <w:tr>
            <w:trPr>
              <w:trHeight w:val="720"/>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4.</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Gydyklos (ligoninės, klinikos, slaugos namai, sanatorijos), globos namai</w:t>
                </w:r>
              </w:p>
            </w:tc>
            <w:tc>
              <w:tcPr>
                <w:tcW w:w="2683" w:type="dxa"/>
                <w:tcBorders>
                  <w:top w:val="nil"/>
                  <w:left w:val="nil"/>
                  <w:bottom w:val="single" w:sz="4" w:space="0" w:color="auto"/>
                  <w:right w:val="single" w:sz="4" w:space="0" w:color="auto"/>
                </w:tcBorders>
                <w:shd w:val="clear" w:color="auto" w:fill="auto"/>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right"/>
                  <w:rPr>
                    <w:strike/>
                    <w:sz w:val="20"/>
                    <w:szCs w:val="24"/>
                    <w:lang w:eastAsia="lt-LT"/>
                  </w:rPr>
                </w:pPr>
                <w:r>
                  <w:rPr>
                    <w:strike/>
                    <w:sz w:val="20"/>
                    <w:szCs w:val="24"/>
                  </w:rPr>
                  <w:t>11,64</w:t>
                </w:r>
                <w:r>
                  <w:rPr>
                    <w:sz w:val="20"/>
                    <w:szCs w:val="24"/>
                  </w:rPr>
                  <w:t xml:space="preserve"> 16,32</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trike/>
                    <w:sz w:val="20"/>
                    <w:szCs w:val="24"/>
                  </w:rPr>
                  <w:t>5,04</w:t>
                </w:r>
                <w:r>
                  <w:rPr>
                    <w:sz w:val="20"/>
                    <w:szCs w:val="24"/>
                  </w:rPr>
                  <w:t xml:space="preserve"> 7,08</w:t>
                </w:r>
              </w:p>
            </w:tc>
          </w:tr>
          <w:tr>
            <w:trPr>
              <w:trHeight w:val="480"/>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5.</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Mokymo įstaigų bendrabučiai, internatinės mokyklos</w:t>
                </w:r>
              </w:p>
            </w:tc>
            <w:tc>
              <w:tcPr>
                <w:tcW w:w="2683" w:type="dxa"/>
                <w:tcBorders>
                  <w:top w:val="nil"/>
                  <w:left w:val="nil"/>
                  <w:bottom w:val="single" w:sz="4" w:space="0" w:color="auto"/>
                  <w:right w:val="single" w:sz="4" w:space="0" w:color="auto"/>
                </w:tcBorders>
                <w:shd w:val="clear" w:color="auto" w:fill="auto"/>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right"/>
                  <w:rPr>
                    <w:strike/>
                    <w:sz w:val="20"/>
                    <w:szCs w:val="24"/>
                    <w:lang w:eastAsia="lt-LT"/>
                  </w:rPr>
                </w:pPr>
                <w:r>
                  <w:rPr>
                    <w:strike/>
                    <w:sz w:val="20"/>
                    <w:szCs w:val="24"/>
                  </w:rPr>
                  <w:t>41,64</w:t>
                </w:r>
                <w:r>
                  <w:rPr>
                    <w:sz w:val="20"/>
                    <w:szCs w:val="24"/>
                  </w:rPr>
                  <w:t xml:space="preserve"> 58,56</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trike/>
                    <w:sz w:val="20"/>
                    <w:szCs w:val="24"/>
                  </w:rPr>
                  <w:t>17,88</w:t>
                </w:r>
                <w:r>
                  <w:rPr>
                    <w:sz w:val="20"/>
                    <w:szCs w:val="24"/>
                  </w:rPr>
                  <w:t xml:space="preserve"> 25,20</w:t>
                </w:r>
                <w:r>
                  <w:rPr>
                    <w:strike/>
                    <w:sz w:val="20"/>
                    <w:szCs w:val="24"/>
                  </w:rPr>
                  <w:t xml:space="preserve"> </w:t>
                </w:r>
              </w:p>
            </w:tc>
          </w:tr>
          <w:tr>
            <w:trPr>
              <w:trHeight w:val="515"/>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6.</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Gamybos, pramonės, statybos</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trike/>
                    <w:sz w:val="20"/>
                    <w:szCs w:val="24"/>
                  </w:rPr>
                  <w:t>11,64</w:t>
                </w:r>
                <w:r>
                  <w:rPr>
                    <w:sz w:val="20"/>
                    <w:szCs w:val="24"/>
                  </w:rPr>
                  <w:t xml:space="preserve"> 16,32</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trike/>
                    <w:sz w:val="20"/>
                    <w:szCs w:val="24"/>
                  </w:rPr>
                  <w:t>5,04</w:t>
                </w:r>
                <w:r>
                  <w:rPr>
                    <w:sz w:val="20"/>
                    <w:szCs w:val="24"/>
                  </w:rPr>
                  <w:t xml:space="preserve"> 7,08</w:t>
                </w:r>
              </w:p>
            </w:tc>
          </w:tr>
          <w:tr>
            <w:trPr>
              <w:trHeight w:val="551"/>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7.</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Paslaugų įmonės</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trike/>
                    <w:sz w:val="20"/>
                    <w:szCs w:val="24"/>
                  </w:rPr>
                  <w:t>11,64</w:t>
                </w:r>
                <w:r>
                  <w:rPr>
                    <w:sz w:val="20"/>
                    <w:szCs w:val="24"/>
                  </w:rPr>
                  <w:t xml:space="preserve"> 16,32</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trike/>
                    <w:sz w:val="20"/>
                    <w:szCs w:val="24"/>
                  </w:rPr>
                  <w:t>5,04</w:t>
                </w:r>
                <w:r>
                  <w:rPr>
                    <w:sz w:val="20"/>
                    <w:szCs w:val="24"/>
                  </w:rPr>
                  <w:t xml:space="preserve"> 7,08</w:t>
                </w:r>
              </w:p>
            </w:tc>
          </w:tr>
          <w:tr>
            <w:trPr>
              <w:trHeight w:val="559"/>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8.</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Administravimo įmonės</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trike/>
                    <w:sz w:val="20"/>
                    <w:szCs w:val="24"/>
                  </w:rPr>
                  <w:t>11,64</w:t>
                </w:r>
                <w:r>
                  <w:rPr>
                    <w:sz w:val="20"/>
                    <w:szCs w:val="24"/>
                  </w:rPr>
                  <w:t xml:space="preserve"> 16,32</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trike/>
                    <w:sz w:val="20"/>
                    <w:szCs w:val="24"/>
                  </w:rPr>
                  <w:t>5,04</w:t>
                </w:r>
                <w:r>
                  <w:rPr>
                    <w:sz w:val="20"/>
                    <w:szCs w:val="24"/>
                  </w:rPr>
                  <w:t xml:space="preserve"> 7,08</w:t>
                </w:r>
              </w:p>
            </w:tc>
          </w:tr>
          <w:tr>
            <w:trPr>
              <w:trHeight w:val="516"/>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9.</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Kultūros įstaigos</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trike/>
                    <w:sz w:val="20"/>
                    <w:szCs w:val="24"/>
                  </w:rPr>
                  <w:t>11,64</w:t>
                </w:r>
                <w:r>
                  <w:rPr>
                    <w:sz w:val="20"/>
                    <w:szCs w:val="24"/>
                  </w:rPr>
                  <w:t xml:space="preserve"> 16,32</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trike/>
                    <w:sz w:val="20"/>
                    <w:szCs w:val="24"/>
                  </w:rPr>
                  <w:t>5,04</w:t>
                </w:r>
                <w:r>
                  <w:rPr>
                    <w:sz w:val="20"/>
                    <w:szCs w:val="24"/>
                  </w:rPr>
                  <w:t xml:space="preserve"> 7,08</w:t>
                </w:r>
              </w:p>
            </w:tc>
          </w:tr>
          <w:tr>
            <w:trPr>
              <w:trHeight w:val="720"/>
            </w:trPr>
            <w:tc>
              <w:tcPr>
                <w:tcW w:w="500"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10.</w:t>
                </w:r>
              </w:p>
            </w:tc>
            <w:tc>
              <w:tcPr>
                <w:tcW w:w="1920" w:type="dxa"/>
                <w:tcBorders>
                  <w:top w:val="single" w:sz="4" w:space="0" w:color="auto"/>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Transporto įmonės</w:t>
                </w:r>
              </w:p>
            </w:tc>
            <w:tc>
              <w:tcPr>
                <w:tcW w:w="2683" w:type="dxa"/>
                <w:tcBorders>
                  <w:top w:val="single" w:sz="4" w:space="0" w:color="auto"/>
                  <w:left w:val="nil"/>
                  <w:bottom w:val="single" w:sz="4" w:space="0" w:color="auto"/>
                  <w:right w:val="single" w:sz="4" w:space="0" w:color="auto"/>
                </w:tcBorders>
                <w:shd w:val="clear" w:color="auto" w:fill="auto"/>
                <w:hideMark/>
              </w:tcPr>
              <w:p>
                <w:pPr>
                  <w:jc w:val="center"/>
                  <w:rPr>
                    <w:sz w:val="20"/>
                    <w:szCs w:val="24"/>
                    <w:lang w:eastAsia="lt-LT"/>
                  </w:rPr>
                </w:pPr>
                <w:r>
                  <w:rPr>
                    <w:sz w:val="20"/>
                    <w:szCs w:val="24"/>
                  </w:rPr>
                  <w:t>Darbuotojų skaičius</w:t>
                </w:r>
              </w:p>
            </w:tc>
            <w:tc>
              <w:tcPr>
                <w:tcW w:w="1617" w:type="dxa"/>
                <w:tcBorders>
                  <w:top w:val="single" w:sz="4" w:space="0" w:color="auto"/>
                  <w:left w:val="nil"/>
                  <w:bottom w:val="single" w:sz="4" w:space="0" w:color="auto"/>
                  <w:right w:val="single" w:sz="4" w:space="0" w:color="auto"/>
                </w:tcBorders>
                <w:shd w:val="clear" w:color="auto" w:fill="auto"/>
                <w:hideMark/>
              </w:tcPr>
              <w:p>
                <w:pPr>
                  <w:jc w:val="center"/>
                  <w:rPr>
                    <w:sz w:val="20"/>
                    <w:szCs w:val="24"/>
                    <w:lang w:eastAsia="lt-LT"/>
                  </w:rPr>
                </w:pPr>
                <w:r>
                  <w:rPr>
                    <w:sz w:val="20"/>
                    <w:szCs w:val="24"/>
                  </w:rPr>
                  <w:t>Darbuotojų skaičius</w:t>
                </w:r>
              </w:p>
            </w:tc>
            <w:tc>
              <w:tcPr>
                <w:tcW w:w="1502" w:type="dxa"/>
                <w:tcBorders>
                  <w:top w:val="single" w:sz="4" w:space="0" w:color="auto"/>
                  <w:left w:val="nil"/>
                  <w:bottom w:val="single" w:sz="4" w:space="0" w:color="auto"/>
                  <w:right w:val="single" w:sz="4" w:space="0" w:color="auto"/>
                </w:tcBorders>
                <w:shd w:val="clear" w:color="auto" w:fill="auto"/>
                <w:noWrap/>
                <w:vAlign w:val="center"/>
              </w:tcPr>
              <w:p>
                <w:pPr>
                  <w:jc w:val="right"/>
                  <w:rPr>
                    <w:strike/>
                    <w:sz w:val="20"/>
                    <w:szCs w:val="24"/>
                    <w:lang w:eastAsia="lt-LT"/>
                  </w:rPr>
                </w:pPr>
                <w:r>
                  <w:rPr>
                    <w:strike/>
                    <w:sz w:val="20"/>
                    <w:szCs w:val="24"/>
                  </w:rPr>
                  <w:t>11,64</w:t>
                </w:r>
                <w:r>
                  <w:rPr>
                    <w:sz w:val="20"/>
                    <w:szCs w:val="24"/>
                  </w:rPr>
                  <w:t xml:space="preserve"> 16,32</w:t>
                </w:r>
              </w:p>
            </w:tc>
            <w:tc>
              <w:tcPr>
                <w:tcW w:w="1378" w:type="dxa"/>
                <w:tcBorders>
                  <w:top w:val="single" w:sz="4" w:space="0" w:color="auto"/>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trike/>
                    <w:sz w:val="20"/>
                    <w:szCs w:val="24"/>
                  </w:rPr>
                  <w:t>5,04</w:t>
                </w:r>
                <w:r>
                  <w:rPr>
                    <w:sz w:val="20"/>
                    <w:szCs w:val="24"/>
                  </w:rPr>
                  <w:t xml:space="preserve"> 7,08</w:t>
                </w:r>
              </w:p>
            </w:tc>
          </w:tr>
          <w:tr>
            <w:trPr>
              <w:trHeight w:val="697"/>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11.</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Gyvulininkystės, žemės ūkio įmonės</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trike/>
                    <w:sz w:val="20"/>
                    <w:szCs w:val="24"/>
                  </w:rPr>
                  <w:t>11,64</w:t>
                </w:r>
                <w:r>
                  <w:rPr>
                    <w:sz w:val="20"/>
                    <w:szCs w:val="24"/>
                  </w:rPr>
                  <w:t xml:space="preserve"> 16,32</w:t>
                </w:r>
              </w:p>
            </w:tc>
            <w:tc>
              <w:tcPr>
                <w:tcW w:w="1378" w:type="dxa"/>
                <w:tcBorders>
                  <w:top w:val="nil"/>
                  <w:left w:val="nil"/>
                  <w:bottom w:val="single" w:sz="4" w:space="0" w:color="auto"/>
                  <w:right w:val="single" w:sz="4" w:space="0" w:color="auto"/>
                </w:tcBorders>
                <w:shd w:val="clear" w:color="auto" w:fill="auto"/>
                <w:noWrap/>
                <w:vAlign w:val="center"/>
              </w:tcPr>
              <w:p>
                <w:pPr>
                  <w:ind w:firstLine="106"/>
                  <w:jc w:val="right"/>
                  <w:rPr>
                    <w:strike/>
                    <w:sz w:val="20"/>
                    <w:szCs w:val="24"/>
                    <w:lang w:eastAsia="lt-LT"/>
                  </w:rPr>
                </w:pPr>
                <w:r>
                  <w:rPr>
                    <w:strike/>
                    <w:sz w:val="20"/>
                    <w:szCs w:val="24"/>
                  </w:rPr>
                  <w:t>5,04</w:t>
                </w:r>
                <w:r>
                  <w:rPr>
                    <w:sz w:val="20"/>
                    <w:szCs w:val="24"/>
                  </w:rPr>
                  <w:t xml:space="preserve"> 7,08</w:t>
                </w:r>
              </w:p>
            </w:tc>
          </w:tr>
          <w:tr>
            <w:trPr>
              <w:trHeight w:val="720"/>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12.</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 xml:space="preserve">Kiti subjektai: fiziniai ir juridiniai asmenys, kurie nepriskirti šios  lentelės kitoms eilutėms, taip pat fiziniai asmenys, kuriems išduotas verslo liudijimas ir/arba individualios veiklos pažyma, ūkininkai, bei asmenys, nuolat veikiantys Radviliškio rajone pagal jiems suteiktas licencijas ir leidimus (notarų biurai, advokatų, antstolių kontoros, jų padaliniai ir pan.)</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 vienas fizinis asmuo</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 vienas fizinis asmuo</w:t>
                </w:r>
              </w:p>
            </w:tc>
            <w:tc>
              <w:tcPr>
                <w:tcW w:w="1502" w:type="dxa"/>
                <w:tcBorders>
                  <w:top w:val="nil"/>
                  <w:left w:val="nil"/>
                  <w:bottom w:val="single" w:sz="4" w:space="0" w:color="auto"/>
                  <w:right w:val="single" w:sz="4" w:space="0" w:color="auto"/>
                </w:tcBorders>
                <w:shd w:val="clear" w:color="auto" w:fill="auto"/>
                <w:noWrap/>
                <w:vAlign w:val="center"/>
              </w:tcPr>
              <w:p>
                <w:pPr>
                  <w:jc w:val="right"/>
                  <w:rPr>
                    <w:sz w:val="20"/>
                    <w:szCs w:val="24"/>
                    <w:lang w:eastAsia="lt-LT"/>
                  </w:rPr>
                </w:pPr>
                <w:r>
                  <w:rPr>
                    <w:strike/>
                    <w:sz w:val="20"/>
                    <w:szCs w:val="24"/>
                  </w:rPr>
                  <w:t>11,64</w:t>
                </w:r>
                <w:r>
                  <w:rPr>
                    <w:sz w:val="20"/>
                    <w:szCs w:val="24"/>
                  </w:rPr>
                  <w:t xml:space="preserve"> 16,32</w:t>
                </w:r>
              </w:p>
            </w:tc>
            <w:tc>
              <w:tcPr>
                <w:tcW w:w="1378" w:type="dxa"/>
                <w:tcBorders>
                  <w:top w:val="nil"/>
                  <w:left w:val="nil"/>
                  <w:bottom w:val="single" w:sz="4" w:space="0" w:color="auto"/>
                  <w:right w:val="single" w:sz="4" w:space="0" w:color="auto"/>
                </w:tcBorders>
                <w:shd w:val="clear" w:color="auto" w:fill="auto"/>
                <w:noWrap/>
                <w:vAlign w:val="center"/>
              </w:tcPr>
              <w:p>
                <w:pPr>
                  <w:ind w:firstLine="106"/>
                  <w:jc w:val="right"/>
                  <w:rPr>
                    <w:strike/>
                    <w:sz w:val="20"/>
                    <w:szCs w:val="24"/>
                    <w:lang w:eastAsia="lt-LT"/>
                  </w:rPr>
                </w:pPr>
                <w:r>
                  <w:rPr>
                    <w:strike/>
                    <w:sz w:val="20"/>
                    <w:szCs w:val="24"/>
                  </w:rPr>
                  <w:t>5,04</w:t>
                </w:r>
                <w:r>
                  <w:rPr>
                    <w:sz w:val="20"/>
                    <w:szCs w:val="24"/>
                  </w:rPr>
                  <w:t xml:space="preserve"> 7,08</w:t>
                </w:r>
              </w:p>
            </w:tc>
          </w:tr>
          <w:tr>
            <w:trPr>
              <w:trHeight w:val="539"/>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13.</w:t>
                </w:r>
              </w:p>
            </w:tc>
            <w:tc>
              <w:tcPr>
                <w:tcW w:w="1920" w:type="dxa"/>
                <w:tcBorders>
                  <w:top w:val="nil"/>
                  <w:left w:val="nil"/>
                  <w:bottom w:val="single" w:sz="4" w:space="0" w:color="auto"/>
                  <w:right w:val="single" w:sz="4" w:space="0" w:color="auto"/>
                </w:tcBorders>
                <w:shd w:val="clear" w:color="000000" w:fill="FFFFFF"/>
                <w:vAlign w:val="center"/>
              </w:tcPr>
              <w:p>
                <w:pPr>
                  <w:rPr>
                    <w:sz w:val="20"/>
                    <w:szCs w:val="24"/>
                    <w:lang w:eastAsia="lt-LT"/>
                  </w:rPr>
                </w:pPr>
                <w:r>
                  <w:rPr>
                    <w:sz w:val="20"/>
                    <w:szCs w:val="24"/>
                    <w:lang w:eastAsia="lt-LT"/>
                  </w:rPr>
                  <w:t>Garažų boksų savininkai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Boksų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Boksų skaičius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trike/>
                    <w:color w:val="000000"/>
                    <w:sz w:val="20"/>
                    <w:szCs w:val="24"/>
                  </w:rPr>
                  <w:t>4,44</w:t>
                </w:r>
                <w:r>
                  <w:rPr>
                    <w:color w:val="000000"/>
                    <w:sz w:val="20"/>
                    <w:szCs w:val="24"/>
                  </w:rPr>
                  <w:t xml:space="preserve"> </w:t>
                </w:r>
                <w:r>
                  <w:rPr>
                    <w:sz w:val="20"/>
                    <w:szCs w:val="24"/>
                  </w:rPr>
                  <w:t>6,24</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trike/>
                    <w:sz w:val="20"/>
                    <w:szCs w:val="24"/>
                  </w:rPr>
                  <w:t>1,92</w:t>
                </w:r>
                <w:r>
                  <w:rPr>
                    <w:sz w:val="20"/>
                    <w:szCs w:val="24"/>
                  </w:rPr>
                  <w:t xml:space="preserve"> 2,76</w:t>
                </w:r>
                <w:r>
                  <w:rPr>
                    <w:strike/>
                    <w:sz w:val="20"/>
                    <w:szCs w:val="24"/>
                  </w:rPr>
                  <w:t xml:space="preserve"> </w:t>
                </w:r>
              </w:p>
            </w:tc>
          </w:tr>
          <w:tr>
            <w:trPr>
              <w:trHeight w:val="547"/>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14.</w:t>
                </w:r>
              </w:p>
            </w:tc>
            <w:tc>
              <w:tcPr>
                <w:tcW w:w="1920" w:type="dxa"/>
                <w:tcBorders>
                  <w:top w:val="nil"/>
                  <w:left w:val="nil"/>
                  <w:bottom w:val="single" w:sz="4" w:space="0" w:color="auto"/>
                  <w:right w:val="single" w:sz="4" w:space="0" w:color="auto"/>
                </w:tcBorders>
                <w:shd w:val="clear" w:color="000000" w:fill="FFFFFF"/>
                <w:vAlign w:val="center"/>
              </w:tcPr>
              <w:p>
                <w:pPr>
                  <w:rPr>
                    <w:sz w:val="20"/>
                    <w:szCs w:val="24"/>
                    <w:lang w:eastAsia="lt-LT"/>
                  </w:rPr>
                </w:pPr>
                <w:r>
                  <w:rPr>
                    <w:sz w:val="20"/>
                    <w:szCs w:val="24"/>
                    <w:lang w:eastAsia="lt-LT"/>
                  </w:rPr>
                  <w:t>Sodo sklypų savininkai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Valda, sodo sklypas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Valda, sodo sklypas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trike/>
                    <w:sz w:val="20"/>
                    <w:szCs w:val="24"/>
                  </w:rPr>
                  <w:t>13,20</w:t>
                </w:r>
                <w:r>
                  <w:rPr>
                    <w:sz w:val="20"/>
                    <w:szCs w:val="24"/>
                  </w:rPr>
                  <w:t xml:space="preserve"> 18,60</w:t>
                </w:r>
              </w:p>
            </w:tc>
            <w:tc>
              <w:tcPr>
                <w:tcW w:w="1378" w:type="dxa"/>
                <w:tcBorders>
                  <w:top w:val="nil"/>
                  <w:left w:val="nil"/>
                  <w:bottom w:val="single" w:sz="4" w:space="0" w:color="auto"/>
                  <w:right w:val="single" w:sz="4" w:space="0" w:color="auto"/>
                </w:tcBorders>
                <w:shd w:val="clear" w:color="auto" w:fill="auto"/>
                <w:noWrap/>
                <w:vAlign w:val="center"/>
              </w:tcPr>
              <w:p>
                <w:pPr>
                  <w:ind w:firstLine="106"/>
                  <w:jc w:val="right"/>
                  <w:rPr>
                    <w:strike/>
                    <w:sz w:val="20"/>
                    <w:szCs w:val="24"/>
                    <w:lang w:eastAsia="lt-LT"/>
                  </w:rPr>
                </w:pPr>
                <w:r>
                  <w:rPr>
                    <w:strike/>
                    <w:sz w:val="20"/>
                    <w:szCs w:val="24"/>
                  </w:rPr>
                  <w:t>5,04</w:t>
                </w:r>
                <w:r>
                  <w:rPr>
                    <w:sz w:val="20"/>
                    <w:szCs w:val="24"/>
                  </w:rPr>
                  <w:t xml:space="preserve"> 7,08</w:t>
                </w:r>
                <w:r>
                  <w:rPr>
                    <w:strike/>
                    <w:sz w:val="20"/>
                    <w:szCs w:val="24"/>
                  </w:rPr>
                  <w:t xml:space="preserve">  </w:t>
                </w:r>
              </w:p>
            </w:tc>
          </w:tr>
          <w:tr>
            <w:trPr>
              <w:trHeight w:val="569"/>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15.</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Viešbučiai, moteliai, svečių namai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right"/>
                  <w:rPr>
                    <w:sz w:val="20"/>
                    <w:szCs w:val="24"/>
                    <w:lang w:eastAsia="lt-LT"/>
                  </w:rPr>
                </w:pPr>
                <w:r>
                  <w:rPr>
                    <w:strike/>
                    <w:sz w:val="20"/>
                    <w:szCs w:val="24"/>
                  </w:rPr>
                  <w:t>11,64</w:t>
                </w:r>
                <w:r>
                  <w:rPr>
                    <w:sz w:val="20"/>
                    <w:szCs w:val="24"/>
                  </w:rPr>
                  <w:t xml:space="preserve"> 16,32</w:t>
                </w:r>
              </w:p>
            </w:tc>
            <w:tc>
              <w:tcPr>
                <w:tcW w:w="1378" w:type="dxa"/>
                <w:tcBorders>
                  <w:top w:val="nil"/>
                  <w:left w:val="nil"/>
                  <w:bottom w:val="single" w:sz="4" w:space="0" w:color="auto"/>
                  <w:right w:val="single" w:sz="4" w:space="0" w:color="auto"/>
                </w:tcBorders>
                <w:shd w:val="clear" w:color="auto" w:fill="auto"/>
                <w:noWrap/>
                <w:vAlign w:val="center"/>
              </w:tcPr>
              <w:p>
                <w:pPr>
                  <w:ind w:firstLine="106"/>
                  <w:jc w:val="right"/>
                  <w:rPr>
                    <w:strike/>
                    <w:sz w:val="20"/>
                    <w:szCs w:val="24"/>
                    <w:lang w:eastAsia="lt-LT"/>
                  </w:rPr>
                </w:pPr>
                <w:r>
                  <w:rPr>
                    <w:strike/>
                    <w:sz w:val="20"/>
                    <w:szCs w:val="24"/>
                  </w:rPr>
                  <w:t>5,04</w:t>
                </w:r>
                <w:r>
                  <w:rPr>
                    <w:sz w:val="20"/>
                    <w:szCs w:val="24"/>
                  </w:rPr>
                  <w:t xml:space="preserve"> 7,08</w:t>
                </w:r>
                <w:r>
                  <w:rPr>
                    <w:strike/>
                    <w:sz w:val="20"/>
                    <w:szCs w:val="24"/>
                  </w:rPr>
                  <w:t xml:space="preserve"> </w:t>
                </w:r>
              </w:p>
            </w:tc>
          </w:tr>
          <w:tr>
            <w:trPr>
              <w:trHeight w:val="720"/>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16.</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Mokslo ir švietimo įstaigos, vaikų darželiai ir lopšeliai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right"/>
                  <w:rPr>
                    <w:sz w:val="20"/>
                    <w:szCs w:val="24"/>
                    <w:lang w:eastAsia="lt-LT"/>
                  </w:rPr>
                </w:pPr>
                <w:r>
                  <w:rPr>
                    <w:strike/>
                    <w:sz w:val="20"/>
                    <w:szCs w:val="24"/>
                  </w:rPr>
                  <w:t>10,44</w:t>
                </w:r>
                <w:r>
                  <w:rPr>
                    <w:sz w:val="20"/>
                    <w:szCs w:val="24"/>
                  </w:rPr>
                  <w:t xml:space="preserve"> </w:t>
                </w:r>
                <w:r>
                  <w:rPr>
                    <w:color w:val="000000"/>
                    <w:sz w:val="20"/>
                    <w:szCs w:val="24"/>
                  </w:rPr>
                  <w:t>14,64</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trike/>
                    <w:sz w:val="20"/>
                    <w:szCs w:val="24"/>
                  </w:rPr>
                  <w:t>4,44</w:t>
                </w:r>
                <w:r>
                  <w:rPr>
                    <w:sz w:val="20"/>
                    <w:szCs w:val="24"/>
                  </w:rPr>
                  <w:t xml:space="preserve"> 6,24</w:t>
                </w:r>
              </w:p>
            </w:tc>
          </w:tr>
          <w:tr>
            <w:trPr>
              <w:trHeight w:val="240"/>
            </w:trPr>
            <w:tc>
              <w:tcPr>
                <w:tcW w:w="500" w:type="dxa"/>
                <w:tcBorders>
                  <w:top w:val="nil"/>
                  <w:left w:val="single" w:sz="4" w:space="0" w:color="auto"/>
                  <w:bottom w:val="single" w:sz="4" w:space="0" w:color="auto"/>
                  <w:right w:val="single" w:sz="4" w:space="0" w:color="auto"/>
                </w:tcBorders>
                <w:shd w:val="clear" w:color="auto" w:fill="auto"/>
                <w:vAlign w:val="center"/>
              </w:tcPr>
              <w:p>
                <w:pPr>
                  <w:jc w:val="center"/>
                  <w:rPr>
                    <w:sz w:val="20"/>
                    <w:szCs w:val="24"/>
                    <w:lang w:eastAsia="lt-LT"/>
                  </w:rPr>
                </w:pPr>
                <w:r>
                  <w:rPr>
                    <w:sz w:val="20"/>
                    <w:szCs w:val="24"/>
                    <w:lang w:eastAsia="lt-LT"/>
                  </w:rPr>
                  <w:t>17.</w:t>
                </w:r>
              </w:p>
            </w:tc>
            <w:tc>
              <w:tcPr>
                <w:tcW w:w="1920" w:type="dxa"/>
                <w:tcBorders>
                  <w:top w:val="nil"/>
                  <w:left w:val="nil"/>
                  <w:bottom w:val="single" w:sz="4" w:space="0" w:color="auto"/>
                  <w:right w:val="single" w:sz="4" w:space="0" w:color="auto"/>
                </w:tcBorders>
                <w:shd w:val="clear" w:color="000000" w:fill="FFFFFF"/>
                <w:vAlign w:val="center"/>
              </w:tcPr>
              <w:p>
                <w:pPr>
                  <w:rPr>
                    <w:sz w:val="20"/>
                    <w:szCs w:val="24"/>
                    <w:lang w:eastAsia="lt-LT"/>
                  </w:rPr>
                </w:pPr>
                <w:r>
                  <w:rPr>
                    <w:sz w:val="20"/>
                    <w:szCs w:val="24"/>
                    <w:lang w:eastAsia="lt-LT"/>
                  </w:rPr>
                  <w:t>Seniūnijų veikiančios kapinės</w:t>
                </w:r>
              </w:p>
            </w:tc>
            <w:tc>
              <w:tcPr>
                <w:tcW w:w="2683" w:type="dxa"/>
                <w:tcBorders>
                  <w:top w:val="nil"/>
                  <w:left w:val="nil"/>
                  <w:bottom w:val="single" w:sz="4" w:space="0" w:color="auto"/>
                  <w:right w:val="single" w:sz="4" w:space="0" w:color="auto"/>
                </w:tcBorders>
                <w:shd w:val="clear" w:color="auto" w:fill="auto"/>
                <w:vAlign w:val="center"/>
              </w:tcPr>
              <w:p>
                <w:pPr>
                  <w:jc w:val="center"/>
                  <w:rPr>
                    <w:sz w:val="20"/>
                    <w:szCs w:val="24"/>
                    <w:lang w:eastAsia="lt-LT"/>
                  </w:rPr>
                </w:pPr>
              </w:p>
            </w:tc>
            <w:tc>
              <w:tcPr>
                <w:tcW w:w="1617" w:type="dxa"/>
                <w:tcBorders>
                  <w:top w:val="nil"/>
                  <w:left w:val="nil"/>
                  <w:bottom w:val="single" w:sz="4" w:space="0" w:color="auto"/>
                  <w:right w:val="single" w:sz="4" w:space="0" w:color="auto"/>
                </w:tcBorders>
                <w:shd w:val="clear" w:color="auto" w:fill="auto"/>
                <w:vAlign w:val="center"/>
              </w:tcPr>
              <w:p>
                <w:pPr>
                  <w:jc w:val="center"/>
                  <w:rPr>
                    <w:sz w:val="20"/>
                    <w:szCs w:val="24"/>
                    <w:lang w:eastAsia="lt-LT"/>
                  </w:rPr>
                </w:pPr>
              </w:p>
            </w:tc>
            <w:tc>
              <w:tcPr>
                <w:tcW w:w="1502" w:type="dxa"/>
                <w:tcBorders>
                  <w:top w:val="nil"/>
                  <w:left w:val="nil"/>
                  <w:bottom w:val="single" w:sz="4" w:space="0" w:color="auto"/>
                  <w:right w:val="single" w:sz="4" w:space="0" w:color="auto"/>
                </w:tcBorders>
                <w:shd w:val="clear" w:color="auto" w:fill="auto"/>
                <w:noWrap/>
                <w:vAlign w:val="center"/>
              </w:tcPr>
              <w:p>
                <w:pPr>
                  <w:jc w:val="right"/>
                  <w:rPr>
                    <w:strike/>
                    <w:sz w:val="20"/>
                    <w:szCs w:val="24"/>
                    <w:lang w:eastAsia="lt-LT"/>
                  </w:rPr>
                </w:pPr>
              </w:p>
            </w:tc>
            <w:tc>
              <w:tcPr>
                <w:tcW w:w="1378" w:type="dxa"/>
                <w:tcBorders>
                  <w:top w:val="nil"/>
                  <w:left w:val="nil"/>
                  <w:bottom w:val="single" w:sz="4" w:space="0" w:color="auto"/>
                  <w:right w:val="single" w:sz="4" w:space="0" w:color="auto"/>
                </w:tcBorders>
                <w:shd w:val="clear" w:color="auto" w:fill="auto"/>
                <w:noWrap/>
                <w:vAlign w:val="center"/>
              </w:tcPr>
              <w:p>
                <w:pPr>
                  <w:jc w:val="right"/>
                  <w:rPr>
                    <w:strike/>
                    <w:sz w:val="20"/>
                    <w:szCs w:val="24"/>
                    <w:lang w:eastAsia="lt-LT"/>
                  </w:rPr>
                </w:pPr>
              </w:p>
            </w:tc>
          </w:tr>
          <w:tr>
            <w:trPr>
              <w:trHeight w:val="240"/>
            </w:trPr>
            <w:tc>
              <w:tcPr>
                <w:tcW w:w="500" w:type="dxa"/>
                <w:tcBorders>
                  <w:top w:val="nil"/>
                  <w:left w:val="single" w:sz="4" w:space="0" w:color="auto"/>
                  <w:bottom w:val="single" w:sz="4" w:space="0" w:color="auto"/>
                  <w:right w:val="single" w:sz="4" w:space="0" w:color="auto"/>
                </w:tcBorders>
                <w:shd w:val="clear" w:color="auto" w:fill="auto"/>
                <w:vAlign w:val="center"/>
              </w:tcPr>
              <w:p>
                <w:pPr>
                  <w:jc w:val="center"/>
                  <w:rPr>
                    <w:sz w:val="20"/>
                    <w:szCs w:val="24"/>
                    <w:lang w:eastAsia="lt-LT"/>
                  </w:rPr>
                </w:pPr>
              </w:p>
            </w:tc>
            <w:tc>
              <w:tcPr>
                <w:tcW w:w="1920" w:type="dxa"/>
                <w:tcBorders>
                  <w:top w:val="single" w:sz="4" w:space="0" w:color="auto"/>
                  <w:left w:val="single" w:sz="4" w:space="0" w:color="auto"/>
                  <w:bottom w:val="single" w:sz="4" w:space="0" w:color="auto"/>
                  <w:right w:val="single" w:sz="4" w:space="0" w:color="auto"/>
                </w:tcBorders>
                <w:shd w:val="clear" w:color="auto" w:fill="auto"/>
                <w:vAlign w:val="center"/>
              </w:tcPr>
              <w:p>
                <w:pPr>
                  <w:jc w:val="right"/>
                  <w:rPr>
                    <w:sz w:val="20"/>
                    <w:szCs w:val="24"/>
                    <w:lang w:eastAsia="lt-LT"/>
                  </w:rPr>
                </w:pPr>
                <w:r>
                  <w:rPr>
                    <w:i/>
                    <w:iCs/>
                    <w:sz w:val="20"/>
                    <w:szCs w:val="24"/>
                  </w:rPr>
                  <w:t>iki 1 ha ploto</w:t>
                </w:r>
              </w:p>
            </w:tc>
            <w:tc>
              <w:tcPr>
                <w:tcW w:w="2683" w:type="dxa"/>
                <w:tcBorders>
                  <w:top w:val="nil"/>
                  <w:left w:val="nil"/>
                  <w:bottom w:val="single" w:sz="4" w:space="0" w:color="auto"/>
                  <w:right w:val="single" w:sz="4" w:space="0" w:color="auto"/>
                </w:tcBorders>
                <w:shd w:val="clear" w:color="auto" w:fill="auto"/>
                <w:vAlign w:val="center"/>
              </w:tcPr>
              <w:p>
                <w:pPr>
                  <w:jc w:val="center"/>
                  <w:rPr>
                    <w:sz w:val="20"/>
                    <w:szCs w:val="24"/>
                    <w:lang w:eastAsia="lt-LT"/>
                  </w:rPr>
                </w:pPr>
                <w:r>
                  <w:rPr>
                    <w:sz w:val="20"/>
                    <w:szCs w:val="24"/>
                  </w:rPr>
                  <w:t>Vnt.</w:t>
                </w:r>
              </w:p>
            </w:tc>
            <w:tc>
              <w:tcPr>
                <w:tcW w:w="1617" w:type="dxa"/>
                <w:tcBorders>
                  <w:top w:val="nil"/>
                  <w:left w:val="nil"/>
                  <w:bottom w:val="single" w:sz="4" w:space="0" w:color="auto"/>
                  <w:right w:val="single" w:sz="4" w:space="0" w:color="auto"/>
                </w:tcBorders>
                <w:shd w:val="clear" w:color="auto" w:fill="auto"/>
                <w:vAlign w:val="center"/>
              </w:tcPr>
              <w:p>
                <w:pPr>
                  <w:jc w:val="center"/>
                  <w:rPr>
                    <w:sz w:val="20"/>
                    <w:szCs w:val="24"/>
                    <w:lang w:eastAsia="lt-LT"/>
                  </w:rPr>
                </w:pPr>
                <w:r>
                  <w:rPr>
                    <w:sz w:val="20"/>
                    <w:szCs w:val="24"/>
                  </w:rPr>
                  <w:t>Vnt.</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trike/>
                    <w:sz w:val="20"/>
                    <w:szCs w:val="24"/>
                  </w:rPr>
                  <w:t>278,52</w:t>
                </w:r>
                <w:r>
                  <w:rPr>
                    <w:sz w:val="20"/>
                    <w:szCs w:val="24"/>
                  </w:rPr>
                  <w:t xml:space="preserve"> 391,80</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trike/>
                    <w:sz w:val="20"/>
                    <w:szCs w:val="24"/>
                  </w:rPr>
                  <w:t>119,40</w:t>
                </w:r>
                <w:r>
                  <w:rPr>
                    <w:sz w:val="20"/>
                    <w:szCs w:val="24"/>
                  </w:rPr>
                  <w:t xml:space="preserve"> 168,00</w:t>
                </w:r>
                <w:r>
                  <w:rPr>
                    <w:strike/>
                    <w:sz w:val="20"/>
                    <w:szCs w:val="24"/>
                  </w:rPr>
                  <w:t xml:space="preserve"> </w:t>
                </w:r>
              </w:p>
            </w:tc>
          </w:tr>
          <w:tr>
            <w:trPr>
              <w:trHeight w:val="240"/>
            </w:trPr>
            <w:tc>
              <w:tcPr>
                <w:tcW w:w="500" w:type="dxa"/>
                <w:tcBorders>
                  <w:top w:val="nil"/>
                  <w:left w:val="single" w:sz="4" w:space="0" w:color="auto"/>
                  <w:bottom w:val="single" w:sz="4" w:space="0" w:color="auto"/>
                  <w:right w:val="single" w:sz="4" w:space="0" w:color="auto"/>
                </w:tcBorders>
                <w:shd w:val="clear" w:color="auto" w:fill="auto"/>
                <w:vAlign w:val="center"/>
              </w:tcPr>
              <w:p>
                <w:pPr>
                  <w:jc w:val="center"/>
                  <w:rPr>
                    <w:sz w:val="20"/>
                    <w:szCs w:val="24"/>
                    <w:lang w:eastAsia="lt-LT"/>
                  </w:rPr>
                </w:pPr>
              </w:p>
            </w:tc>
            <w:tc>
              <w:tcPr>
                <w:tcW w:w="1920" w:type="dxa"/>
                <w:tcBorders>
                  <w:top w:val="nil"/>
                  <w:left w:val="single" w:sz="4" w:space="0" w:color="auto"/>
                  <w:bottom w:val="single" w:sz="4" w:space="0" w:color="auto"/>
                  <w:right w:val="single" w:sz="4" w:space="0" w:color="auto"/>
                </w:tcBorders>
                <w:shd w:val="clear" w:color="auto" w:fill="auto"/>
                <w:vAlign w:val="center"/>
              </w:tcPr>
              <w:p>
                <w:pPr>
                  <w:jc w:val="right"/>
                  <w:rPr>
                    <w:sz w:val="20"/>
                    <w:szCs w:val="24"/>
                    <w:lang w:eastAsia="lt-LT"/>
                  </w:rPr>
                </w:pPr>
                <w:r>
                  <w:rPr>
                    <w:i/>
                    <w:iCs/>
                    <w:sz w:val="20"/>
                    <w:szCs w:val="24"/>
                  </w:rPr>
                  <w:t>nuo 1,01 ha iki 3 ha ploto</w:t>
                </w:r>
              </w:p>
            </w:tc>
            <w:tc>
              <w:tcPr>
                <w:tcW w:w="2683" w:type="dxa"/>
                <w:tcBorders>
                  <w:top w:val="nil"/>
                  <w:left w:val="nil"/>
                  <w:bottom w:val="single" w:sz="4" w:space="0" w:color="auto"/>
                  <w:right w:val="single" w:sz="4" w:space="0" w:color="auto"/>
                </w:tcBorders>
                <w:shd w:val="clear" w:color="auto" w:fill="auto"/>
                <w:vAlign w:val="center"/>
              </w:tcPr>
              <w:p>
                <w:pPr>
                  <w:jc w:val="center"/>
                  <w:rPr>
                    <w:sz w:val="20"/>
                    <w:szCs w:val="24"/>
                    <w:lang w:eastAsia="lt-LT"/>
                  </w:rPr>
                </w:pPr>
                <w:r>
                  <w:rPr>
                    <w:sz w:val="20"/>
                    <w:szCs w:val="24"/>
                  </w:rPr>
                  <w:t>Vnt.</w:t>
                </w:r>
              </w:p>
            </w:tc>
            <w:tc>
              <w:tcPr>
                <w:tcW w:w="1617" w:type="dxa"/>
                <w:tcBorders>
                  <w:top w:val="nil"/>
                  <w:left w:val="nil"/>
                  <w:bottom w:val="single" w:sz="4" w:space="0" w:color="auto"/>
                  <w:right w:val="single" w:sz="4" w:space="0" w:color="auto"/>
                </w:tcBorders>
                <w:shd w:val="clear" w:color="auto" w:fill="auto"/>
                <w:vAlign w:val="center"/>
              </w:tcPr>
              <w:p>
                <w:pPr>
                  <w:jc w:val="center"/>
                  <w:rPr>
                    <w:sz w:val="20"/>
                    <w:szCs w:val="24"/>
                    <w:lang w:eastAsia="lt-LT"/>
                  </w:rPr>
                </w:pPr>
                <w:r>
                  <w:rPr>
                    <w:sz w:val="20"/>
                    <w:szCs w:val="24"/>
                  </w:rPr>
                  <w:t>Vnt.</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trike/>
                    <w:sz w:val="20"/>
                    <w:szCs w:val="24"/>
                  </w:rPr>
                  <w:t>1995,00</w:t>
                </w:r>
                <w:r>
                  <w:rPr>
                    <w:sz w:val="20"/>
                    <w:szCs w:val="24"/>
                  </w:rPr>
                  <w:t xml:space="preserve"> 2808,80</w:t>
                </w:r>
              </w:p>
            </w:tc>
            <w:tc>
              <w:tcPr>
                <w:tcW w:w="1378" w:type="dxa"/>
                <w:tcBorders>
                  <w:top w:val="nil"/>
                  <w:left w:val="nil"/>
                  <w:bottom w:val="single" w:sz="4" w:space="0" w:color="auto"/>
                  <w:right w:val="single" w:sz="4" w:space="0" w:color="auto"/>
                </w:tcBorders>
                <w:shd w:val="clear" w:color="auto" w:fill="auto"/>
                <w:noWrap/>
                <w:vAlign w:val="center"/>
              </w:tcPr>
              <w:p>
                <w:pPr>
                  <w:ind w:firstLine="106"/>
                  <w:jc w:val="right"/>
                  <w:rPr>
                    <w:strike/>
                    <w:sz w:val="20"/>
                    <w:szCs w:val="24"/>
                    <w:lang w:eastAsia="lt-LT"/>
                  </w:rPr>
                </w:pPr>
                <w:r>
                  <w:rPr>
                    <w:strike/>
                    <w:sz w:val="20"/>
                    <w:szCs w:val="24"/>
                  </w:rPr>
                  <w:t>855,00</w:t>
                </w:r>
                <w:r>
                  <w:rPr>
                    <w:sz w:val="20"/>
                    <w:szCs w:val="24"/>
                  </w:rPr>
                  <w:t xml:space="preserve"> 1208,88</w:t>
                </w:r>
                <w:r>
                  <w:rPr>
                    <w:strike/>
                    <w:sz w:val="20"/>
                    <w:szCs w:val="24"/>
                  </w:rPr>
                  <w:t xml:space="preserve"> </w:t>
                </w:r>
              </w:p>
            </w:tc>
          </w:tr>
          <w:tr>
            <w:trPr>
              <w:trHeight w:val="240"/>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p>
            </w:tc>
            <w:tc>
              <w:tcPr>
                <w:tcW w:w="1920" w:type="dxa"/>
                <w:tcBorders>
                  <w:top w:val="nil"/>
                  <w:left w:val="single" w:sz="4" w:space="0" w:color="auto"/>
                  <w:bottom w:val="single" w:sz="4" w:space="0" w:color="auto"/>
                  <w:right w:val="single" w:sz="4" w:space="0" w:color="auto"/>
                </w:tcBorders>
                <w:shd w:val="clear" w:color="auto" w:fill="auto"/>
                <w:vAlign w:val="center"/>
                <w:hideMark/>
              </w:tcPr>
              <w:p>
                <w:pPr>
                  <w:jc w:val="right"/>
                  <w:rPr>
                    <w:sz w:val="20"/>
                    <w:szCs w:val="24"/>
                    <w:lang w:eastAsia="lt-LT"/>
                  </w:rPr>
                </w:pPr>
                <w:r>
                  <w:rPr>
                    <w:i/>
                    <w:iCs/>
                    <w:sz w:val="20"/>
                    <w:szCs w:val="24"/>
                  </w:rPr>
                  <w:t>Daugiau kaip 3 ha ploto</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Vnt.</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Vnt.</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trike/>
                    <w:sz w:val="20"/>
                    <w:szCs w:val="24"/>
                  </w:rPr>
                  <w:t>4987,56</w:t>
                </w:r>
                <w:r>
                  <w:rPr>
                    <w:sz w:val="20"/>
                    <w:szCs w:val="24"/>
                  </w:rPr>
                  <w:t xml:space="preserve"> 7017,00</w:t>
                </w:r>
              </w:p>
            </w:tc>
            <w:tc>
              <w:tcPr>
                <w:tcW w:w="1378" w:type="dxa"/>
                <w:tcBorders>
                  <w:top w:val="nil"/>
                  <w:left w:val="nil"/>
                  <w:bottom w:val="single" w:sz="4" w:space="0" w:color="auto"/>
                  <w:right w:val="single" w:sz="4" w:space="0" w:color="auto"/>
                </w:tcBorders>
                <w:shd w:val="clear" w:color="auto" w:fill="auto"/>
                <w:noWrap/>
                <w:vAlign w:val="center"/>
              </w:tcPr>
              <w:p>
                <w:pPr>
                  <w:ind w:firstLine="106"/>
                  <w:jc w:val="right"/>
                  <w:rPr>
                    <w:strike/>
                    <w:sz w:val="20"/>
                    <w:szCs w:val="24"/>
                    <w:lang w:eastAsia="lt-LT"/>
                  </w:rPr>
                </w:pPr>
                <w:r>
                  <w:rPr>
                    <w:strike/>
                    <w:sz w:val="20"/>
                    <w:szCs w:val="24"/>
                  </w:rPr>
                  <w:t>2137,56</w:t>
                </w:r>
                <w:r>
                  <w:rPr>
                    <w:sz w:val="20"/>
                    <w:szCs w:val="24"/>
                  </w:rPr>
                  <w:t xml:space="preserve"> 3007,32</w:t>
                </w:r>
                <w:r>
                  <w:rPr>
                    <w:strike/>
                    <w:sz w:val="20"/>
                    <w:szCs w:val="24"/>
                  </w:rPr>
                  <w:t xml:space="preserve"> </w:t>
                </w:r>
              </w:p>
            </w:tc>
          </w:tr>
        </w:tbl>
        <w:p>
          <w:pPr>
            <w:jc w:val="both"/>
            <w:rPr>
              <w:szCs w:val="24"/>
              <w:vertAlign w:val="superscript"/>
            </w:rPr>
          </w:pPr>
        </w:p>
        <w:p>
          <w:pPr>
            <w:jc w:val="both"/>
            <w:rPr>
              <w:szCs w:val="24"/>
            </w:rPr>
          </w:pPr>
          <w:r>
            <w:rPr>
              <w:szCs w:val="24"/>
              <w:vertAlign w:val="superscript"/>
            </w:rPr>
            <w:t>1</w:t>
          </w:r>
          <w:r>
            <w:rPr>
              <w:szCs w:val="24"/>
            </w:rPr>
            <w:t xml:space="preserve"> Parametras, nesusijęs su individualaus identifikuoto mišriųjų komunalinių atliekų surinkimo konteinerio ištuštinimu, taikomas tuo atveju, kai vietinės rinkliavos mokėtojas naudojasi kolektyviniais mišriųjų komunalinių atliekų surinkimo konteineriais. </w:t>
          </w:r>
        </w:p>
        <w:p>
          <w:pPr>
            <w:jc w:val="both"/>
            <w:rPr>
              <w:szCs w:val="24"/>
            </w:rPr>
          </w:pPr>
          <w:r>
            <w:rPr>
              <w:szCs w:val="24"/>
            </w:rPr>
            <w:t>Kintamoji vieno konteinerio ištuštinimo kaina apskaičiuojama pagal konteinerio tūrį, taikant įkainį 9,85 Eur už m³ Nuostatų 12.4–12.6 papunkčiuose nurodytų Vietinės rinkliavos mokėtojų grupių atliekų turėtojams, naudojantiems individualius identifikuotus mišriųjų komunalinių atliekų konteinerius.“.</w:t>
          </w:r>
        </w:p>
        <w:p>
          <w:pPr>
            <w:ind w:firstLine="851"/>
            <w:jc w:val="both"/>
            <w:rPr>
              <w:szCs w:val="24"/>
              <w:lang w:eastAsia="lt-LT"/>
            </w:rPr>
          </w:pPr>
        </w:p>
        <w:p>
          <w:pPr>
            <w:jc w:val="both"/>
            <w:rPr>
              <w:szCs w:val="24"/>
            </w:rPr>
          </w:pPr>
        </w:p>
        <w:p>
          <w:pPr>
            <w:tabs>
              <w:tab w:val="left" w:pos="6804"/>
            </w:tabs>
            <w:rPr>
              <w:szCs w:val="24"/>
            </w:rPr>
          </w:pPr>
          <w:r>
            <w:rPr>
              <w:szCs w:val="24"/>
            </w:rPr>
            <w:t xml:space="preserve">Savivaldybės meras                                                                                           Kazimieras Račkauskis</w:t>
          </w:r>
        </w:p>
        <w:p>
          <w:pPr>
            <w:jc w:val="center"/>
            <w:rPr>
              <w:b/>
              <w:szCs w:val="24"/>
            </w:rPr>
          </w:pPr>
        </w:p>
        <w:sdt>
          <w:sdtPr>
            <w:alias w:val="skirsnis"/>
            <w:tag w:val="part_60d41528a5ed49cf9835843b909ed438"/>
            <w:lock w:val="sdtLocked"/>
            <w:richText/>
          </w:sdtPr>
          <w:sdtContent>
            <w:sdt>
              <w:sdtPr>
                <w:alias w:val="Pavadinimas"/>
                <w:tag w:val="title_60d41528a5ed49cf9835843b909ed438"/>
                <w:lock w:val="sdtLocked"/>
                <w:richText/>
              </w:sdtPr>
              <w:sdtContent>
                <w:p>
                  <w:pPr>
                    <w:jc w:val="center"/>
                    <w:rPr>
                      <w:b/>
                      <w:bCs/>
                      <w:szCs w:val="24"/>
                      <w:lang w:eastAsia="hi-IN" w:bidi="hi-IN"/>
                    </w:rPr>
                  </w:pPr>
                  <w:r>
                    <w:rPr>
                      <w:b/>
                      <w:szCs w:val="24"/>
                    </w:rPr>
                    <w:t>RADVILIŠKIO RAJONO SAVIVALDYBĖS TARYBOS SPRENDIMO PROJEKTO</w:t>
                  </w:r>
                  <w:r>
                    <w:rPr>
                      <w:szCs w:val="24"/>
                    </w:rPr>
                    <w:t xml:space="preserve"> </w:t>
                  </w:r>
                </w:p>
                <w:p>
                  <w:pPr>
                    <w:ind w:right="7"/>
                    <w:jc w:val="center"/>
                    <w:rPr>
                      <w:b/>
                      <w:bCs/>
                      <w:szCs w:val="24"/>
                    </w:rPr>
                  </w:pPr>
                  <w:r>
                    <w:rPr>
                      <w:b/>
                      <w:szCs w:val="24"/>
                      <w:lang w:eastAsia="hi-IN" w:bidi="hi-IN"/>
                    </w:rPr>
                    <w:t xml:space="preserve">DĖL </w:t>
                  </w:r>
                  <w:r>
                    <w:rPr>
                      <w:b/>
                      <w:bCs/>
                      <w:szCs w:val="24"/>
                      <w:lang w:eastAsia="hi-IN" w:bidi="hi-IN"/>
                    </w:rPr>
                    <w:t>RADVILIŠKIO RAJONO SAVIVALDYBĖS TARYBOS 2017 M. BIRŽELIO 22 D. SPRENDIMO NR. T-595 „DĖL RADVILIŠKIO RAJONO SAVIVALDYBĖS VIETINĖS RINKLIAVOS UŽ KOMUNALINIŲ ATLIEKŲ SURINKIMĄ IŠ ATLIEKŲ TURĖTOJŲ IR ATLIEKŲ TVARKYMĄ DYDŽIO NUSTATYMO METODIKOS, RADVILIŠKIO RAJONO SAVIVALDYBĖS VIETINĖS RINKLIAVOS UŽ KOMUNALINIŲ ATLIEKŲ SURINKIMĄ IŠ ATLIEKŲ TURĖTOJŲ IR ATLIEKŲ TVARKYMĄ NUOSTATŲ PATVIRTINIMO“ </w:t>
                  </w:r>
                  <w:r>
                    <w:rPr>
                      <w:b/>
                      <w:bCs/>
                      <w:szCs w:val="24"/>
                    </w:rPr>
                    <w:t xml:space="preserve"> PAKEITIMO</w:t>
                  </w:r>
                </w:p>
                <w:p>
                  <w:pPr>
                    <w:jc w:val="center"/>
                    <w:rPr>
                      <w:b/>
                      <w:szCs w:val="24"/>
                    </w:rPr>
                  </w:pPr>
                  <w:r>
                    <w:rPr>
                      <w:b/>
                      <w:szCs w:val="24"/>
                    </w:rPr>
                    <w:t>AIŠKINAMASIS RAŠTAS</w:t>
                  </w:r>
                </w:p>
              </w:sdtContent>
            </w:sdt>
            <w:p>
              <w:pPr>
                <w:jc w:val="center"/>
                <w:rPr>
                  <w:szCs w:val="24"/>
                </w:rPr>
              </w:pPr>
            </w:p>
            <w:p>
              <w:pPr>
                <w:jc w:val="center"/>
                <w:rPr>
                  <w:szCs w:val="24"/>
                </w:rPr>
              </w:pPr>
              <w:r>
                <w:rPr>
                  <w:szCs w:val="24"/>
                </w:rPr>
                <w:t>2024 m. gruodžio 5 d.</w:t>
              </w:r>
            </w:p>
            <w:p>
              <w:pPr>
                <w:jc w:val="center"/>
                <w:rPr>
                  <w:szCs w:val="24"/>
                </w:rPr>
              </w:pPr>
              <w:r>
                <w:rPr>
                  <w:szCs w:val="24"/>
                </w:rPr>
                <w:t>Radviliškis</w:t>
              </w:r>
            </w:p>
            <w:p>
              <w:pPr>
                <w:jc w:val="center"/>
                <w:rPr>
                  <w:szCs w:val="24"/>
                </w:rPr>
              </w:pPr>
            </w:p>
            <w:sdt>
              <w:sdtPr>
                <w:alias w:val="1 pr. 1 p."/>
                <w:tag w:val="part_5ac864a4c66e49efa85b13bf893e3ccb"/>
                <w:lock w:val="sdtLocked"/>
                <w:richText/>
              </w:sdtPr>
              <w:sdtContent>
                <w:p>
                  <w:pPr>
                    <w:tabs>
                      <w:tab w:val="left" w:pos="993"/>
                    </w:tabs>
                    <w:spacing w:line="276" w:lineRule="auto"/>
                    <w:ind w:firstLine="709"/>
                    <w:jc w:val="both"/>
                    <w:rPr>
                      <w:lang w:bidi="he-IL"/>
                    </w:rPr>
                  </w:pPr>
                  <w:sdt>
                    <w:sdtPr>
                      <w:alias w:val="Numeris"/>
                      <w:tag w:val="nr_5ac864a4c66e49efa85b13bf893e3ccb"/>
                      <w:lock w:val="sdtLocked"/>
                      <w:richText/>
                    </w:sdtPr>
                    <w:sdtContent>
                      <w:r>
                        <w:rPr>
                          <w:b/>
                          <w:lang w:bidi="he-IL"/>
                        </w:rPr>
                        <w:t>1</w:t>
                      </w:r>
                    </w:sdtContent>
                  </w:sdt>
                  <w:r>
                    <w:rPr>
                      <w:b/>
                      <w:lang w:bidi="he-IL"/>
                    </w:rPr>
                    <w:t>.</w:t>
                    <w:tab/>
                    <w:t>Projekto rengimą paskatinusios priežastys, parengto projekto tikslai, sprendimo projekto tikslai ir uždaviniai</w:t>
                  </w:r>
                  <w:r>
                    <w:rPr>
                      <w:lang w:bidi="he-IL"/>
                    </w:rPr>
                    <w:t>.</w:t>
                  </w:r>
                </w:p>
                <w:p>
                  <w:pPr>
                    <w:tabs>
                      <w:tab w:val="left" w:pos="993"/>
                    </w:tabs>
                    <w:spacing w:line="276" w:lineRule="auto"/>
                    <w:ind w:firstLine="709"/>
                    <w:jc w:val="both"/>
                    <w:rPr>
                      <w:lang w:bidi="he-IL"/>
                    </w:rPr>
                  </w:pPr>
                  <w:r>
                    <w:rPr>
                      <w:rFonts w:cs="Tahoma"/>
                      <w:szCs w:val="24"/>
                    </w:rPr>
                    <w:t xml:space="preserve">Tikslas – įgyvendinti Lietuvos Respublikos rinkliavų įstatymo, Lietuvos Respublikos atliekų tvarkymo įstatymo ir Lietuvos Respublikos Vyriausybės nutarimu patvirtintų </w:t>
                  </w:r>
                  <w:r>
                    <w:rPr>
                      <w:szCs w:val="24"/>
                    </w:rPr>
                    <w:t xml:space="preserve">Vietinės rinkliavos ar kitos įmokos už komunalinių atliekų surinkimą iš atliekų turėtojų ir atliekų tvarkymą dydžio nustatymo </w:t>
                  </w:r>
                  <w:r>
                    <w:rPr>
                      <w:rFonts w:cs="Tahoma"/>
                      <w:szCs w:val="24"/>
                    </w:rPr>
                    <w:t xml:space="preserve">taisyklių </w:t>
                  </w:r>
                  <w:r>
                    <w:rPr>
                      <w:szCs w:val="24"/>
                    </w:rPr>
                    <w:t>nuostatas</w:t>
                  </w:r>
                  <w:r>
                    <w:rPr>
                      <w:rFonts w:cs="Tahoma"/>
                      <w:szCs w:val="24"/>
                    </w:rPr>
                    <w:t xml:space="preserve"> bei užtikrinti komunalinių atliekų tvarkymo sistemos sąnaudų padengimą.</w:t>
                  </w:r>
                </w:p>
                <w:p>
                  <w:pPr>
                    <w:ind w:firstLine="709"/>
                    <w:jc w:val="both"/>
                    <w:rPr>
                      <w:rFonts w:cs="Tahoma"/>
                      <w:szCs w:val="24"/>
                    </w:rPr>
                  </w:pPr>
                  <w:r>
                    <w:rPr>
                      <w:rFonts w:cs="Tahoma"/>
                      <w:szCs w:val="24"/>
                    </w:rPr>
                    <w:t>Uždavinys – pakeisti vietinės rinkliavos dydžius.</w:t>
                  </w:r>
                </w:p>
              </w:sdtContent>
            </w:sdt>
            <w:sdt>
              <w:sdtPr>
                <w:alias w:val="1 pr. 2 p."/>
                <w:tag w:val="part_798d32d42fe342a889bcc9b5acf2d792"/>
                <w:lock w:val="sdtLocked"/>
                <w:richText/>
              </w:sdtPr>
              <w:sdtContent>
                <w:p>
                  <w:pPr>
                    <w:tabs>
                      <w:tab w:val="left" w:pos="993"/>
                    </w:tabs>
                    <w:spacing w:line="276" w:lineRule="auto"/>
                    <w:ind w:firstLine="709"/>
                    <w:jc w:val="both"/>
                    <w:rPr>
                      <w:b/>
                      <w:bCs/>
                    </w:rPr>
                  </w:pPr>
                  <w:sdt>
                    <w:sdtPr>
                      <w:alias w:val="Numeris"/>
                      <w:tag w:val="nr_798d32d42fe342a889bcc9b5acf2d792"/>
                      <w:lock w:val="sdtLocked"/>
                      <w:richText/>
                    </w:sdtPr>
                    <w:sdtContent>
                      <w:r>
                        <w:rPr>
                          <w:b/>
                          <w:bCs/>
                        </w:rPr>
                        <w:t>2</w:t>
                      </w:r>
                    </w:sdtContent>
                  </w:sdt>
                  <w:r>
                    <w:rPr>
                      <w:b/>
                      <w:bCs/>
                    </w:rPr>
                    <w:t>.</w:t>
                    <w:tab/>
                    <w:t>Projekto iniciatoriai (institucija, asmenys ar piliečių atstovai) ir rengėjai.</w:t>
                  </w:r>
                </w:p>
                <w:p>
                  <w:pPr>
                    <w:spacing w:line="276" w:lineRule="auto"/>
                    <w:ind w:firstLine="709"/>
                    <w:jc w:val="both"/>
                  </w:pPr>
                  <w:r>
                    <w:t xml:space="preserve">Radviliškio rajono savivaldybės administracijos Statybos ir viešosios tvarkos skyrius. </w:t>
                  </w:r>
                </w:p>
              </w:sdtContent>
            </w:sdt>
            <w:sdt>
              <w:sdtPr>
                <w:alias w:val="1 pr. 3 p."/>
                <w:tag w:val="part_6cc95a4bb7c744bfb877e2ab7dec19c2"/>
                <w:lock w:val="sdtLocked"/>
                <w:richText/>
              </w:sdtPr>
              <w:sdtContent>
                <w:p>
                  <w:pPr>
                    <w:tabs>
                      <w:tab w:val="left" w:pos="993"/>
                    </w:tabs>
                    <w:spacing w:line="276" w:lineRule="auto"/>
                    <w:ind w:firstLine="709"/>
                    <w:jc w:val="both"/>
                    <w:rPr>
                      <w:b/>
                    </w:rPr>
                  </w:pPr>
                  <w:sdt>
                    <w:sdtPr>
                      <w:alias w:val="Numeris"/>
                      <w:tag w:val="nr_6cc95a4bb7c744bfb877e2ab7dec19c2"/>
                      <w:lock w:val="sdtLocked"/>
                      <w:richText/>
                    </w:sdtPr>
                    <w:sdtContent>
                      <w:r>
                        <w:rPr>
                          <w:b/>
                        </w:rPr>
                        <w:t>3</w:t>
                      </w:r>
                    </w:sdtContent>
                  </w:sdt>
                  <w:r>
                    <w:rPr>
                      <w:b/>
                    </w:rPr>
                    <w:t>.</w:t>
                    <w:tab/>
                    <w:t>Kaip šiuo metu yra reguliuojami sprendimo projekte aptarti teisiniai santykiai.</w:t>
                  </w:r>
                </w:p>
                <w:p>
                  <w:pPr>
                    <w:spacing w:line="276" w:lineRule="auto"/>
                    <w:ind w:firstLine="709"/>
                    <w:jc w:val="both"/>
                    <w:rPr>
                      <w:szCs w:val="24"/>
                      <w:shd w:val="clear" w:color="auto" w:fill="FFFFFF"/>
                    </w:rPr>
                  </w:pPr>
                  <w:r>
                    <w:rPr>
                      <w:szCs w:val="24"/>
                      <w:shd w:val="clear" w:color="auto" w:fill="FFFFFF"/>
                    </w:rPr>
                    <w:t xml:space="preserve">Šiuo metu galioja Radviliškio rajono savivaldybės tarybos (toliau – Taryba) 2022 m. birželio 23 d. sprendimu Nr. T-777 </w:t>
                  </w:r>
                  <w:r>
                    <w:rPr>
                      <w:szCs w:val="24"/>
                    </w:rPr>
                    <w:t>„Dėl Radviliškio rajono savivaldybės vietinės rinkliavos už komunalinių atliekų surinkimą iš atliekų turėtojų ir atliekų tvarkymą dydžio nustatymo metodikos ir Radviliškio rajono savivaldybės vietinės rinkliavos už komunalinių atliekų surinkimą ir atliekų tvarkymą nuostatų patvirtinimo“</w:t>
                  </w:r>
                  <w:r>
                    <w:rPr>
                      <w:szCs w:val="24"/>
                      <w:shd w:val="clear" w:color="auto" w:fill="FFFFFF"/>
                    </w:rPr>
                    <w:t xml:space="preserve"> patvirtinti Radviliškio rajono savivaldybės vietinės rinkliavos už komunalinių atliekų surinkimą ir atliekų tvarkymą nuostatai (toliau – Nuostatai). </w:t>
                  </w:r>
                </w:p>
              </w:sdtContent>
            </w:sdt>
            <w:sdt>
              <w:sdtPr>
                <w:alias w:val="1 pr. 4 p."/>
                <w:tag w:val="part_a2e52a4c0ade4527ad81e20a663c4d78"/>
                <w:lock w:val="sdtLocked"/>
                <w:richText/>
              </w:sdtPr>
              <w:sdtContent>
                <w:p>
                  <w:pPr>
                    <w:tabs>
                      <w:tab w:val="left" w:pos="993"/>
                    </w:tabs>
                    <w:spacing w:line="276" w:lineRule="auto"/>
                    <w:ind w:firstLine="709"/>
                    <w:jc w:val="both"/>
                    <w:rPr>
                      <w:shd w:val="clear" w:color="auto" w:fill="FFFFFF"/>
                    </w:rPr>
                  </w:pPr>
                  <w:sdt>
                    <w:sdtPr>
                      <w:alias w:val="Numeris"/>
                      <w:tag w:val="nr_a2e52a4c0ade4527ad81e20a663c4d78"/>
                      <w:lock w:val="sdtLocked"/>
                      <w:richText/>
                    </w:sdtPr>
                    <w:sdtContent>
                      <w:r>
                        <w:rPr>
                          <w:b/>
                        </w:rPr>
                        <w:t>4</w:t>
                      </w:r>
                    </w:sdtContent>
                  </w:sdt>
                  <w:r>
                    <w:rPr>
                      <w:b/>
                    </w:rPr>
                    <w:t>.</w:t>
                    <w:tab/>
                  </w:r>
                  <w:r>
                    <w:rPr>
                      <w:b/>
                      <w:bCs/>
                    </w:rPr>
                    <w:t>Kokios siūlomos naujos teisinio reguliavimo nuostatos, kokių teigiamų rezultatų laukiama.</w:t>
                  </w:r>
                </w:p>
                <w:p>
                  <w:pPr>
                    <w:tabs>
                      <w:tab w:val="left" w:pos="993"/>
                    </w:tabs>
                    <w:spacing w:line="276" w:lineRule="auto"/>
                    <w:ind w:left="709"/>
                    <w:jc w:val="both"/>
                    <w:rPr>
                      <w:shd w:val="clear" w:color="auto" w:fill="FFFFFF"/>
                    </w:rPr>
                  </w:pPr>
                  <w:r>
                    <w:t xml:space="preserve">Bus įgyvendintos įstatymų nuostatos. </w:t>
                  </w:r>
                </w:p>
              </w:sdtContent>
            </w:sdt>
            <w:sdt>
              <w:sdtPr>
                <w:alias w:val="1 pr. 5 p."/>
                <w:tag w:val="part_ae59c92c188b487ab54bdc651071b7e5"/>
                <w:lock w:val="sdtLocked"/>
                <w:richText/>
              </w:sdtPr>
              <w:sdtContent>
                <w:p>
                  <w:pPr>
                    <w:tabs>
                      <w:tab w:val="left" w:pos="993"/>
                    </w:tabs>
                    <w:spacing w:line="276" w:lineRule="auto"/>
                    <w:ind w:firstLine="709"/>
                    <w:jc w:val="both"/>
                    <w:rPr>
                      <w:b/>
                      <w:bCs/>
                    </w:rPr>
                  </w:pPr>
                  <w:sdt>
                    <w:sdtPr>
                      <w:alias w:val="Numeris"/>
                      <w:tag w:val="nr_ae59c92c188b487ab54bdc651071b7e5"/>
                      <w:lock w:val="sdtLocked"/>
                      <w:richText/>
                    </w:sdtPr>
                    <w:sdtContent>
                      <w:r>
                        <w:rPr>
                          <w:b/>
                          <w:bCs/>
                        </w:rPr>
                        <w:t>5</w:t>
                      </w:r>
                    </w:sdtContent>
                  </w:sdt>
                  <w:r>
                    <w:rPr>
                      <w:b/>
                      <w:bCs/>
                    </w:rPr>
                    <w:t>.</w:t>
                    <w:tab/>
                    <w:t>Galimos neigiamos priimto sprendimo projekto pasekmės ir kokių priemonių reikėtų imtis, kad tokių pasekmių būtų išvengta.</w:t>
                  </w:r>
                </w:p>
                <w:p>
                  <w:pPr>
                    <w:tabs>
                      <w:tab w:val="left" w:pos="855"/>
                    </w:tabs>
                    <w:ind w:firstLine="709"/>
                    <w:jc w:val="both"/>
                    <w:rPr>
                      <w:b/>
                      <w:i/>
                      <w:szCs w:val="24"/>
                      <w:shd w:val="clear" w:color="auto" w:fill="FFFFFF"/>
                    </w:rPr>
                  </w:pPr>
                  <w:r>
                    <w:rPr>
                      <w:i/>
                      <w:szCs w:val="24"/>
                      <w:u w:val="single"/>
                      <w:shd w:val="clear" w:color="auto" w:fill="FFFFFF"/>
                    </w:rPr>
                    <w:t>Teigiamos pasekmės</w:t>
                  </w:r>
                </w:p>
                <w:p>
                  <w:pPr>
                    <w:tabs>
                      <w:tab w:val="left" w:pos="855"/>
                    </w:tabs>
                    <w:ind w:firstLine="709"/>
                    <w:jc w:val="both"/>
                    <w:rPr>
                      <w:b/>
                      <w:i/>
                      <w:szCs w:val="24"/>
                      <w:shd w:val="clear" w:color="auto" w:fill="FFFFFF"/>
                    </w:rPr>
                  </w:pPr>
                  <w:r>
                    <w:rPr>
                      <w:szCs w:val="24"/>
                    </w:rPr>
                    <w:t>Nuostatų 1 priedo pakeitimu (nauja redakcija) bus užtikrintas būtinųjų su komunalinių atliekų tvarkymu susijusių sąnaudų padengimas.</w:t>
                  </w:r>
                </w:p>
                <w:p>
                  <w:pPr>
                    <w:tabs>
                      <w:tab w:val="left" w:pos="855"/>
                    </w:tabs>
                    <w:ind w:firstLine="709"/>
                    <w:jc w:val="both"/>
                    <w:rPr>
                      <w:b/>
                      <w:i/>
                      <w:szCs w:val="24"/>
                      <w:shd w:val="clear" w:color="auto" w:fill="FFFFFF"/>
                    </w:rPr>
                  </w:pPr>
                  <w:r>
                    <w:rPr>
                      <w:szCs w:val="24"/>
                      <w:shd w:val="clear" w:color="auto" w:fill="FFFFFF"/>
                    </w:rPr>
                    <w:t xml:space="preserve">Metodikos 4.3 punkto, </w:t>
                  </w:r>
                  <w:r>
                    <w:t xml:space="preserve">4.3.1, 4.3.2, 4.3.3, 4.3.4, 4.3.5, 4.3.6 papunkčių bei nuostatų </w:t>
                  </w:r>
                  <w:r>
                    <w:rPr>
                      <w:szCs w:val="24"/>
                      <w:lang w:eastAsia="lt-LT"/>
                    </w:rPr>
                    <w:t xml:space="preserve">12 punkto ir 12.1, 12.2, 12.3, 12.4, 12.5, 12.6  papunkčių patvirtinimas leis įgyvendinti vietinės rinkliavos už komunalinių atliekų surinkimą iš atliekų turėtojų ir atliekų tvarkymą skaičiavimą.</w:t>
                  </w:r>
                </w:p>
                <w:p>
                  <w:pPr>
                    <w:tabs>
                      <w:tab w:val="left" w:pos="855"/>
                    </w:tabs>
                    <w:ind w:firstLine="709"/>
                    <w:jc w:val="both"/>
                    <w:rPr>
                      <w:i/>
                      <w:szCs w:val="24"/>
                      <w:u w:val="single"/>
                    </w:rPr>
                  </w:pPr>
                  <w:r>
                    <w:rPr>
                      <w:i/>
                      <w:szCs w:val="24"/>
                      <w:u w:val="single"/>
                    </w:rPr>
                    <w:t>Neigiamos pasekmės</w:t>
                  </w:r>
                </w:p>
                <w:p>
                  <w:pPr>
                    <w:tabs>
                      <w:tab w:val="left" w:pos="855"/>
                    </w:tabs>
                    <w:ind w:firstLine="709"/>
                    <w:jc w:val="both"/>
                    <w:rPr>
                      <w:i/>
                      <w:szCs w:val="24"/>
                      <w:u w:val="single"/>
                    </w:rPr>
                  </w:pPr>
                  <w:r>
                    <w:rPr>
                      <w:szCs w:val="24"/>
                    </w:rPr>
                    <w:t>Dėl didėjančių būtinųjų su komunalinių atliekų surinkimu ir tvarkymu susijusių sąnaudų didėjančios gyventojų ir ūkinę veiklą vykdančių subjektų išlaidos komunalinių atliekų surinkimui ir tvarkymui.</w:t>
                  </w:r>
                </w:p>
              </w:sdtContent>
            </w:sdt>
            <w:sdt>
              <w:sdtPr>
                <w:alias w:val="1 pr. 6 p."/>
                <w:tag w:val="part_53b0d638a2e44f6d9772e73871b5b274"/>
                <w:lock w:val="sdtLocked"/>
                <w:richText/>
              </w:sdtPr>
              <w:sdtContent>
                <w:p>
                  <w:pPr>
                    <w:tabs>
                      <w:tab w:val="left" w:pos="993"/>
                    </w:tabs>
                    <w:spacing w:line="276" w:lineRule="auto"/>
                    <w:ind w:firstLine="709"/>
                    <w:jc w:val="both"/>
                    <w:rPr>
                      <w:b/>
                      <w:bCs/>
                    </w:rPr>
                  </w:pPr>
                  <w:sdt>
                    <w:sdtPr>
                      <w:alias w:val="Numeris"/>
                      <w:tag w:val="nr_53b0d638a2e44f6d9772e73871b5b274"/>
                      <w:lock w:val="sdtLocked"/>
                      <w:richText/>
                    </w:sdtPr>
                    <w:sdtContent>
                      <w:r>
                        <w:rPr>
                          <w:b/>
                          <w:bCs/>
                        </w:rPr>
                        <w:t>6</w:t>
                      </w:r>
                    </w:sdtContent>
                  </w:sdt>
                  <w:r>
                    <w:rPr>
                      <w:b/>
                      <w:bCs/>
                    </w:rPr>
                    <w:t>.</w:t>
                    <w:tab/>
                    <w:t xml:space="preserve">Kokius teisės aktus būtina priimti, kokius galiojančius teisės aktus būtina pakeisti ar pripažinti netekusiais galios priėmus sprendimo projektą. </w:t>
                  </w:r>
                </w:p>
                <w:p>
                  <w:pPr>
                    <w:tabs>
                      <w:tab w:val="left" w:pos="993"/>
                    </w:tabs>
                    <w:spacing w:line="276" w:lineRule="auto"/>
                    <w:ind w:left="709"/>
                    <w:jc w:val="both"/>
                  </w:pPr>
                  <w:r>
                    <w:t>Nėra.</w:t>
                  </w:r>
                </w:p>
              </w:sdtContent>
            </w:sdt>
            <w:sdt>
              <w:sdtPr>
                <w:alias w:val="1 pr. 7 p."/>
                <w:tag w:val="part_702eaf08c58d47e1a95f91b5f3258074"/>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
                    </w:rPr>
                  </w:pPr>
                  <w:sdt>
                    <w:sdtPr>
                      <w:alias w:val="Numeris"/>
                      <w:tag w:val="nr_702eaf08c58d47e1a95f91b5f3258074"/>
                      <w:lock w:val="sdtLocked"/>
                      <w:richText/>
                    </w:sdtPr>
                    <w:sdtContent>
                      <w:r>
                        <w:rPr>
                          <w:b/>
                        </w:rPr>
                        <w:t>7</w:t>
                      </w:r>
                    </w:sdtContent>
                  </w:sdt>
                  <w:r>
                    <w:rPr>
                      <w:b/>
                    </w:rPr>
                    <w:t>.</w:t>
                    <w:tab/>
                    <w:t>Sprendimo projektui įgyvendinti reikalingos lėšos, finansavimo šaltiniai.</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
                    </w:rPr>
                  </w:pPr>
                  <w:r>
                    <w:rPr>
                      <w:bCs/>
                    </w:rPr>
                    <w:t xml:space="preserve">Lėšų sprendimo projektui įgyvendinti nereikės. </w:t>
                  </w:r>
                </w:p>
              </w:sdtContent>
            </w:sdt>
            <w:sdt>
              <w:sdtPr>
                <w:alias w:val="1 pr. 8 p."/>
                <w:tag w:val="part_f2fca66b4c4e41e1b14b353bd0035df0"/>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
                    </w:rPr>
                  </w:pPr>
                  <w:sdt>
                    <w:sdtPr>
                      <w:alias w:val="Numeris"/>
                      <w:tag w:val="nr_f2fca66b4c4e41e1b14b353bd0035df0"/>
                      <w:lock w:val="sdtLocked"/>
                      <w:richText/>
                    </w:sdtPr>
                    <w:sdtContent>
                      <w:r>
                        <w:rPr>
                          <w:b/>
                        </w:rPr>
                        <w:t>8</w:t>
                      </w:r>
                    </w:sdtContent>
                  </w:sdt>
                  <w:r>
                    <w:rPr>
                      <w:b/>
                    </w:rPr>
                    <w:t>.</w:t>
                    <w:tab/>
                    <w:t xml:space="preserve">Sprendimo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Cs/>
                    </w:rPr>
                  </w:pPr>
                  <w:r>
                    <w:rPr>
                      <w:bCs/>
                    </w:rPr>
                    <w:t>Sprendimo projektas</w:t>
                  </w:r>
                  <w:r>
                    <w:rPr>
                      <w:b/>
                    </w:rPr>
                    <w:t xml:space="preserve"> </w:t>
                  </w:r>
                  <w:r>
                    <w:rPr>
                      <w:bCs/>
                    </w:rPr>
                    <w:t>suderintas su savivaldybės juristu, kalbininku, administracijos direktore, vicemerais ir meru.</w:t>
                  </w:r>
                </w:p>
              </w:sdtContent>
            </w:sdt>
            <w:sdt>
              <w:sdtPr>
                <w:alias w:val="1 pr. 9 p."/>
                <w:tag w:val="part_c603a258015945fe81af7826002de432"/>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
                    </w:rPr>
                  </w:pPr>
                  <w:sdt>
                    <w:sdtPr>
                      <w:alias w:val="Numeris"/>
                      <w:tag w:val="nr_c603a258015945fe81af7826002de432"/>
                      <w:lock w:val="sdtLocked"/>
                      <w:richText/>
                    </w:sdtPr>
                    <w:sdtContent>
                      <w:r>
                        <w:rPr>
                          <w:b/>
                        </w:rPr>
                        <w:t>9</w:t>
                      </w:r>
                    </w:sdtContent>
                  </w:sdt>
                  <w:r>
                    <w:rPr>
                      <w:b/>
                    </w:rPr>
                    <w:t>.</w:t>
                    <w:tab/>
                    <w:t xml:space="preserve">Numatomo teisinio reguliavimo poveikio vertinimo rezultatai.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Cs/>
                    </w:rPr>
                  </w:pPr>
                  <w:r>
                    <w:rPr>
                      <w:bCs/>
                    </w:rPr>
                    <w:t xml:space="preserve">Rezultatai nenumatomi. </w:t>
                  </w:r>
                </w:p>
              </w:sdtContent>
            </w:sdt>
            <w:sdt>
              <w:sdtPr>
                <w:alias w:val="1 pr. 10 p."/>
                <w:tag w:val="part_9533d2427d504be994f207d04bc14f4e"/>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Cs/>
                    </w:rPr>
                  </w:pPr>
                  <w:sdt>
                    <w:sdtPr>
                      <w:alias w:val="Numeris"/>
                      <w:tag w:val="nr_9533d2427d504be994f207d04bc14f4e"/>
                      <w:lock w:val="sdtLocked"/>
                      <w:richText/>
                    </w:sdtPr>
                    <w:sdtContent>
                      <w:r>
                        <w:rPr>
                          <w:b/>
                          <w:bCs/>
                        </w:rPr>
                        <w:t>10</w:t>
                      </w:r>
                    </w:sdtContent>
                  </w:sdt>
                  <w:r>
                    <w:rPr>
                      <w:b/>
                      <w:bCs/>
                    </w:rPr>
                    <w:t>.</w:t>
                    <w:tab/>
                  </w:r>
                  <w:r>
                    <w:rPr>
                      <w:rFonts w:eastAsia="Calibri"/>
                      <w:b/>
                      <w:lang w:eastAsia="ar-SA"/>
                    </w:rPr>
                    <w:t>Sprendimo projekto antikorupcinis vertinimas.</w:t>
                  </w:r>
                </w:p>
                <w:p>
                  <w:pPr>
                    <w:tabs>
                      <w:tab w:val="left" w:pos="1134"/>
                    </w:tabs>
                    <w:spacing w:line="276" w:lineRule="auto"/>
                    <w:ind w:firstLine="709"/>
                    <w:rPr>
                      <w:rFonts w:eastAsia="Calibri"/>
                    </w:rPr>
                  </w:pPr>
                  <w:r>
                    <w:rPr>
                      <w:rFonts w:eastAsia="Calibri"/>
                    </w:rPr>
                    <w:t>Teisės akto projektas antikorupciniam vertinimui neteikiamas.</w:t>
                  </w:r>
                </w:p>
              </w:sdtContent>
            </w:sdt>
            <w:sdt>
              <w:sdtPr>
                <w:alias w:val="1 pr. 11 p."/>
                <w:tag w:val="part_be809526aa004cf9baa005304935a6b7"/>
                <w:lock w:val="sdtLocked"/>
                <w:richText/>
              </w:sdtPr>
              <w:sdtContent>
                <w:p>
                  <w:pPr>
                    <w:tabs>
                      <w:tab w:val="left" w:pos="1134"/>
                    </w:tabs>
                    <w:spacing w:line="276" w:lineRule="auto"/>
                    <w:ind w:firstLine="709"/>
                    <w:rPr>
                      <w:rFonts w:eastAsia="Calibri"/>
                      <w:b/>
                      <w:bCs/>
                    </w:rPr>
                  </w:pPr>
                  <w:sdt>
                    <w:sdtPr>
                      <w:alias w:val="Numeris"/>
                      <w:tag w:val="nr_be809526aa004cf9baa005304935a6b7"/>
                      <w:lock w:val="sdtLocked"/>
                      <w:richText/>
                    </w:sdtPr>
                    <w:sdtContent>
                      <w:r>
                        <w:rPr>
                          <w:rFonts w:eastAsia="Calibri"/>
                          <w:b/>
                          <w:bCs/>
                        </w:rPr>
                        <w:t>11</w:t>
                      </w:r>
                    </w:sdtContent>
                  </w:sdt>
                  <w:r>
                    <w:rPr>
                      <w:rFonts w:eastAsia="Calibri"/>
                      <w:b/>
                      <w:bCs/>
                    </w:rPr>
                    <w:t>.</w:t>
                    <w:tab/>
                    <w:t xml:space="preserve">Kiti, iniciatoriaus nuomone, reikalingi pagrindimai ir paaiškinimai. </w:t>
                  </w:r>
                </w:p>
              </w:sdtContent>
            </w:sdt>
          </w:sdtContent>
        </w:sdt>
        <w:sdt>
          <w:sdtPr>
            <w:alias w:val="skirsnis"/>
            <w:tag w:val="part_2fdea863c8894eefb39de3f5ff4922e8"/>
            <w:lock w:val="sdtLocked"/>
            <w:richText/>
          </w:sdtPr>
          <w:sdtContent>
            <w:p>
              <w:pPr>
                <w:spacing w:line="276" w:lineRule="auto"/>
                <w:ind w:firstLine="708"/>
                <w:jc w:val="both"/>
                <w:rPr>
                  <w:rFonts w:eastAsia="Lucida Sans Unicode"/>
                  <w:b/>
                  <w:szCs w:val="24"/>
                  <w:lang w:eastAsia="ar-SA"/>
                </w:rPr>
              </w:pPr>
              <w:sdt>
                <w:sdtPr>
                  <w:alias w:val="Pavadinimas"/>
                  <w:tag w:val="title_2fdea863c8894eefb39de3f5ff4922e8"/>
                  <w:lock w:val="sdtLocked"/>
                  <w:richText/>
                </w:sdtPr>
                <w:sdtContent>
                  <w:r>
                    <w:rPr>
                      <w:rFonts w:eastAsia="Lucida Sans Unicode"/>
                      <w:b/>
                      <w:szCs w:val="24"/>
                      <w:lang w:eastAsia="ar-SA"/>
                    </w:rPr>
                    <w:t>Vietinės rinkliavos trūkumui įtakos turintys veiksniai:</w:t>
                  </w:r>
                </w:sdtContent>
              </w:sdt>
            </w:p>
            <w:sdt>
              <w:sdtPr>
                <w:alias w:val="1 pr. 1 p."/>
                <w:tag w:val="part_7b4343f3769c4847b43a6e03af3d5074"/>
                <w:lock w:val="sdtLocked"/>
                <w:richText/>
              </w:sdtPr>
              <w:sdtContent>
                <w:p>
                  <w:pPr>
                    <w:tabs>
                      <w:tab w:val="left" w:pos="993"/>
                    </w:tabs>
                    <w:spacing w:line="276" w:lineRule="auto"/>
                    <w:ind w:firstLine="709"/>
                    <w:jc w:val="both"/>
                    <w:rPr>
                      <w:rFonts w:eastAsia="Lucida Sans Unicode"/>
                      <w:szCs w:val="24"/>
                      <w:lang w:eastAsia="ar-SA"/>
                    </w:rPr>
                  </w:pPr>
                  <w:sdt>
                    <w:sdtPr>
                      <w:alias w:val="Numeris"/>
                      <w:tag w:val="nr_7b4343f3769c4847b43a6e03af3d5074"/>
                      <w:lock w:val="sdtLocked"/>
                      <w:richText/>
                    </w:sdtPr>
                    <w:sdtContent>
                      <w:r>
                        <w:rPr>
                          <w:rFonts w:eastAsia="Lucida Sans Unicode"/>
                          <w:szCs w:val="24"/>
                          <w:lang w:eastAsia="ar-SA"/>
                        </w:rPr>
                        <w:t>1</w:t>
                      </w:r>
                    </w:sdtContent>
                  </w:sdt>
                  <w:r>
                    <w:rPr>
                      <w:rFonts w:eastAsia="Lucida Sans Unicode"/>
                      <w:szCs w:val="24"/>
                      <w:lang w:eastAsia="ar-SA"/>
                    </w:rPr>
                    <w:t>.</w:t>
                    <w:tab/>
                    <w:t>2023 m. birželio 22 d. vykusiame VšĮ Šiaulių regiono atliekų tvarkymo centras (toliau – ŠRATC) visuotiniame dalininkų susirinkime priimtas sprendimas nuo 2023 m. liepos 1 d. nustatyti komunalinių atliekų, išskyrus atskirai surinktas bioskaidžias atliekas, priėmimo ir apdorojimo įkainio pastovią ir kintamą dalis (toliau – Įkainis) Šiaulių regiono savivaldybėms:</w:t>
                  </w:r>
                </w:p>
                <w:p>
                  <w:pPr>
                    <w:spacing w:line="276" w:lineRule="auto"/>
                    <w:jc w:val="both"/>
                    <w:rPr>
                      <w:rFonts w:eastAsia="Lucida Sans Unicode"/>
                      <w:szCs w:val="24"/>
                      <w:lang w:eastAsia="ar-SA"/>
                    </w:rPr>
                  </w:pPr>
                </w:p>
                <w:tbl>
                  <w:tblPr>
                    <w:tblW w:w="9709" w:type="dxa"/>
                    <w:jc w:val="center"/>
                    <w:tblLook w:val="04A0" w:firstRow="1" w:lastRow="0" w:firstColumn="1" w:lastColumn="0" w:noHBand="0" w:noVBand="1"/>
                  </w:tblPr>
                  <w:tblGrid>
                    <w:gridCol w:w="2724"/>
                    <w:gridCol w:w="1978"/>
                    <w:gridCol w:w="2009"/>
                    <w:gridCol w:w="1433"/>
                    <w:gridCol w:w="1565"/>
                  </w:tblGrid>
                  <w:tr>
                    <w:trPr>
                      <w:trHeight w:val="269"/>
                      <w:jc w:val="center"/>
                    </w:trPr>
                    <w:tc>
                      <w:tcPr>
                        <w:tcW w:w="272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pPr>
                          <w:tabs>
                            <w:tab w:val="left" w:pos="709"/>
                          </w:tabs>
                          <w:jc w:val="center"/>
                          <w:rPr>
                            <w:b/>
                            <w:bCs/>
                            <w:szCs w:val="24"/>
                          </w:rPr>
                        </w:pPr>
                        <w:r>
                          <w:rPr>
                            <w:b/>
                            <w:bCs/>
                            <w:szCs w:val="24"/>
                          </w:rPr>
                          <w:t>Savivaldybė</w:t>
                        </w:r>
                      </w:p>
                    </w:tc>
                    <w:tc>
                      <w:tcPr>
                        <w:tcW w:w="3987" w:type="dxa"/>
                        <w:gridSpan w:val="2"/>
                        <w:tcBorders>
                          <w:top w:val="single" w:sz="4" w:space="0" w:color="auto"/>
                          <w:left w:val="nil"/>
                          <w:bottom w:val="single" w:sz="4" w:space="0" w:color="auto"/>
                          <w:right w:val="single" w:sz="4" w:space="0" w:color="auto"/>
                        </w:tcBorders>
                        <w:shd w:val="clear" w:color="auto" w:fill="auto"/>
                        <w:noWrap/>
                        <w:vAlign w:val="center"/>
                        <w:hideMark/>
                      </w:tcPr>
                      <w:p>
                        <w:pPr>
                          <w:tabs>
                            <w:tab w:val="left" w:pos="709"/>
                          </w:tabs>
                          <w:jc w:val="center"/>
                          <w:rPr>
                            <w:b/>
                            <w:bCs/>
                            <w:szCs w:val="24"/>
                          </w:rPr>
                        </w:pPr>
                        <w:r>
                          <w:rPr>
                            <w:b/>
                            <w:bCs/>
                            <w:szCs w:val="24"/>
                          </w:rPr>
                          <w:t>Pastovi dalis, Eur</w:t>
                        </w:r>
                      </w:p>
                    </w:tc>
                    <w:tc>
                      <w:tcPr>
                        <w:tcW w:w="2998" w:type="dxa"/>
                        <w:gridSpan w:val="2"/>
                        <w:tcBorders>
                          <w:top w:val="single" w:sz="4" w:space="0" w:color="auto"/>
                          <w:left w:val="nil"/>
                          <w:bottom w:val="single" w:sz="4" w:space="0" w:color="auto"/>
                          <w:right w:val="single" w:sz="4" w:space="0" w:color="auto"/>
                        </w:tcBorders>
                        <w:shd w:val="clear" w:color="auto" w:fill="auto"/>
                        <w:noWrap/>
                        <w:vAlign w:val="center"/>
                        <w:hideMark/>
                      </w:tcPr>
                      <w:p>
                        <w:pPr>
                          <w:tabs>
                            <w:tab w:val="left" w:pos="709"/>
                          </w:tabs>
                          <w:jc w:val="center"/>
                          <w:rPr>
                            <w:b/>
                            <w:bCs/>
                            <w:szCs w:val="24"/>
                          </w:rPr>
                        </w:pPr>
                        <w:r>
                          <w:rPr>
                            <w:b/>
                            <w:bCs/>
                            <w:szCs w:val="24"/>
                          </w:rPr>
                          <w:t>Kintama dalis Eur/t</w:t>
                        </w:r>
                      </w:p>
                    </w:tc>
                  </w:tr>
                  <w:tr>
                    <w:trPr>
                      <w:trHeight w:val="258"/>
                      <w:jc w:val="center"/>
                    </w:trPr>
                    <w:tc>
                      <w:tcPr>
                        <w:tcW w:w="2724" w:type="dxa"/>
                        <w:vMerge/>
                        <w:tcBorders>
                          <w:top w:val="single" w:sz="4" w:space="0" w:color="auto"/>
                          <w:left w:val="single" w:sz="4" w:space="0" w:color="auto"/>
                          <w:bottom w:val="single" w:sz="4" w:space="0" w:color="000000"/>
                          <w:right w:val="single" w:sz="4" w:space="0" w:color="auto"/>
                        </w:tcBorders>
                        <w:vAlign w:val="center"/>
                        <w:hideMark/>
                      </w:tcPr>
                      <w:p>
                        <w:pPr>
                          <w:tabs>
                            <w:tab w:val="left" w:pos="709"/>
                          </w:tabs>
                          <w:jc w:val="center"/>
                          <w:rPr>
                            <w:b/>
                            <w:bCs/>
                            <w:color w:val="000000"/>
                            <w:szCs w:val="24"/>
                            <w:lang w:eastAsia="lt-LT"/>
                          </w:rPr>
                        </w:pPr>
                      </w:p>
                    </w:tc>
                    <w:tc>
                      <w:tcPr>
                        <w:tcW w:w="1978" w:type="dxa"/>
                        <w:tcBorders>
                          <w:top w:val="nil"/>
                          <w:left w:val="nil"/>
                          <w:bottom w:val="single" w:sz="4" w:space="0" w:color="auto"/>
                          <w:right w:val="single" w:sz="4" w:space="0" w:color="auto"/>
                        </w:tcBorders>
                        <w:shd w:val="clear" w:color="auto" w:fill="auto"/>
                        <w:vAlign w:val="center"/>
                        <w:hideMark/>
                      </w:tcPr>
                      <w:p>
                        <w:pPr>
                          <w:tabs>
                            <w:tab w:val="left" w:pos="709"/>
                          </w:tabs>
                          <w:jc w:val="center"/>
                          <w:rPr>
                            <w:b/>
                            <w:bCs/>
                            <w:color w:val="000000"/>
                            <w:szCs w:val="24"/>
                            <w:lang w:eastAsia="lt-LT"/>
                          </w:rPr>
                        </w:pPr>
                        <w:r>
                          <w:rPr>
                            <w:b/>
                            <w:bCs/>
                            <w:szCs w:val="24"/>
                          </w:rPr>
                          <w:t>Be PVM</w:t>
                        </w:r>
                      </w:p>
                    </w:tc>
                    <w:tc>
                      <w:tcPr>
                        <w:tcW w:w="2009" w:type="dxa"/>
                        <w:tcBorders>
                          <w:top w:val="nil"/>
                          <w:left w:val="nil"/>
                          <w:bottom w:val="single" w:sz="4" w:space="0" w:color="auto"/>
                          <w:right w:val="single" w:sz="4" w:space="0" w:color="auto"/>
                        </w:tcBorders>
                        <w:shd w:val="clear" w:color="auto" w:fill="auto"/>
                        <w:vAlign w:val="center"/>
                        <w:hideMark/>
                      </w:tcPr>
                      <w:p>
                        <w:pPr>
                          <w:tabs>
                            <w:tab w:val="left" w:pos="709"/>
                          </w:tabs>
                          <w:jc w:val="center"/>
                          <w:rPr>
                            <w:b/>
                            <w:bCs/>
                            <w:color w:val="000000"/>
                            <w:szCs w:val="24"/>
                            <w:lang w:eastAsia="lt-LT"/>
                          </w:rPr>
                        </w:pPr>
                        <w:r>
                          <w:rPr>
                            <w:b/>
                            <w:bCs/>
                            <w:szCs w:val="24"/>
                          </w:rPr>
                          <w:t>Su PVM</w:t>
                        </w:r>
                      </w:p>
                    </w:tc>
                    <w:tc>
                      <w:tcPr>
                        <w:tcW w:w="1433" w:type="dxa"/>
                        <w:tcBorders>
                          <w:top w:val="nil"/>
                          <w:left w:val="nil"/>
                          <w:bottom w:val="single" w:sz="4" w:space="0" w:color="auto"/>
                          <w:right w:val="single" w:sz="4" w:space="0" w:color="auto"/>
                        </w:tcBorders>
                        <w:shd w:val="clear" w:color="auto" w:fill="auto"/>
                        <w:vAlign w:val="center"/>
                        <w:hideMark/>
                      </w:tcPr>
                      <w:p>
                        <w:pPr>
                          <w:tabs>
                            <w:tab w:val="left" w:pos="709"/>
                          </w:tabs>
                          <w:jc w:val="center"/>
                          <w:rPr>
                            <w:b/>
                            <w:bCs/>
                            <w:color w:val="000000"/>
                            <w:szCs w:val="24"/>
                            <w:lang w:eastAsia="lt-LT"/>
                          </w:rPr>
                        </w:pPr>
                        <w:r>
                          <w:rPr>
                            <w:b/>
                            <w:bCs/>
                            <w:szCs w:val="24"/>
                          </w:rPr>
                          <w:t>Be PVM</w:t>
                        </w:r>
                      </w:p>
                    </w:tc>
                    <w:tc>
                      <w:tcPr>
                        <w:tcW w:w="1565" w:type="dxa"/>
                        <w:tcBorders>
                          <w:top w:val="nil"/>
                          <w:left w:val="nil"/>
                          <w:bottom w:val="single" w:sz="4" w:space="0" w:color="auto"/>
                          <w:right w:val="single" w:sz="4" w:space="0" w:color="auto"/>
                        </w:tcBorders>
                        <w:shd w:val="clear" w:color="auto" w:fill="auto"/>
                        <w:vAlign w:val="center"/>
                        <w:hideMark/>
                      </w:tcPr>
                      <w:p>
                        <w:pPr>
                          <w:tabs>
                            <w:tab w:val="left" w:pos="709"/>
                          </w:tabs>
                          <w:jc w:val="center"/>
                          <w:rPr>
                            <w:b/>
                            <w:bCs/>
                            <w:color w:val="000000"/>
                            <w:szCs w:val="24"/>
                            <w:lang w:eastAsia="lt-LT"/>
                          </w:rPr>
                        </w:pPr>
                        <w:r>
                          <w:rPr>
                            <w:b/>
                            <w:bCs/>
                            <w:szCs w:val="24"/>
                          </w:rPr>
                          <w:t>Su PVM</w:t>
                        </w:r>
                      </w:p>
                    </w:tc>
                  </w:tr>
                  <w:tr>
                    <w:trPr>
                      <w:trHeight w:val="258"/>
                      <w:jc w:val="center"/>
                    </w:trPr>
                    <w:tc>
                      <w:tcPr>
                        <w:tcW w:w="2724" w:type="dxa"/>
                        <w:tcBorders>
                          <w:top w:val="nil"/>
                          <w:left w:val="single" w:sz="4" w:space="0" w:color="auto"/>
                          <w:bottom w:val="single" w:sz="4" w:space="0" w:color="auto"/>
                          <w:right w:val="single" w:sz="4" w:space="0" w:color="auto"/>
                        </w:tcBorders>
                        <w:shd w:val="clear" w:color="auto" w:fill="auto"/>
                        <w:noWrap/>
                        <w:vAlign w:val="center"/>
                        <w:hideMark/>
                      </w:tcPr>
                      <w:p>
                        <w:pPr>
                          <w:tabs>
                            <w:tab w:val="left" w:pos="709"/>
                          </w:tabs>
                          <w:rPr>
                            <w:szCs w:val="24"/>
                          </w:rPr>
                        </w:pPr>
                        <w:r>
                          <w:rPr>
                            <w:szCs w:val="24"/>
                          </w:rPr>
                          <w:t>Akmenės r. sav.</w:t>
                        </w:r>
                      </w:p>
                    </w:tc>
                    <w:tc>
                      <w:tcPr>
                        <w:tcW w:w="1978" w:type="dxa"/>
                        <w:tcBorders>
                          <w:top w:val="nil"/>
                          <w:left w:val="nil"/>
                          <w:bottom w:val="single" w:sz="4" w:space="0" w:color="auto"/>
                          <w:right w:val="single" w:sz="4" w:space="0" w:color="auto"/>
                        </w:tcBorders>
                        <w:shd w:val="clear" w:color="auto" w:fill="auto"/>
                        <w:noWrap/>
                        <w:hideMark/>
                      </w:tcPr>
                      <w:p>
                        <w:pPr>
                          <w:jc w:val="center"/>
                          <w:rPr>
                            <w:szCs w:val="24"/>
                          </w:rPr>
                        </w:pPr>
                        <w:r>
                          <w:rPr>
                            <w:szCs w:val="24"/>
                          </w:rPr>
                          <w:t>225.438,55</w:t>
                        </w:r>
                      </w:p>
                    </w:tc>
                    <w:tc>
                      <w:tcPr>
                        <w:tcW w:w="2009" w:type="dxa"/>
                        <w:tcBorders>
                          <w:top w:val="nil"/>
                          <w:left w:val="nil"/>
                          <w:bottom w:val="single" w:sz="4" w:space="0" w:color="auto"/>
                          <w:right w:val="single" w:sz="4" w:space="0" w:color="auto"/>
                        </w:tcBorders>
                        <w:shd w:val="clear" w:color="auto" w:fill="auto"/>
                        <w:hideMark/>
                      </w:tcPr>
                      <w:p>
                        <w:pPr>
                          <w:jc w:val="center"/>
                          <w:rPr>
                            <w:szCs w:val="24"/>
                          </w:rPr>
                        </w:pPr>
                        <w:r>
                          <w:rPr>
                            <w:szCs w:val="24"/>
                          </w:rPr>
                          <w:t>272.780,65</w:t>
                        </w:r>
                      </w:p>
                    </w:tc>
                    <w:tc>
                      <w:tcPr>
                        <w:tcW w:w="1433" w:type="dxa"/>
                        <w:tcBorders>
                          <w:top w:val="nil"/>
                          <w:left w:val="nil"/>
                          <w:bottom w:val="single" w:sz="4" w:space="0" w:color="auto"/>
                          <w:right w:val="single" w:sz="4" w:space="0" w:color="auto"/>
                        </w:tcBorders>
                        <w:shd w:val="clear" w:color="auto" w:fill="auto"/>
                        <w:noWrap/>
                        <w:hideMark/>
                      </w:tcPr>
                      <w:p>
                        <w:pPr>
                          <w:jc w:val="center"/>
                          <w:rPr>
                            <w:szCs w:val="24"/>
                          </w:rPr>
                        </w:pPr>
                        <w:r>
                          <w:rPr>
                            <w:szCs w:val="24"/>
                          </w:rPr>
                          <w:t>52,85</w:t>
                        </w:r>
                      </w:p>
                    </w:tc>
                    <w:tc>
                      <w:tcPr>
                        <w:tcW w:w="1565" w:type="dxa"/>
                        <w:tcBorders>
                          <w:top w:val="nil"/>
                          <w:left w:val="nil"/>
                          <w:bottom w:val="single" w:sz="4" w:space="0" w:color="auto"/>
                          <w:right w:val="single" w:sz="4" w:space="0" w:color="auto"/>
                        </w:tcBorders>
                        <w:shd w:val="clear" w:color="auto" w:fill="auto"/>
                        <w:hideMark/>
                      </w:tcPr>
                      <w:p>
                        <w:pPr>
                          <w:jc w:val="center"/>
                          <w:rPr>
                            <w:szCs w:val="24"/>
                          </w:rPr>
                        </w:pPr>
                        <w:r>
                          <w:rPr>
                            <w:szCs w:val="24"/>
                          </w:rPr>
                          <w:t>63,95</w:t>
                        </w:r>
                      </w:p>
                    </w:tc>
                  </w:tr>
                  <w:tr>
                    <w:trPr>
                      <w:trHeight w:val="258"/>
                      <w:jc w:val="center"/>
                    </w:trPr>
                    <w:tc>
                      <w:tcPr>
                        <w:tcW w:w="2724" w:type="dxa"/>
                        <w:tcBorders>
                          <w:top w:val="nil"/>
                          <w:left w:val="single" w:sz="4" w:space="0" w:color="auto"/>
                          <w:bottom w:val="single" w:sz="4" w:space="0" w:color="auto"/>
                          <w:right w:val="single" w:sz="4" w:space="0" w:color="auto"/>
                        </w:tcBorders>
                        <w:shd w:val="clear" w:color="auto" w:fill="auto"/>
                        <w:noWrap/>
                        <w:vAlign w:val="center"/>
                        <w:hideMark/>
                      </w:tcPr>
                      <w:p>
                        <w:pPr>
                          <w:tabs>
                            <w:tab w:val="left" w:pos="709"/>
                          </w:tabs>
                          <w:rPr>
                            <w:szCs w:val="24"/>
                          </w:rPr>
                        </w:pPr>
                        <w:r>
                          <w:rPr>
                            <w:szCs w:val="24"/>
                          </w:rPr>
                          <w:t>Joniškio r. sav.</w:t>
                        </w:r>
                      </w:p>
                    </w:tc>
                    <w:tc>
                      <w:tcPr>
                        <w:tcW w:w="1978" w:type="dxa"/>
                        <w:tcBorders>
                          <w:top w:val="nil"/>
                          <w:left w:val="nil"/>
                          <w:bottom w:val="single" w:sz="4" w:space="0" w:color="auto"/>
                          <w:right w:val="single" w:sz="4" w:space="0" w:color="auto"/>
                        </w:tcBorders>
                        <w:shd w:val="clear" w:color="auto" w:fill="auto"/>
                        <w:noWrap/>
                        <w:hideMark/>
                      </w:tcPr>
                      <w:p>
                        <w:pPr>
                          <w:jc w:val="center"/>
                          <w:rPr>
                            <w:szCs w:val="24"/>
                          </w:rPr>
                        </w:pPr>
                        <w:r>
                          <w:rPr>
                            <w:szCs w:val="24"/>
                          </w:rPr>
                          <w:t>238.187,49</w:t>
                        </w:r>
                      </w:p>
                    </w:tc>
                    <w:tc>
                      <w:tcPr>
                        <w:tcW w:w="2009" w:type="dxa"/>
                        <w:tcBorders>
                          <w:top w:val="nil"/>
                          <w:left w:val="nil"/>
                          <w:bottom w:val="single" w:sz="4" w:space="0" w:color="auto"/>
                          <w:right w:val="single" w:sz="4" w:space="0" w:color="auto"/>
                        </w:tcBorders>
                        <w:shd w:val="clear" w:color="auto" w:fill="auto"/>
                        <w:hideMark/>
                      </w:tcPr>
                      <w:p>
                        <w:pPr>
                          <w:jc w:val="center"/>
                          <w:rPr>
                            <w:szCs w:val="24"/>
                          </w:rPr>
                        </w:pPr>
                        <w:r>
                          <w:rPr>
                            <w:szCs w:val="24"/>
                          </w:rPr>
                          <w:t>288.206,86</w:t>
                        </w:r>
                      </w:p>
                    </w:tc>
                    <w:tc>
                      <w:tcPr>
                        <w:tcW w:w="1433" w:type="dxa"/>
                        <w:tcBorders>
                          <w:top w:val="nil"/>
                          <w:left w:val="nil"/>
                          <w:bottom w:val="single" w:sz="4" w:space="0" w:color="auto"/>
                          <w:right w:val="single" w:sz="4" w:space="0" w:color="auto"/>
                        </w:tcBorders>
                        <w:shd w:val="clear" w:color="auto" w:fill="auto"/>
                        <w:noWrap/>
                        <w:hideMark/>
                      </w:tcPr>
                      <w:p>
                        <w:pPr>
                          <w:jc w:val="center"/>
                          <w:rPr>
                            <w:szCs w:val="24"/>
                          </w:rPr>
                        </w:pPr>
                        <w:r>
                          <w:rPr>
                            <w:szCs w:val="24"/>
                          </w:rPr>
                          <w:t>53,90</w:t>
                        </w:r>
                      </w:p>
                    </w:tc>
                    <w:tc>
                      <w:tcPr>
                        <w:tcW w:w="1565" w:type="dxa"/>
                        <w:tcBorders>
                          <w:top w:val="nil"/>
                          <w:left w:val="nil"/>
                          <w:bottom w:val="single" w:sz="4" w:space="0" w:color="auto"/>
                          <w:right w:val="single" w:sz="4" w:space="0" w:color="auto"/>
                        </w:tcBorders>
                        <w:shd w:val="clear" w:color="auto" w:fill="auto"/>
                        <w:hideMark/>
                      </w:tcPr>
                      <w:p>
                        <w:pPr>
                          <w:jc w:val="center"/>
                          <w:rPr>
                            <w:szCs w:val="24"/>
                          </w:rPr>
                        </w:pPr>
                        <w:r>
                          <w:rPr>
                            <w:szCs w:val="24"/>
                          </w:rPr>
                          <w:t>65,22</w:t>
                        </w:r>
                      </w:p>
                    </w:tc>
                  </w:tr>
                  <w:tr>
                    <w:trPr>
                      <w:trHeight w:val="258"/>
                      <w:jc w:val="center"/>
                    </w:trPr>
                    <w:tc>
                      <w:tcPr>
                        <w:tcW w:w="2724" w:type="dxa"/>
                        <w:tcBorders>
                          <w:top w:val="nil"/>
                          <w:left w:val="single" w:sz="4" w:space="0" w:color="auto"/>
                          <w:bottom w:val="single" w:sz="4" w:space="0" w:color="auto"/>
                          <w:right w:val="single" w:sz="4" w:space="0" w:color="auto"/>
                        </w:tcBorders>
                        <w:shd w:val="clear" w:color="auto" w:fill="auto"/>
                        <w:noWrap/>
                        <w:vAlign w:val="center"/>
                        <w:hideMark/>
                      </w:tcPr>
                      <w:p>
                        <w:pPr>
                          <w:tabs>
                            <w:tab w:val="left" w:pos="709"/>
                          </w:tabs>
                          <w:rPr>
                            <w:szCs w:val="24"/>
                          </w:rPr>
                        </w:pPr>
                        <w:r>
                          <w:rPr>
                            <w:szCs w:val="24"/>
                          </w:rPr>
                          <w:t>Kelmės r. sav.</w:t>
                        </w:r>
                      </w:p>
                    </w:tc>
                    <w:tc>
                      <w:tcPr>
                        <w:tcW w:w="1978" w:type="dxa"/>
                        <w:tcBorders>
                          <w:top w:val="nil"/>
                          <w:left w:val="nil"/>
                          <w:bottom w:val="single" w:sz="4" w:space="0" w:color="auto"/>
                          <w:right w:val="single" w:sz="4" w:space="0" w:color="auto"/>
                        </w:tcBorders>
                        <w:shd w:val="clear" w:color="auto" w:fill="auto"/>
                        <w:noWrap/>
                        <w:hideMark/>
                      </w:tcPr>
                      <w:p>
                        <w:pPr>
                          <w:jc w:val="center"/>
                          <w:rPr>
                            <w:szCs w:val="24"/>
                          </w:rPr>
                        </w:pPr>
                        <w:r>
                          <w:rPr>
                            <w:szCs w:val="24"/>
                          </w:rPr>
                          <w:t>292.914,64</w:t>
                        </w:r>
                      </w:p>
                    </w:tc>
                    <w:tc>
                      <w:tcPr>
                        <w:tcW w:w="2009" w:type="dxa"/>
                        <w:tcBorders>
                          <w:top w:val="nil"/>
                          <w:left w:val="nil"/>
                          <w:bottom w:val="single" w:sz="4" w:space="0" w:color="auto"/>
                          <w:right w:val="single" w:sz="4" w:space="0" w:color="auto"/>
                        </w:tcBorders>
                        <w:shd w:val="clear" w:color="auto" w:fill="auto"/>
                        <w:hideMark/>
                      </w:tcPr>
                      <w:p>
                        <w:pPr>
                          <w:jc w:val="center"/>
                          <w:rPr>
                            <w:szCs w:val="24"/>
                          </w:rPr>
                        </w:pPr>
                        <w:r>
                          <w:rPr>
                            <w:szCs w:val="24"/>
                          </w:rPr>
                          <w:t>354.426,71</w:t>
                        </w:r>
                      </w:p>
                    </w:tc>
                    <w:tc>
                      <w:tcPr>
                        <w:tcW w:w="1433" w:type="dxa"/>
                        <w:tcBorders>
                          <w:top w:val="nil"/>
                          <w:left w:val="nil"/>
                          <w:bottom w:val="single" w:sz="4" w:space="0" w:color="auto"/>
                          <w:right w:val="single" w:sz="4" w:space="0" w:color="auto"/>
                        </w:tcBorders>
                        <w:shd w:val="clear" w:color="auto" w:fill="auto"/>
                        <w:noWrap/>
                        <w:hideMark/>
                      </w:tcPr>
                      <w:p>
                        <w:pPr>
                          <w:jc w:val="center"/>
                          <w:rPr>
                            <w:szCs w:val="24"/>
                          </w:rPr>
                        </w:pPr>
                        <w:r>
                          <w:rPr>
                            <w:szCs w:val="24"/>
                          </w:rPr>
                          <w:t>51,50</w:t>
                        </w:r>
                      </w:p>
                    </w:tc>
                    <w:tc>
                      <w:tcPr>
                        <w:tcW w:w="1565" w:type="dxa"/>
                        <w:tcBorders>
                          <w:top w:val="nil"/>
                          <w:left w:val="nil"/>
                          <w:bottom w:val="single" w:sz="4" w:space="0" w:color="auto"/>
                          <w:right w:val="single" w:sz="4" w:space="0" w:color="auto"/>
                        </w:tcBorders>
                        <w:shd w:val="clear" w:color="auto" w:fill="auto"/>
                        <w:hideMark/>
                      </w:tcPr>
                      <w:p>
                        <w:pPr>
                          <w:jc w:val="center"/>
                          <w:rPr>
                            <w:szCs w:val="24"/>
                          </w:rPr>
                        </w:pPr>
                        <w:r>
                          <w:rPr>
                            <w:szCs w:val="24"/>
                          </w:rPr>
                          <w:t>62,32</w:t>
                        </w:r>
                      </w:p>
                    </w:tc>
                  </w:tr>
                  <w:tr>
                    <w:trPr>
                      <w:trHeight w:val="258"/>
                      <w:jc w:val="center"/>
                    </w:trPr>
                    <w:tc>
                      <w:tcPr>
                        <w:tcW w:w="2724" w:type="dxa"/>
                        <w:tcBorders>
                          <w:top w:val="nil"/>
                          <w:left w:val="single" w:sz="4" w:space="0" w:color="auto"/>
                          <w:bottom w:val="single" w:sz="4" w:space="0" w:color="auto"/>
                          <w:right w:val="single" w:sz="4" w:space="0" w:color="auto"/>
                        </w:tcBorders>
                        <w:shd w:val="clear" w:color="auto" w:fill="auto"/>
                        <w:noWrap/>
                        <w:vAlign w:val="center"/>
                        <w:hideMark/>
                      </w:tcPr>
                      <w:p>
                        <w:pPr>
                          <w:tabs>
                            <w:tab w:val="left" w:pos="709"/>
                          </w:tabs>
                          <w:rPr>
                            <w:szCs w:val="24"/>
                          </w:rPr>
                        </w:pPr>
                        <w:r>
                          <w:rPr>
                            <w:szCs w:val="24"/>
                          </w:rPr>
                          <w:t>Pakruojo r. sav.</w:t>
                        </w:r>
                      </w:p>
                    </w:tc>
                    <w:tc>
                      <w:tcPr>
                        <w:tcW w:w="1978" w:type="dxa"/>
                        <w:tcBorders>
                          <w:top w:val="nil"/>
                          <w:left w:val="nil"/>
                          <w:bottom w:val="single" w:sz="4" w:space="0" w:color="auto"/>
                          <w:right w:val="single" w:sz="4" w:space="0" w:color="auto"/>
                        </w:tcBorders>
                        <w:shd w:val="clear" w:color="auto" w:fill="auto"/>
                        <w:noWrap/>
                        <w:hideMark/>
                      </w:tcPr>
                      <w:p>
                        <w:pPr>
                          <w:jc w:val="center"/>
                          <w:rPr>
                            <w:szCs w:val="24"/>
                          </w:rPr>
                        </w:pPr>
                        <w:r>
                          <w:rPr>
                            <w:szCs w:val="24"/>
                          </w:rPr>
                          <w:t>209.580,11</w:t>
                        </w:r>
                      </w:p>
                    </w:tc>
                    <w:tc>
                      <w:tcPr>
                        <w:tcW w:w="2009" w:type="dxa"/>
                        <w:tcBorders>
                          <w:top w:val="nil"/>
                          <w:left w:val="nil"/>
                          <w:bottom w:val="single" w:sz="4" w:space="0" w:color="auto"/>
                          <w:right w:val="single" w:sz="4" w:space="0" w:color="auto"/>
                        </w:tcBorders>
                        <w:shd w:val="clear" w:color="auto" w:fill="auto"/>
                        <w:hideMark/>
                      </w:tcPr>
                      <w:p>
                        <w:pPr>
                          <w:jc w:val="center"/>
                          <w:rPr>
                            <w:szCs w:val="24"/>
                          </w:rPr>
                        </w:pPr>
                        <w:r>
                          <w:rPr>
                            <w:szCs w:val="24"/>
                          </w:rPr>
                          <w:t>253.591,93</w:t>
                        </w:r>
                      </w:p>
                    </w:tc>
                    <w:tc>
                      <w:tcPr>
                        <w:tcW w:w="1433" w:type="dxa"/>
                        <w:tcBorders>
                          <w:top w:val="nil"/>
                          <w:left w:val="nil"/>
                          <w:bottom w:val="single" w:sz="4" w:space="0" w:color="auto"/>
                          <w:right w:val="single" w:sz="4" w:space="0" w:color="auto"/>
                        </w:tcBorders>
                        <w:shd w:val="clear" w:color="auto" w:fill="auto"/>
                        <w:noWrap/>
                        <w:hideMark/>
                      </w:tcPr>
                      <w:p>
                        <w:pPr>
                          <w:jc w:val="center"/>
                          <w:rPr>
                            <w:szCs w:val="24"/>
                          </w:rPr>
                        </w:pPr>
                        <w:r>
                          <w:rPr>
                            <w:szCs w:val="24"/>
                          </w:rPr>
                          <w:t>52,70</w:t>
                        </w:r>
                      </w:p>
                    </w:tc>
                    <w:tc>
                      <w:tcPr>
                        <w:tcW w:w="1565" w:type="dxa"/>
                        <w:tcBorders>
                          <w:top w:val="nil"/>
                          <w:left w:val="nil"/>
                          <w:bottom w:val="single" w:sz="4" w:space="0" w:color="auto"/>
                          <w:right w:val="single" w:sz="4" w:space="0" w:color="auto"/>
                        </w:tcBorders>
                        <w:shd w:val="clear" w:color="auto" w:fill="auto"/>
                        <w:hideMark/>
                      </w:tcPr>
                      <w:p>
                        <w:pPr>
                          <w:jc w:val="center"/>
                          <w:rPr>
                            <w:szCs w:val="24"/>
                          </w:rPr>
                        </w:pPr>
                        <w:r>
                          <w:rPr>
                            <w:szCs w:val="24"/>
                          </w:rPr>
                          <w:t>63,77</w:t>
                        </w:r>
                      </w:p>
                    </w:tc>
                  </w:tr>
                  <w:tr>
                    <w:trPr>
                      <w:trHeight w:val="258"/>
                      <w:jc w:val="center"/>
                    </w:trPr>
                    <w:tc>
                      <w:tcPr>
                        <w:tcW w:w="2724" w:type="dxa"/>
                        <w:tcBorders>
                          <w:top w:val="nil"/>
                          <w:left w:val="single" w:sz="4" w:space="0" w:color="auto"/>
                          <w:bottom w:val="single" w:sz="4" w:space="0" w:color="auto"/>
                          <w:right w:val="single" w:sz="4" w:space="0" w:color="auto"/>
                        </w:tcBorders>
                        <w:shd w:val="clear" w:color="auto" w:fill="auto"/>
                        <w:noWrap/>
                        <w:vAlign w:val="center"/>
                        <w:hideMark/>
                      </w:tcPr>
                      <w:p>
                        <w:pPr>
                          <w:tabs>
                            <w:tab w:val="left" w:pos="709"/>
                          </w:tabs>
                          <w:rPr>
                            <w:szCs w:val="24"/>
                          </w:rPr>
                        </w:pPr>
                        <w:r>
                          <w:rPr>
                            <w:szCs w:val="24"/>
                          </w:rPr>
                          <w:t xml:space="preserve">Radviliškio r. sav. </w:t>
                        </w:r>
                      </w:p>
                    </w:tc>
                    <w:tc>
                      <w:tcPr>
                        <w:tcW w:w="1978" w:type="dxa"/>
                        <w:tcBorders>
                          <w:top w:val="nil"/>
                          <w:left w:val="nil"/>
                          <w:bottom w:val="single" w:sz="4" w:space="0" w:color="auto"/>
                          <w:right w:val="single" w:sz="4" w:space="0" w:color="auto"/>
                        </w:tcBorders>
                        <w:shd w:val="clear" w:color="auto" w:fill="auto"/>
                        <w:noWrap/>
                        <w:hideMark/>
                      </w:tcPr>
                      <w:p>
                        <w:pPr>
                          <w:jc w:val="center"/>
                          <w:rPr>
                            <w:szCs w:val="24"/>
                          </w:rPr>
                        </w:pPr>
                        <w:r>
                          <w:rPr>
                            <w:szCs w:val="24"/>
                          </w:rPr>
                          <w:t>404.234,64</w:t>
                        </w:r>
                      </w:p>
                    </w:tc>
                    <w:tc>
                      <w:tcPr>
                        <w:tcW w:w="2009" w:type="dxa"/>
                        <w:tcBorders>
                          <w:top w:val="nil"/>
                          <w:left w:val="nil"/>
                          <w:bottom w:val="single" w:sz="4" w:space="0" w:color="auto"/>
                          <w:right w:val="single" w:sz="4" w:space="0" w:color="auto"/>
                        </w:tcBorders>
                        <w:shd w:val="clear" w:color="auto" w:fill="auto"/>
                        <w:hideMark/>
                      </w:tcPr>
                      <w:p>
                        <w:pPr>
                          <w:jc w:val="center"/>
                          <w:rPr>
                            <w:szCs w:val="24"/>
                          </w:rPr>
                        </w:pPr>
                        <w:r>
                          <w:rPr>
                            <w:szCs w:val="24"/>
                          </w:rPr>
                          <w:t>489.123,91</w:t>
                        </w:r>
                      </w:p>
                    </w:tc>
                    <w:tc>
                      <w:tcPr>
                        <w:tcW w:w="1433" w:type="dxa"/>
                        <w:tcBorders>
                          <w:top w:val="nil"/>
                          <w:left w:val="nil"/>
                          <w:bottom w:val="single" w:sz="4" w:space="0" w:color="auto"/>
                          <w:right w:val="single" w:sz="4" w:space="0" w:color="auto"/>
                        </w:tcBorders>
                        <w:shd w:val="clear" w:color="auto" w:fill="auto"/>
                        <w:noWrap/>
                        <w:hideMark/>
                      </w:tcPr>
                      <w:p>
                        <w:pPr>
                          <w:jc w:val="center"/>
                          <w:rPr>
                            <w:szCs w:val="24"/>
                          </w:rPr>
                        </w:pPr>
                        <w:r>
                          <w:rPr>
                            <w:szCs w:val="24"/>
                          </w:rPr>
                          <w:t>53,30</w:t>
                        </w:r>
                      </w:p>
                    </w:tc>
                    <w:tc>
                      <w:tcPr>
                        <w:tcW w:w="1565" w:type="dxa"/>
                        <w:tcBorders>
                          <w:top w:val="nil"/>
                          <w:left w:val="nil"/>
                          <w:bottom w:val="single" w:sz="4" w:space="0" w:color="auto"/>
                          <w:right w:val="single" w:sz="4" w:space="0" w:color="auto"/>
                        </w:tcBorders>
                        <w:shd w:val="clear" w:color="auto" w:fill="auto"/>
                        <w:hideMark/>
                      </w:tcPr>
                      <w:p>
                        <w:pPr>
                          <w:jc w:val="center"/>
                          <w:rPr>
                            <w:szCs w:val="24"/>
                          </w:rPr>
                        </w:pPr>
                        <w:r>
                          <w:rPr>
                            <w:szCs w:val="24"/>
                          </w:rPr>
                          <w:t>64,49</w:t>
                        </w:r>
                      </w:p>
                    </w:tc>
                  </w:tr>
                  <w:tr>
                    <w:trPr>
                      <w:trHeight w:val="258"/>
                      <w:jc w:val="center"/>
                    </w:trPr>
                    <w:tc>
                      <w:tcPr>
                        <w:tcW w:w="2724" w:type="dxa"/>
                        <w:tcBorders>
                          <w:top w:val="nil"/>
                          <w:left w:val="single" w:sz="4" w:space="0" w:color="auto"/>
                          <w:bottom w:val="single" w:sz="4" w:space="0" w:color="auto"/>
                          <w:right w:val="single" w:sz="4" w:space="0" w:color="auto"/>
                        </w:tcBorders>
                        <w:shd w:val="clear" w:color="auto" w:fill="auto"/>
                        <w:noWrap/>
                        <w:vAlign w:val="center"/>
                        <w:hideMark/>
                      </w:tcPr>
                      <w:p>
                        <w:pPr>
                          <w:tabs>
                            <w:tab w:val="left" w:pos="709"/>
                          </w:tabs>
                          <w:rPr>
                            <w:szCs w:val="24"/>
                          </w:rPr>
                        </w:pPr>
                        <w:r>
                          <w:rPr>
                            <w:szCs w:val="24"/>
                          </w:rPr>
                          <w:t>Šiaulių miesto sav.</w:t>
                        </w:r>
                      </w:p>
                    </w:tc>
                    <w:tc>
                      <w:tcPr>
                        <w:tcW w:w="1978" w:type="dxa"/>
                        <w:tcBorders>
                          <w:top w:val="nil"/>
                          <w:left w:val="nil"/>
                          <w:bottom w:val="single" w:sz="4" w:space="0" w:color="auto"/>
                          <w:right w:val="single" w:sz="4" w:space="0" w:color="auto"/>
                        </w:tcBorders>
                        <w:shd w:val="clear" w:color="auto" w:fill="auto"/>
                        <w:noWrap/>
                        <w:hideMark/>
                      </w:tcPr>
                      <w:p>
                        <w:pPr>
                          <w:jc w:val="center"/>
                          <w:rPr>
                            <w:szCs w:val="24"/>
                          </w:rPr>
                        </w:pPr>
                        <w:r>
                          <w:rPr>
                            <w:szCs w:val="24"/>
                          </w:rPr>
                          <w:t>1.258.102,59</w:t>
                        </w:r>
                      </w:p>
                    </w:tc>
                    <w:tc>
                      <w:tcPr>
                        <w:tcW w:w="2009" w:type="dxa"/>
                        <w:tcBorders>
                          <w:top w:val="nil"/>
                          <w:left w:val="nil"/>
                          <w:bottom w:val="single" w:sz="4" w:space="0" w:color="auto"/>
                          <w:right w:val="single" w:sz="4" w:space="0" w:color="auto"/>
                        </w:tcBorders>
                        <w:shd w:val="clear" w:color="auto" w:fill="auto"/>
                        <w:hideMark/>
                      </w:tcPr>
                      <w:p>
                        <w:pPr>
                          <w:jc w:val="center"/>
                          <w:rPr>
                            <w:szCs w:val="24"/>
                          </w:rPr>
                        </w:pPr>
                        <w:r>
                          <w:rPr>
                            <w:szCs w:val="24"/>
                          </w:rPr>
                          <w:t>1.522.304,13</w:t>
                        </w:r>
                      </w:p>
                    </w:tc>
                    <w:tc>
                      <w:tcPr>
                        <w:tcW w:w="1433" w:type="dxa"/>
                        <w:tcBorders>
                          <w:top w:val="nil"/>
                          <w:left w:val="nil"/>
                          <w:bottom w:val="single" w:sz="4" w:space="0" w:color="auto"/>
                          <w:right w:val="single" w:sz="4" w:space="0" w:color="auto"/>
                        </w:tcBorders>
                        <w:shd w:val="clear" w:color="auto" w:fill="auto"/>
                        <w:noWrap/>
                        <w:hideMark/>
                      </w:tcPr>
                      <w:p>
                        <w:pPr>
                          <w:jc w:val="center"/>
                          <w:rPr>
                            <w:szCs w:val="24"/>
                          </w:rPr>
                        </w:pPr>
                        <w:r>
                          <w:rPr>
                            <w:szCs w:val="24"/>
                          </w:rPr>
                          <w:t>58,25</w:t>
                        </w:r>
                      </w:p>
                    </w:tc>
                    <w:tc>
                      <w:tcPr>
                        <w:tcW w:w="1565" w:type="dxa"/>
                        <w:tcBorders>
                          <w:top w:val="nil"/>
                          <w:left w:val="nil"/>
                          <w:bottom w:val="single" w:sz="4" w:space="0" w:color="auto"/>
                          <w:right w:val="single" w:sz="4" w:space="0" w:color="auto"/>
                        </w:tcBorders>
                        <w:shd w:val="clear" w:color="auto" w:fill="auto"/>
                        <w:hideMark/>
                      </w:tcPr>
                      <w:p>
                        <w:pPr>
                          <w:jc w:val="center"/>
                          <w:rPr>
                            <w:szCs w:val="24"/>
                          </w:rPr>
                        </w:pPr>
                        <w:r>
                          <w:rPr>
                            <w:szCs w:val="24"/>
                          </w:rPr>
                          <w:t>70,48</w:t>
                        </w:r>
                      </w:p>
                    </w:tc>
                  </w:tr>
                  <w:tr>
                    <w:trPr>
                      <w:trHeight w:val="258"/>
                      <w:jc w:val="center"/>
                    </w:trPr>
                    <w:tc>
                      <w:tcPr>
                        <w:tcW w:w="2724" w:type="dxa"/>
                        <w:tcBorders>
                          <w:top w:val="nil"/>
                          <w:left w:val="single" w:sz="4" w:space="0" w:color="auto"/>
                          <w:bottom w:val="single" w:sz="4" w:space="0" w:color="auto"/>
                          <w:right w:val="single" w:sz="4" w:space="0" w:color="auto"/>
                        </w:tcBorders>
                        <w:shd w:val="clear" w:color="auto" w:fill="auto"/>
                        <w:noWrap/>
                        <w:vAlign w:val="center"/>
                        <w:hideMark/>
                      </w:tcPr>
                      <w:p>
                        <w:pPr>
                          <w:tabs>
                            <w:tab w:val="left" w:pos="709"/>
                          </w:tabs>
                          <w:rPr>
                            <w:szCs w:val="24"/>
                          </w:rPr>
                        </w:pPr>
                        <w:r>
                          <w:rPr>
                            <w:szCs w:val="24"/>
                          </w:rPr>
                          <w:t>Šiaulių r. sav.</w:t>
                        </w:r>
                      </w:p>
                    </w:tc>
                    <w:tc>
                      <w:tcPr>
                        <w:tcW w:w="1978" w:type="dxa"/>
                        <w:tcBorders>
                          <w:top w:val="nil"/>
                          <w:left w:val="nil"/>
                          <w:bottom w:val="single" w:sz="4" w:space="0" w:color="auto"/>
                          <w:right w:val="single" w:sz="4" w:space="0" w:color="auto"/>
                        </w:tcBorders>
                        <w:shd w:val="clear" w:color="auto" w:fill="auto"/>
                        <w:noWrap/>
                        <w:hideMark/>
                      </w:tcPr>
                      <w:p>
                        <w:pPr>
                          <w:jc w:val="center"/>
                          <w:rPr>
                            <w:szCs w:val="24"/>
                          </w:rPr>
                        </w:pPr>
                        <w:r>
                          <w:rPr>
                            <w:szCs w:val="24"/>
                          </w:rPr>
                          <w:t>481.039,22</w:t>
                        </w:r>
                      </w:p>
                    </w:tc>
                    <w:tc>
                      <w:tcPr>
                        <w:tcW w:w="2009" w:type="dxa"/>
                        <w:tcBorders>
                          <w:top w:val="nil"/>
                          <w:left w:val="nil"/>
                          <w:bottom w:val="single" w:sz="4" w:space="0" w:color="auto"/>
                          <w:right w:val="single" w:sz="4" w:space="0" w:color="auto"/>
                        </w:tcBorders>
                        <w:shd w:val="clear" w:color="auto" w:fill="auto"/>
                        <w:hideMark/>
                      </w:tcPr>
                      <w:p>
                        <w:pPr>
                          <w:jc w:val="center"/>
                          <w:rPr>
                            <w:szCs w:val="24"/>
                          </w:rPr>
                        </w:pPr>
                        <w:r>
                          <w:rPr>
                            <w:szCs w:val="24"/>
                          </w:rPr>
                          <w:t>582.057,46</w:t>
                        </w:r>
                      </w:p>
                    </w:tc>
                    <w:tc>
                      <w:tcPr>
                        <w:tcW w:w="1433" w:type="dxa"/>
                        <w:tcBorders>
                          <w:top w:val="nil"/>
                          <w:left w:val="nil"/>
                          <w:bottom w:val="single" w:sz="4" w:space="0" w:color="auto"/>
                          <w:right w:val="single" w:sz="4" w:space="0" w:color="auto"/>
                        </w:tcBorders>
                        <w:shd w:val="clear" w:color="auto" w:fill="auto"/>
                        <w:noWrap/>
                        <w:hideMark/>
                      </w:tcPr>
                      <w:p>
                        <w:pPr>
                          <w:jc w:val="center"/>
                          <w:rPr>
                            <w:szCs w:val="24"/>
                          </w:rPr>
                        </w:pPr>
                        <w:r>
                          <w:rPr>
                            <w:szCs w:val="24"/>
                          </w:rPr>
                          <w:t>56,00</w:t>
                        </w:r>
                      </w:p>
                    </w:tc>
                    <w:tc>
                      <w:tcPr>
                        <w:tcW w:w="1565" w:type="dxa"/>
                        <w:tcBorders>
                          <w:top w:val="nil"/>
                          <w:left w:val="nil"/>
                          <w:bottom w:val="single" w:sz="4" w:space="0" w:color="auto"/>
                          <w:right w:val="single" w:sz="4" w:space="0" w:color="auto"/>
                        </w:tcBorders>
                        <w:shd w:val="clear" w:color="auto" w:fill="auto"/>
                        <w:hideMark/>
                      </w:tcPr>
                      <w:p>
                        <w:pPr>
                          <w:jc w:val="center"/>
                          <w:rPr>
                            <w:szCs w:val="24"/>
                          </w:rPr>
                        </w:pPr>
                        <w:r>
                          <w:rPr>
                            <w:szCs w:val="24"/>
                          </w:rPr>
                          <w:t>67,76</w:t>
                        </w:r>
                      </w:p>
                    </w:tc>
                  </w:tr>
                  <w:tr>
                    <w:trPr>
                      <w:trHeight w:val="258"/>
                      <w:jc w:val="center"/>
                    </w:trPr>
                    <w:tc>
                      <w:tcPr>
                        <w:tcW w:w="2724" w:type="dxa"/>
                        <w:tcBorders>
                          <w:top w:val="nil"/>
                          <w:left w:val="single" w:sz="4" w:space="0" w:color="auto"/>
                          <w:bottom w:val="single" w:sz="4" w:space="0" w:color="auto"/>
                          <w:right w:val="single" w:sz="4" w:space="0" w:color="auto"/>
                        </w:tcBorders>
                        <w:shd w:val="clear" w:color="auto" w:fill="auto"/>
                        <w:noWrap/>
                        <w:vAlign w:val="center"/>
                        <w:hideMark/>
                      </w:tcPr>
                      <w:p>
                        <w:pPr>
                          <w:tabs>
                            <w:tab w:val="left" w:pos="709"/>
                          </w:tabs>
                          <w:jc w:val="center"/>
                          <w:rPr>
                            <w:szCs w:val="24"/>
                          </w:rPr>
                        </w:pPr>
                      </w:p>
                    </w:tc>
                    <w:tc>
                      <w:tcPr>
                        <w:tcW w:w="1978" w:type="dxa"/>
                        <w:tcBorders>
                          <w:top w:val="nil"/>
                          <w:left w:val="nil"/>
                          <w:bottom w:val="single" w:sz="4" w:space="0" w:color="auto"/>
                          <w:right w:val="single" w:sz="4" w:space="0" w:color="auto"/>
                        </w:tcBorders>
                        <w:shd w:val="clear" w:color="auto" w:fill="auto"/>
                        <w:hideMark/>
                      </w:tcPr>
                      <w:p>
                        <w:pPr>
                          <w:jc w:val="center"/>
                          <w:rPr>
                            <w:szCs w:val="24"/>
                          </w:rPr>
                        </w:pPr>
                        <w:r>
                          <w:rPr>
                            <w:szCs w:val="24"/>
                          </w:rPr>
                          <w:t>3.109.497,24</w:t>
                        </w:r>
                      </w:p>
                    </w:tc>
                    <w:tc>
                      <w:tcPr>
                        <w:tcW w:w="2009" w:type="dxa"/>
                        <w:tcBorders>
                          <w:top w:val="nil"/>
                          <w:left w:val="nil"/>
                          <w:bottom w:val="single" w:sz="4" w:space="0" w:color="auto"/>
                          <w:right w:val="single" w:sz="4" w:space="0" w:color="auto"/>
                        </w:tcBorders>
                        <w:shd w:val="clear" w:color="auto" w:fill="auto"/>
                        <w:hideMark/>
                      </w:tcPr>
                      <w:p>
                        <w:pPr>
                          <w:jc w:val="center"/>
                          <w:rPr>
                            <w:szCs w:val="24"/>
                          </w:rPr>
                        </w:pPr>
                        <w:r>
                          <w:rPr>
                            <w:szCs w:val="24"/>
                          </w:rPr>
                          <w:t>3.762.491,65</w:t>
                        </w:r>
                      </w:p>
                    </w:tc>
                    <w:tc>
                      <w:tcPr>
                        <w:tcW w:w="1433" w:type="dxa"/>
                        <w:tcBorders>
                          <w:top w:val="nil"/>
                          <w:left w:val="nil"/>
                          <w:bottom w:val="single" w:sz="4" w:space="0" w:color="auto"/>
                          <w:right w:val="single" w:sz="4" w:space="0" w:color="auto"/>
                        </w:tcBorders>
                        <w:shd w:val="clear" w:color="auto" w:fill="auto"/>
                        <w:noWrap/>
                        <w:hideMark/>
                      </w:tcPr>
                      <w:p>
                        <w:pPr>
                          <w:jc w:val="center"/>
                          <w:rPr>
                            <w:szCs w:val="24"/>
                          </w:rPr>
                        </w:pPr>
                      </w:p>
                    </w:tc>
                    <w:tc>
                      <w:tcPr>
                        <w:tcW w:w="1565" w:type="dxa"/>
                        <w:tcBorders>
                          <w:top w:val="nil"/>
                          <w:left w:val="nil"/>
                          <w:bottom w:val="single" w:sz="4" w:space="0" w:color="auto"/>
                          <w:right w:val="single" w:sz="4" w:space="0" w:color="auto"/>
                        </w:tcBorders>
                        <w:shd w:val="clear" w:color="auto" w:fill="auto"/>
                        <w:noWrap/>
                        <w:hideMark/>
                      </w:tcPr>
                      <w:p>
                        <w:pPr>
                          <w:jc w:val="center"/>
                          <w:rPr>
                            <w:szCs w:val="24"/>
                          </w:rPr>
                        </w:pPr>
                      </w:p>
                    </w:tc>
                  </w:tr>
                </w:tbl>
                <w:p>
                  <w:pPr>
                    <w:spacing w:line="276" w:lineRule="auto"/>
                    <w:jc w:val="both"/>
                    <w:rPr>
                      <w:rFonts w:eastAsia="Lucida Sans Unicode"/>
                      <w:szCs w:val="24"/>
                      <w:lang w:eastAsia="ar-SA"/>
                    </w:rPr>
                  </w:pPr>
                </w:p>
                <w:p>
                  <w:pPr>
                    <w:spacing w:line="276" w:lineRule="auto"/>
                    <w:ind w:firstLine="709"/>
                    <w:jc w:val="both"/>
                    <w:rPr>
                      <w:rFonts w:eastAsia="Lucida Sans Unicode"/>
                      <w:szCs w:val="24"/>
                      <w:lang w:eastAsia="ar-SA"/>
                    </w:rPr>
                  </w:pPr>
                  <w:r>
                    <w:rPr>
                      <w:rFonts w:eastAsia="Lucida Sans Unicode"/>
                      <w:szCs w:val="24"/>
                      <w:lang w:eastAsia="ar-SA"/>
                    </w:rPr>
                    <w:t>Pagrindinė Įkainio didinimo priežastis buvo išaugęs mokestis už aplinkos teršimą sąvartyne šalinamomis atliekomis (toliau – Mokestis) iki 50 Eur/t bei smarkiai išaugusi infliacija, kuri įtakojo Mokesčio indeksavimo koeficiento dydį. 2023 m. Mokesčio indeksavimo koeficientas buvo 1,403 (2022 m. indeksavimo koeficientas 1,386, o 2021 m. – 1,138). Prieš tai galiojęs Įkainis buvo patvirtintas nuo 2020 m. sausio 15 d.</w:t>
                  </w:r>
                </w:p>
                <w:p>
                  <w:pPr>
                    <w:spacing w:line="276" w:lineRule="auto"/>
                    <w:ind w:firstLine="709"/>
                    <w:jc w:val="both"/>
                    <w:rPr>
                      <w:rFonts w:eastAsia="Lucida Sans Unicode"/>
                      <w:szCs w:val="24"/>
                      <w:lang w:eastAsia="ar-SA"/>
                    </w:rPr>
                  </w:pPr>
                  <w:r>
                    <w:rPr>
                      <w:rFonts w:eastAsia="Lucida Sans Unicode"/>
                      <w:szCs w:val="24"/>
                      <w:lang w:eastAsia="ar-SA"/>
                    </w:rPr>
                    <w:t>2024 m. lapkričio 13 d. vykusiame VšĮ Šiaulių regiono atliekų tvarkymo centras (toliau – ŠRATC) neeiliniame dalininkų susirinkime priimtas sprendimas nuo 2024 m. gruodžio 1 d. nustatyti komunalinių atliekų, išskyrus atskirai surinktas bioskaidžias atliekas, priėmimo ir apdorojimo įkainio pastovią ir kintamą dalis (toliau – Įkainis) Šiaulių regiono savivaldybėms:</w:t>
                  </w:r>
                </w:p>
                <w:tbl>
                  <w:tblPr>
                    <w:tblW w:w="8588" w:type="dxa"/>
                    <w:jc w:val="center"/>
                    <w:tblLook w:val="04A0" w:firstRow="1" w:lastRow="0" w:firstColumn="1" w:lastColumn="0" w:noHBand="0" w:noVBand="1"/>
                  </w:tblPr>
                  <w:tblGrid>
                    <w:gridCol w:w="2450"/>
                    <w:gridCol w:w="1750"/>
                    <w:gridCol w:w="1751"/>
                    <w:gridCol w:w="1318"/>
                    <w:gridCol w:w="1319"/>
                  </w:tblGrid>
                  <w:tr>
                    <w:trPr>
                      <w:trHeight w:val="318"/>
                      <w:jc w:val="center"/>
                    </w:trPr>
                    <w:tc>
                      <w:tcPr>
                        <w:tcW w:w="245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lang w:eastAsia="lt-LT"/>
                          </w:rPr>
                        </w:pPr>
                        <w:r>
                          <w:rPr>
                            <w:b/>
                            <w:bCs/>
                            <w:lang w:eastAsia="lt-LT"/>
                          </w:rPr>
                          <w:t>Savivaldybė</w:t>
                        </w:r>
                      </w:p>
                    </w:tc>
                    <w:tc>
                      <w:tcPr>
                        <w:tcW w:w="3501" w:type="dxa"/>
                        <w:gridSpan w:val="2"/>
                        <w:tcBorders>
                          <w:top w:val="single" w:sz="4" w:space="0" w:color="auto"/>
                          <w:left w:val="nil"/>
                          <w:bottom w:val="single" w:sz="4" w:space="0" w:color="auto"/>
                          <w:right w:val="single" w:sz="4" w:space="0" w:color="auto"/>
                        </w:tcBorders>
                        <w:shd w:val="clear" w:color="auto" w:fill="auto"/>
                        <w:noWrap/>
                        <w:vAlign w:val="center"/>
                        <w:hideMark/>
                      </w:tcPr>
                      <w:p>
                        <w:pPr>
                          <w:jc w:val="center"/>
                          <w:rPr>
                            <w:b/>
                            <w:bCs/>
                            <w:color w:val="000000"/>
                            <w:lang w:eastAsia="lt-LT"/>
                          </w:rPr>
                        </w:pPr>
                        <w:r>
                          <w:rPr>
                            <w:b/>
                            <w:bCs/>
                            <w:color w:val="000000"/>
                            <w:lang w:eastAsia="lt-LT"/>
                          </w:rPr>
                          <w:t>Pastovi dalis, Eur</w:t>
                        </w:r>
                      </w:p>
                    </w:tc>
                    <w:tc>
                      <w:tcPr>
                        <w:tcW w:w="2637" w:type="dxa"/>
                        <w:gridSpan w:val="2"/>
                        <w:tcBorders>
                          <w:top w:val="single" w:sz="4" w:space="0" w:color="auto"/>
                          <w:left w:val="nil"/>
                          <w:bottom w:val="single" w:sz="4" w:space="0" w:color="auto"/>
                          <w:right w:val="single" w:sz="4" w:space="0" w:color="auto"/>
                        </w:tcBorders>
                        <w:shd w:val="clear" w:color="auto" w:fill="auto"/>
                        <w:noWrap/>
                        <w:vAlign w:val="center"/>
                        <w:hideMark/>
                      </w:tcPr>
                      <w:p>
                        <w:pPr>
                          <w:jc w:val="center"/>
                          <w:rPr>
                            <w:b/>
                            <w:bCs/>
                            <w:color w:val="000000"/>
                            <w:lang w:eastAsia="lt-LT"/>
                          </w:rPr>
                        </w:pPr>
                        <w:r>
                          <w:rPr>
                            <w:b/>
                            <w:bCs/>
                            <w:color w:val="000000"/>
                            <w:lang w:eastAsia="lt-LT"/>
                          </w:rPr>
                          <w:t>Kintama dalis Eur/t</w:t>
                        </w:r>
                      </w:p>
                    </w:tc>
                  </w:tr>
                  <w:tr>
                    <w:trPr>
                      <w:trHeight w:val="318"/>
                      <w:jc w:val="center"/>
                    </w:trPr>
                    <w:tc>
                      <w:tcPr>
                        <w:tcW w:w="2450" w:type="dxa"/>
                        <w:vMerge/>
                        <w:tcBorders>
                          <w:top w:val="single" w:sz="4" w:space="0" w:color="auto"/>
                          <w:left w:val="single" w:sz="4" w:space="0" w:color="auto"/>
                          <w:bottom w:val="single" w:sz="4" w:space="0" w:color="auto"/>
                          <w:right w:val="single" w:sz="4" w:space="0" w:color="auto"/>
                        </w:tcBorders>
                        <w:vAlign w:val="center"/>
                        <w:hideMark/>
                      </w:tcPr>
                      <w:p>
                        <w:pPr>
                          <w:rPr>
                            <w:b/>
                            <w:bCs/>
                            <w:lang w:eastAsia="lt-LT"/>
                          </w:rPr>
                        </w:pPr>
                      </w:p>
                    </w:tc>
                    <w:tc>
                      <w:tcPr>
                        <w:tcW w:w="1750" w:type="dxa"/>
                        <w:tcBorders>
                          <w:top w:val="nil"/>
                          <w:left w:val="nil"/>
                          <w:bottom w:val="single" w:sz="4" w:space="0" w:color="auto"/>
                          <w:right w:val="single" w:sz="4" w:space="0" w:color="auto"/>
                        </w:tcBorders>
                        <w:shd w:val="clear" w:color="auto" w:fill="auto"/>
                        <w:vAlign w:val="center"/>
                        <w:hideMark/>
                      </w:tcPr>
                      <w:p>
                        <w:pPr>
                          <w:jc w:val="center"/>
                          <w:rPr>
                            <w:b/>
                            <w:bCs/>
                            <w:color w:val="000000"/>
                            <w:lang w:eastAsia="lt-LT"/>
                          </w:rPr>
                        </w:pPr>
                        <w:r>
                          <w:rPr>
                            <w:b/>
                            <w:bCs/>
                            <w:color w:val="000000"/>
                            <w:lang w:eastAsia="lt-LT"/>
                          </w:rPr>
                          <w:t>Be PVM</w:t>
                        </w:r>
                      </w:p>
                    </w:tc>
                    <w:tc>
                      <w:tcPr>
                        <w:tcW w:w="1750" w:type="dxa"/>
                        <w:tcBorders>
                          <w:top w:val="nil"/>
                          <w:left w:val="nil"/>
                          <w:bottom w:val="single" w:sz="4" w:space="0" w:color="auto"/>
                          <w:right w:val="single" w:sz="4" w:space="0" w:color="auto"/>
                        </w:tcBorders>
                        <w:shd w:val="clear" w:color="auto" w:fill="auto"/>
                        <w:vAlign w:val="center"/>
                        <w:hideMark/>
                      </w:tcPr>
                      <w:p>
                        <w:pPr>
                          <w:jc w:val="center"/>
                          <w:rPr>
                            <w:b/>
                            <w:bCs/>
                            <w:color w:val="000000"/>
                            <w:lang w:eastAsia="lt-LT"/>
                          </w:rPr>
                        </w:pPr>
                        <w:r>
                          <w:rPr>
                            <w:b/>
                            <w:bCs/>
                            <w:color w:val="000000"/>
                            <w:lang w:eastAsia="lt-LT"/>
                          </w:rPr>
                          <w:t>Su PVM</w:t>
                        </w:r>
                      </w:p>
                    </w:tc>
                    <w:tc>
                      <w:tcPr>
                        <w:tcW w:w="1318" w:type="dxa"/>
                        <w:tcBorders>
                          <w:top w:val="nil"/>
                          <w:left w:val="nil"/>
                          <w:bottom w:val="single" w:sz="4" w:space="0" w:color="auto"/>
                          <w:right w:val="single" w:sz="4" w:space="0" w:color="auto"/>
                        </w:tcBorders>
                        <w:shd w:val="clear" w:color="auto" w:fill="auto"/>
                        <w:vAlign w:val="center"/>
                        <w:hideMark/>
                      </w:tcPr>
                      <w:p>
                        <w:pPr>
                          <w:jc w:val="center"/>
                          <w:rPr>
                            <w:b/>
                            <w:bCs/>
                            <w:color w:val="000000"/>
                            <w:lang w:eastAsia="lt-LT"/>
                          </w:rPr>
                        </w:pPr>
                        <w:r>
                          <w:rPr>
                            <w:b/>
                            <w:bCs/>
                            <w:color w:val="000000"/>
                            <w:lang w:eastAsia="lt-LT"/>
                          </w:rPr>
                          <w:t>Be PVM</w:t>
                        </w:r>
                      </w:p>
                    </w:tc>
                    <w:tc>
                      <w:tcPr>
                        <w:tcW w:w="1318" w:type="dxa"/>
                        <w:tcBorders>
                          <w:top w:val="nil"/>
                          <w:left w:val="nil"/>
                          <w:bottom w:val="single" w:sz="4" w:space="0" w:color="auto"/>
                          <w:right w:val="single" w:sz="4" w:space="0" w:color="auto"/>
                        </w:tcBorders>
                        <w:shd w:val="clear" w:color="auto" w:fill="auto"/>
                        <w:vAlign w:val="center"/>
                        <w:hideMark/>
                      </w:tcPr>
                      <w:p>
                        <w:pPr>
                          <w:jc w:val="center"/>
                          <w:rPr>
                            <w:b/>
                            <w:bCs/>
                            <w:color w:val="000000"/>
                            <w:lang w:eastAsia="lt-LT"/>
                          </w:rPr>
                        </w:pPr>
                        <w:r>
                          <w:rPr>
                            <w:b/>
                            <w:bCs/>
                            <w:color w:val="000000"/>
                            <w:lang w:eastAsia="lt-LT"/>
                          </w:rPr>
                          <w:t>Su PVM</w:t>
                        </w:r>
                      </w:p>
                    </w:tc>
                  </w:tr>
                  <w:tr>
                    <w:trPr>
                      <w:trHeight w:val="318"/>
                      <w:jc w:val="center"/>
                    </w:trPr>
                    <w:tc>
                      <w:tcPr>
                        <w:tcW w:w="2450" w:type="dxa"/>
                        <w:tcBorders>
                          <w:top w:val="nil"/>
                          <w:left w:val="single" w:sz="4" w:space="0" w:color="auto"/>
                          <w:bottom w:val="single" w:sz="4" w:space="0" w:color="auto"/>
                          <w:right w:val="single" w:sz="4" w:space="0" w:color="auto"/>
                        </w:tcBorders>
                        <w:shd w:val="clear" w:color="auto" w:fill="auto"/>
                        <w:noWrap/>
                        <w:vAlign w:val="center"/>
                        <w:hideMark/>
                      </w:tcPr>
                      <w:p>
                        <w:pPr>
                          <w:rPr>
                            <w:lang w:eastAsia="lt-LT"/>
                          </w:rPr>
                        </w:pPr>
                        <w:r>
                          <w:rPr>
                            <w:lang w:eastAsia="lt-LT"/>
                          </w:rPr>
                          <w:t>Akmenės r. sav.</w:t>
                        </w:r>
                      </w:p>
                    </w:tc>
                    <w:tc>
                      <w:tcPr>
                        <w:tcW w:w="1750" w:type="dxa"/>
                        <w:tcBorders>
                          <w:top w:val="nil"/>
                          <w:left w:val="nil"/>
                          <w:bottom w:val="single" w:sz="4" w:space="0" w:color="auto"/>
                          <w:right w:val="single" w:sz="4" w:space="0" w:color="auto"/>
                        </w:tcBorders>
                        <w:shd w:val="clear" w:color="auto" w:fill="auto"/>
                        <w:noWrap/>
                        <w:vAlign w:val="bottom"/>
                        <w:hideMark/>
                      </w:tcPr>
                      <w:p>
                        <w:pPr>
                          <w:jc w:val="right"/>
                          <w:rPr>
                            <w:lang w:eastAsia="lt-LT"/>
                          </w:rPr>
                        </w:pPr>
                        <w:r>
                          <w:rPr>
                            <w:lang w:eastAsia="lt-LT"/>
                          </w:rPr>
                          <w:t>280.725,09</w:t>
                        </w:r>
                      </w:p>
                    </w:tc>
                    <w:tc>
                      <w:tcPr>
                        <w:tcW w:w="1750" w:type="dxa"/>
                        <w:tcBorders>
                          <w:top w:val="nil"/>
                          <w:left w:val="nil"/>
                          <w:bottom w:val="single" w:sz="4" w:space="0" w:color="auto"/>
                          <w:right w:val="single" w:sz="4" w:space="0" w:color="auto"/>
                        </w:tcBorders>
                        <w:shd w:val="clear" w:color="auto" w:fill="auto"/>
                        <w:noWrap/>
                        <w:vAlign w:val="bottom"/>
                        <w:hideMark/>
                      </w:tcPr>
                      <w:p>
                        <w:pPr>
                          <w:jc w:val="right"/>
                          <w:rPr>
                            <w:lang w:eastAsia="lt-LT"/>
                          </w:rPr>
                        </w:pPr>
                        <w:r>
                          <w:rPr>
                            <w:lang w:eastAsia="lt-LT"/>
                          </w:rPr>
                          <w:t>339.677,36</w:t>
                        </w:r>
                      </w:p>
                    </w:tc>
                    <w:tc>
                      <w:tcPr>
                        <w:tcW w:w="1318" w:type="dxa"/>
                        <w:tcBorders>
                          <w:top w:val="nil"/>
                          <w:left w:val="nil"/>
                          <w:bottom w:val="single" w:sz="4" w:space="0" w:color="auto"/>
                          <w:right w:val="single" w:sz="4" w:space="0" w:color="auto"/>
                        </w:tcBorders>
                        <w:shd w:val="clear" w:color="auto" w:fill="auto"/>
                        <w:noWrap/>
                        <w:vAlign w:val="bottom"/>
                        <w:hideMark/>
                      </w:tcPr>
                      <w:p>
                        <w:pPr>
                          <w:jc w:val="right"/>
                          <w:rPr>
                            <w:color w:val="000000"/>
                            <w:lang w:eastAsia="lt-LT"/>
                          </w:rPr>
                        </w:pPr>
                        <w:r>
                          <w:rPr>
                            <w:color w:val="000000"/>
                            <w:lang w:eastAsia="lt-LT"/>
                          </w:rPr>
                          <w:t>35,43</w:t>
                        </w:r>
                      </w:p>
                    </w:tc>
                    <w:tc>
                      <w:tcPr>
                        <w:tcW w:w="1318" w:type="dxa"/>
                        <w:tcBorders>
                          <w:top w:val="nil"/>
                          <w:left w:val="nil"/>
                          <w:bottom w:val="single" w:sz="4" w:space="0" w:color="auto"/>
                          <w:right w:val="single" w:sz="4" w:space="0" w:color="auto"/>
                        </w:tcBorders>
                        <w:shd w:val="clear" w:color="auto" w:fill="auto"/>
                        <w:noWrap/>
                        <w:vAlign w:val="bottom"/>
                        <w:hideMark/>
                      </w:tcPr>
                      <w:p>
                        <w:pPr>
                          <w:jc w:val="right"/>
                          <w:rPr>
                            <w:color w:val="000000"/>
                            <w:lang w:eastAsia="lt-LT"/>
                          </w:rPr>
                        </w:pPr>
                        <w:r>
                          <w:rPr>
                            <w:color w:val="000000"/>
                            <w:lang w:eastAsia="lt-LT"/>
                          </w:rPr>
                          <w:t>42,87</w:t>
                        </w:r>
                      </w:p>
                    </w:tc>
                  </w:tr>
                  <w:tr>
                    <w:trPr>
                      <w:trHeight w:val="318"/>
                      <w:jc w:val="center"/>
                    </w:trPr>
                    <w:tc>
                      <w:tcPr>
                        <w:tcW w:w="2450" w:type="dxa"/>
                        <w:tcBorders>
                          <w:top w:val="nil"/>
                          <w:left w:val="single" w:sz="4" w:space="0" w:color="auto"/>
                          <w:bottom w:val="single" w:sz="4" w:space="0" w:color="auto"/>
                          <w:right w:val="single" w:sz="4" w:space="0" w:color="auto"/>
                        </w:tcBorders>
                        <w:shd w:val="clear" w:color="auto" w:fill="auto"/>
                        <w:noWrap/>
                        <w:vAlign w:val="center"/>
                        <w:hideMark/>
                      </w:tcPr>
                      <w:p>
                        <w:pPr>
                          <w:rPr>
                            <w:lang w:eastAsia="lt-LT"/>
                          </w:rPr>
                        </w:pPr>
                        <w:r>
                          <w:rPr>
                            <w:lang w:eastAsia="lt-LT"/>
                          </w:rPr>
                          <w:t>Joniškio r. sav.</w:t>
                        </w:r>
                      </w:p>
                    </w:tc>
                    <w:tc>
                      <w:tcPr>
                        <w:tcW w:w="1750" w:type="dxa"/>
                        <w:tcBorders>
                          <w:top w:val="nil"/>
                          <w:left w:val="nil"/>
                          <w:bottom w:val="single" w:sz="4" w:space="0" w:color="auto"/>
                          <w:right w:val="single" w:sz="4" w:space="0" w:color="auto"/>
                        </w:tcBorders>
                        <w:shd w:val="clear" w:color="auto" w:fill="auto"/>
                        <w:noWrap/>
                        <w:vAlign w:val="bottom"/>
                        <w:hideMark/>
                      </w:tcPr>
                      <w:p>
                        <w:pPr>
                          <w:jc w:val="right"/>
                          <w:rPr>
                            <w:lang w:eastAsia="lt-LT"/>
                          </w:rPr>
                        </w:pPr>
                        <w:r>
                          <w:rPr>
                            <w:lang w:eastAsia="lt-LT"/>
                          </w:rPr>
                          <w:t>295.692,10</w:t>
                        </w:r>
                      </w:p>
                    </w:tc>
                    <w:tc>
                      <w:tcPr>
                        <w:tcW w:w="1750" w:type="dxa"/>
                        <w:tcBorders>
                          <w:top w:val="nil"/>
                          <w:left w:val="nil"/>
                          <w:bottom w:val="single" w:sz="4" w:space="0" w:color="auto"/>
                          <w:right w:val="single" w:sz="4" w:space="0" w:color="auto"/>
                        </w:tcBorders>
                        <w:shd w:val="clear" w:color="auto" w:fill="auto"/>
                        <w:noWrap/>
                        <w:vAlign w:val="bottom"/>
                        <w:hideMark/>
                      </w:tcPr>
                      <w:p>
                        <w:pPr>
                          <w:jc w:val="right"/>
                          <w:rPr>
                            <w:lang w:eastAsia="lt-LT"/>
                          </w:rPr>
                        </w:pPr>
                        <w:r>
                          <w:rPr>
                            <w:lang w:eastAsia="lt-LT"/>
                          </w:rPr>
                          <w:t>357.787,44</w:t>
                        </w:r>
                      </w:p>
                    </w:tc>
                    <w:tc>
                      <w:tcPr>
                        <w:tcW w:w="1318" w:type="dxa"/>
                        <w:tcBorders>
                          <w:top w:val="nil"/>
                          <w:left w:val="nil"/>
                          <w:bottom w:val="single" w:sz="4" w:space="0" w:color="auto"/>
                          <w:right w:val="single" w:sz="4" w:space="0" w:color="auto"/>
                        </w:tcBorders>
                        <w:shd w:val="clear" w:color="auto" w:fill="auto"/>
                        <w:noWrap/>
                        <w:vAlign w:val="bottom"/>
                        <w:hideMark/>
                      </w:tcPr>
                      <w:p>
                        <w:pPr>
                          <w:jc w:val="right"/>
                          <w:rPr>
                            <w:color w:val="000000"/>
                            <w:lang w:eastAsia="lt-LT"/>
                          </w:rPr>
                        </w:pPr>
                        <w:r>
                          <w:rPr>
                            <w:color w:val="000000"/>
                            <w:lang w:eastAsia="lt-LT"/>
                          </w:rPr>
                          <w:t>36,48</w:t>
                        </w:r>
                      </w:p>
                    </w:tc>
                    <w:tc>
                      <w:tcPr>
                        <w:tcW w:w="1318" w:type="dxa"/>
                        <w:tcBorders>
                          <w:top w:val="nil"/>
                          <w:left w:val="nil"/>
                          <w:bottom w:val="single" w:sz="4" w:space="0" w:color="auto"/>
                          <w:right w:val="single" w:sz="4" w:space="0" w:color="auto"/>
                        </w:tcBorders>
                        <w:shd w:val="clear" w:color="auto" w:fill="auto"/>
                        <w:noWrap/>
                        <w:vAlign w:val="bottom"/>
                        <w:hideMark/>
                      </w:tcPr>
                      <w:p>
                        <w:pPr>
                          <w:jc w:val="right"/>
                          <w:rPr>
                            <w:color w:val="000000"/>
                            <w:lang w:eastAsia="lt-LT"/>
                          </w:rPr>
                        </w:pPr>
                        <w:r>
                          <w:rPr>
                            <w:color w:val="000000"/>
                            <w:lang w:eastAsia="lt-LT"/>
                          </w:rPr>
                          <w:t>44,14</w:t>
                        </w:r>
                      </w:p>
                    </w:tc>
                  </w:tr>
                  <w:tr>
                    <w:trPr>
                      <w:trHeight w:val="318"/>
                      <w:jc w:val="center"/>
                    </w:trPr>
                    <w:tc>
                      <w:tcPr>
                        <w:tcW w:w="2450" w:type="dxa"/>
                        <w:tcBorders>
                          <w:top w:val="nil"/>
                          <w:left w:val="single" w:sz="4" w:space="0" w:color="auto"/>
                          <w:bottom w:val="single" w:sz="4" w:space="0" w:color="auto"/>
                          <w:right w:val="single" w:sz="4" w:space="0" w:color="auto"/>
                        </w:tcBorders>
                        <w:shd w:val="clear" w:color="auto" w:fill="auto"/>
                        <w:noWrap/>
                        <w:vAlign w:val="center"/>
                        <w:hideMark/>
                      </w:tcPr>
                      <w:p>
                        <w:pPr>
                          <w:rPr>
                            <w:lang w:eastAsia="lt-LT"/>
                          </w:rPr>
                        </w:pPr>
                        <w:r>
                          <w:rPr>
                            <w:lang w:eastAsia="lt-LT"/>
                          </w:rPr>
                          <w:t>Kelmės r. sav.</w:t>
                        </w:r>
                      </w:p>
                    </w:tc>
                    <w:tc>
                      <w:tcPr>
                        <w:tcW w:w="1750" w:type="dxa"/>
                        <w:tcBorders>
                          <w:top w:val="nil"/>
                          <w:left w:val="nil"/>
                          <w:bottom w:val="single" w:sz="4" w:space="0" w:color="auto"/>
                          <w:right w:val="single" w:sz="4" w:space="0" w:color="auto"/>
                        </w:tcBorders>
                        <w:shd w:val="clear" w:color="auto" w:fill="auto"/>
                        <w:noWrap/>
                        <w:vAlign w:val="bottom"/>
                        <w:hideMark/>
                      </w:tcPr>
                      <w:p>
                        <w:pPr>
                          <w:jc w:val="right"/>
                          <w:rPr>
                            <w:lang w:eastAsia="lt-LT"/>
                          </w:rPr>
                        </w:pPr>
                        <w:r>
                          <w:rPr>
                            <w:lang w:eastAsia="lt-LT"/>
                          </w:rPr>
                          <w:t>361.205,72</w:t>
                        </w:r>
                      </w:p>
                    </w:tc>
                    <w:tc>
                      <w:tcPr>
                        <w:tcW w:w="1750" w:type="dxa"/>
                        <w:tcBorders>
                          <w:top w:val="nil"/>
                          <w:left w:val="nil"/>
                          <w:bottom w:val="single" w:sz="4" w:space="0" w:color="auto"/>
                          <w:right w:val="single" w:sz="4" w:space="0" w:color="auto"/>
                        </w:tcBorders>
                        <w:shd w:val="clear" w:color="auto" w:fill="auto"/>
                        <w:noWrap/>
                        <w:vAlign w:val="bottom"/>
                        <w:hideMark/>
                      </w:tcPr>
                      <w:p>
                        <w:pPr>
                          <w:jc w:val="right"/>
                          <w:rPr>
                            <w:lang w:eastAsia="lt-LT"/>
                          </w:rPr>
                        </w:pPr>
                        <w:r>
                          <w:rPr>
                            <w:lang w:eastAsia="lt-LT"/>
                          </w:rPr>
                          <w:t>437.058,92</w:t>
                        </w:r>
                      </w:p>
                    </w:tc>
                    <w:tc>
                      <w:tcPr>
                        <w:tcW w:w="1318" w:type="dxa"/>
                        <w:tcBorders>
                          <w:top w:val="nil"/>
                          <w:left w:val="nil"/>
                          <w:bottom w:val="single" w:sz="4" w:space="0" w:color="auto"/>
                          <w:right w:val="single" w:sz="4" w:space="0" w:color="auto"/>
                        </w:tcBorders>
                        <w:shd w:val="clear" w:color="auto" w:fill="auto"/>
                        <w:noWrap/>
                        <w:vAlign w:val="bottom"/>
                        <w:hideMark/>
                      </w:tcPr>
                      <w:p>
                        <w:pPr>
                          <w:jc w:val="right"/>
                          <w:rPr>
                            <w:color w:val="000000"/>
                            <w:lang w:eastAsia="lt-LT"/>
                          </w:rPr>
                        </w:pPr>
                        <w:r>
                          <w:rPr>
                            <w:color w:val="000000"/>
                            <w:lang w:eastAsia="lt-LT"/>
                          </w:rPr>
                          <w:t>34,08</w:t>
                        </w:r>
                      </w:p>
                    </w:tc>
                    <w:tc>
                      <w:tcPr>
                        <w:tcW w:w="1318" w:type="dxa"/>
                        <w:tcBorders>
                          <w:top w:val="nil"/>
                          <w:left w:val="nil"/>
                          <w:bottom w:val="single" w:sz="4" w:space="0" w:color="auto"/>
                          <w:right w:val="single" w:sz="4" w:space="0" w:color="auto"/>
                        </w:tcBorders>
                        <w:shd w:val="clear" w:color="auto" w:fill="auto"/>
                        <w:noWrap/>
                        <w:vAlign w:val="bottom"/>
                        <w:hideMark/>
                      </w:tcPr>
                      <w:p>
                        <w:pPr>
                          <w:jc w:val="right"/>
                          <w:rPr>
                            <w:color w:val="000000"/>
                            <w:lang w:eastAsia="lt-LT"/>
                          </w:rPr>
                        </w:pPr>
                        <w:r>
                          <w:rPr>
                            <w:color w:val="000000"/>
                            <w:lang w:eastAsia="lt-LT"/>
                          </w:rPr>
                          <w:t>41,24</w:t>
                        </w:r>
                      </w:p>
                    </w:tc>
                  </w:tr>
                  <w:tr>
                    <w:trPr>
                      <w:trHeight w:val="318"/>
                      <w:jc w:val="center"/>
                    </w:trPr>
                    <w:tc>
                      <w:tcPr>
                        <w:tcW w:w="2450" w:type="dxa"/>
                        <w:tcBorders>
                          <w:top w:val="nil"/>
                          <w:left w:val="single" w:sz="4" w:space="0" w:color="auto"/>
                          <w:bottom w:val="single" w:sz="4" w:space="0" w:color="auto"/>
                          <w:right w:val="single" w:sz="4" w:space="0" w:color="auto"/>
                        </w:tcBorders>
                        <w:shd w:val="clear" w:color="auto" w:fill="auto"/>
                        <w:noWrap/>
                        <w:vAlign w:val="center"/>
                        <w:hideMark/>
                      </w:tcPr>
                      <w:p>
                        <w:pPr>
                          <w:rPr>
                            <w:lang w:eastAsia="lt-LT"/>
                          </w:rPr>
                        </w:pPr>
                        <w:r>
                          <w:rPr>
                            <w:lang w:eastAsia="lt-LT"/>
                          </w:rPr>
                          <w:t>Pakruojo r. sav.</w:t>
                        </w:r>
                      </w:p>
                    </w:tc>
                    <w:tc>
                      <w:tcPr>
                        <w:tcW w:w="1750" w:type="dxa"/>
                        <w:tcBorders>
                          <w:top w:val="nil"/>
                          <w:left w:val="nil"/>
                          <w:bottom w:val="single" w:sz="4" w:space="0" w:color="auto"/>
                          <w:right w:val="single" w:sz="4" w:space="0" w:color="auto"/>
                        </w:tcBorders>
                        <w:shd w:val="clear" w:color="auto" w:fill="auto"/>
                        <w:noWrap/>
                        <w:vAlign w:val="bottom"/>
                        <w:hideMark/>
                      </w:tcPr>
                      <w:p>
                        <w:pPr>
                          <w:jc w:val="right"/>
                          <w:rPr>
                            <w:lang w:eastAsia="lt-LT"/>
                          </w:rPr>
                        </w:pPr>
                        <w:r>
                          <w:rPr>
                            <w:lang w:eastAsia="lt-LT"/>
                          </w:rPr>
                          <w:t>261.430,27</w:t>
                        </w:r>
                      </w:p>
                    </w:tc>
                    <w:tc>
                      <w:tcPr>
                        <w:tcW w:w="1750" w:type="dxa"/>
                        <w:tcBorders>
                          <w:top w:val="nil"/>
                          <w:left w:val="nil"/>
                          <w:bottom w:val="single" w:sz="4" w:space="0" w:color="auto"/>
                          <w:right w:val="single" w:sz="4" w:space="0" w:color="auto"/>
                        </w:tcBorders>
                        <w:shd w:val="clear" w:color="auto" w:fill="auto"/>
                        <w:noWrap/>
                        <w:vAlign w:val="bottom"/>
                        <w:hideMark/>
                      </w:tcPr>
                      <w:p>
                        <w:pPr>
                          <w:jc w:val="right"/>
                          <w:rPr>
                            <w:lang w:eastAsia="lt-LT"/>
                          </w:rPr>
                        </w:pPr>
                        <w:r>
                          <w:rPr>
                            <w:lang w:eastAsia="lt-LT"/>
                          </w:rPr>
                          <w:t>316.330,63</w:t>
                        </w:r>
                      </w:p>
                    </w:tc>
                    <w:tc>
                      <w:tcPr>
                        <w:tcW w:w="1318" w:type="dxa"/>
                        <w:tcBorders>
                          <w:top w:val="nil"/>
                          <w:left w:val="nil"/>
                          <w:bottom w:val="single" w:sz="4" w:space="0" w:color="auto"/>
                          <w:right w:val="single" w:sz="4" w:space="0" w:color="auto"/>
                        </w:tcBorders>
                        <w:shd w:val="clear" w:color="auto" w:fill="auto"/>
                        <w:noWrap/>
                        <w:vAlign w:val="bottom"/>
                        <w:hideMark/>
                      </w:tcPr>
                      <w:p>
                        <w:pPr>
                          <w:jc w:val="right"/>
                          <w:rPr>
                            <w:color w:val="000000"/>
                            <w:lang w:eastAsia="lt-LT"/>
                          </w:rPr>
                        </w:pPr>
                        <w:r>
                          <w:rPr>
                            <w:color w:val="000000"/>
                            <w:lang w:eastAsia="lt-LT"/>
                          </w:rPr>
                          <w:t>35,28</w:t>
                        </w:r>
                      </w:p>
                    </w:tc>
                    <w:tc>
                      <w:tcPr>
                        <w:tcW w:w="1318" w:type="dxa"/>
                        <w:tcBorders>
                          <w:top w:val="nil"/>
                          <w:left w:val="nil"/>
                          <w:bottom w:val="single" w:sz="4" w:space="0" w:color="auto"/>
                          <w:right w:val="single" w:sz="4" w:space="0" w:color="auto"/>
                        </w:tcBorders>
                        <w:shd w:val="clear" w:color="auto" w:fill="auto"/>
                        <w:noWrap/>
                        <w:vAlign w:val="bottom"/>
                        <w:hideMark/>
                      </w:tcPr>
                      <w:p>
                        <w:pPr>
                          <w:jc w:val="right"/>
                          <w:rPr>
                            <w:color w:val="000000"/>
                            <w:lang w:eastAsia="lt-LT"/>
                          </w:rPr>
                        </w:pPr>
                        <w:r>
                          <w:rPr>
                            <w:color w:val="000000"/>
                            <w:lang w:eastAsia="lt-LT"/>
                          </w:rPr>
                          <w:t>42,69</w:t>
                        </w:r>
                      </w:p>
                    </w:tc>
                  </w:tr>
                  <w:tr>
                    <w:trPr>
                      <w:trHeight w:val="318"/>
                      <w:jc w:val="center"/>
                    </w:trPr>
                    <w:tc>
                      <w:tcPr>
                        <w:tcW w:w="2450" w:type="dxa"/>
                        <w:tcBorders>
                          <w:top w:val="nil"/>
                          <w:left w:val="single" w:sz="4" w:space="0" w:color="auto"/>
                          <w:bottom w:val="single" w:sz="4" w:space="0" w:color="auto"/>
                          <w:right w:val="single" w:sz="4" w:space="0" w:color="auto"/>
                        </w:tcBorders>
                        <w:shd w:val="clear" w:color="auto" w:fill="auto"/>
                        <w:noWrap/>
                        <w:vAlign w:val="center"/>
                        <w:hideMark/>
                      </w:tcPr>
                      <w:p>
                        <w:pPr>
                          <w:rPr>
                            <w:lang w:eastAsia="lt-LT"/>
                          </w:rPr>
                        </w:pPr>
                        <w:r>
                          <w:rPr>
                            <w:lang w:eastAsia="lt-LT"/>
                          </w:rPr>
                          <w:t>Radviliškio r. sav.</w:t>
                        </w:r>
                      </w:p>
                    </w:tc>
                    <w:tc>
                      <w:tcPr>
                        <w:tcW w:w="1750" w:type="dxa"/>
                        <w:tcBorders>
                          <w:top w:val="nil"/>
                          <w:left w:val="nil"/>
                          <w:bottom w:val="single" w:sz="4" w:space="0" w:color="auto"/>
                          <w:right w:val="single" w:sz="4" w:space="0" w:color="auto"/>
                        </w:tcBorders>
                        <w:shd w:val="clear" w:color="auto" w:fill="auto"/>
                        <w:noWrap/>
                        <w:vAlign w:val="bottom"/>
                        <w:hideMark/>
                      </w:tcPr>
                      <w:p>
                        <w:pPr>
                          <w:jc w:val="right"/>
                          <w:rPr>
                            <w:lang w:eastAsia="lt-LT"/>
                          </w:rPr>
                        </w:pPr>
                        <w:r>
                          <w:rPr>
                            <w:lang w:eastAsia="lt-LT"/>
                          </w:rPr>
                          <w:t>507.033,51</w:t>
                        </w:r>
                      </w:p>
                    </w:tc>
                    <w:tc>
                      <w:tcPr>
                        <w:tcW w:w="1750" w:type="dxa"/>
                        <w:tcBorders>
                          <w:top w:val="nil"/>
                          <w:left w:val="nil"/>
                          <w:bottom w:val="single" w:sz="4" w:space="0" w:color="auto"/>
                          <w:right w:val="single" w:sz="4" w:space="0" w:color="auto"/>
                        </w:tcBorders>
                        <w:shd w:val="clear" w:color="auto" w:fill="auto"/>
                        <w:noWrap/>
                        <w:vAlign w:val="bottom"/>
                        <w:hideMark/>
                      </w:tcPr>
                      <w:p>
                        <w:pPr>
                          <w:jc w:val="right"/>
                          <w:rPr>
                            <w:lang w:eastAsia="lt-LT"/>
                          </w:rPr>
                        </w:pPr>
                        <w:r>
                          <w:rPr>
                            <w:lang w:eastAsia="lt-LT"/>
                          </w:rPr>
                          <w:t>613.510,55</w:t>
                        </w:r>
                      </w:p>
                    </w:tc>
                    <w:tc>
                      <w:tcPr>
                        <w:tcW w:w="1318" w:type="dxa"/>
                        <w:tcBorders>
                          <w:top w:val="nil"/>
                          <w:left w:val="nil"/>
                          <w:bottom w:val="single" w:sz="4" w:space="0" w:color="auto"/>
                          <w:right w:val="single" w:sz="4" w:space="0" w:color="auto"/>
                        </w:tcBorders>
                        <w:shd w:val="clear" w:color="auto" w:fill="auto"/>
                        <w:noWrap/>
                        <w:vAlign w:val="bottom"/>
                        <w:hideMark/>
                      </w:tcPr>
                      <w:p>
                        <w:pPr>
                          <w:jc w:val="right"/>
                          <w:rPr>
                            <w:color w:val="000000"/>
                            <w:lang w:eastAsia="lt-LT"/>
                          </w:rPr>
                        </w:pPr>
                        <w:r>
                          <w:rPr>
                            <w:color w:val="000000"/>
                            <w:lang w:eastAsia="lt-LT"/>
                          </w:rPr>
                          <w:t>35,88</w:t>
                        </w:r>
                      </w:p>
                    </w:tc>
                    <w:tc>
                      <w:tcPr>
                        <w:tcW w:w="1318" w:type="dxa"/>
                        <w:tcBorders>
                          <w:top w:val="nil"/>
                          <w:left w:val="nil"/>
                          <w:bottom w:val="single" w:sz="4" w:space="0" w:color="auto"/>
                          <w:right w:val="single" w:sz="4" w:space="0" w:color="auto"/>
                        </w:tcBorders>
                        <w:shd w:val="clear" w:color="auto" w:fill="auto"/>
                        <w:noWrap/>
                        <w:vAlign w:val="bottom"/>
                        <w:hideMark/>
                      </w:tcPr>
                      <w:p>
                        <w:pPr>
                          <w:jc w:val="right"/>
                          <w:rPr>
                            <w:color w:val="000000"/>
                            <w:lang w:eastAsia="lt-LT"/>
                          </w:rPr>
                        </w:pPr>
                        <w:r>
                          <w:rPr>
                            <w:color w:val="000000"/>
                            <w:lang w:eastAsia="lt-LT"/>
                          </w:rPr>
                          <w:t>43,41</w:t>
                        </w:r>
                      </w:p>
                    </w:tc>
                  </w:tr>
                  <w:tr>
                    <w:trPr>
                      <w:trHeight w:val="318"/>
                      <w:jc w:val="center"/>
                    </w:trPr>
                    <w:tc>
                      <w:tcPr>
                        <w:tcW w:w="2450" w:type="dxa"/>
                        <w:tcBorders>
                          <w:top w:val="nil"/>
                          <w:left w:val="single" w:sz="4" w:space="0" w:color="auto"/>
                          <w:bottom w:val="single" w:sz="4" w:space="0" w:color="auto"/>
                          <w:right w:val="single" w:sz="4" w:space="0" w:color="auto"/>
                        </w:tcBorders>
                        <w:shd w:val="clear" w:color="auto" w:fill="auto"/>
                        <w:noWrap/>
                        <w:vAlign w:val="center"/>
                        <w:hideMark/>
                      </w:tcPr>
                      <w:p>
                        <w:pPr>
                          <w:rPr>
                            <w:lang w:eastAsia="lt-LT"/>
                          </w:rPr>
                        </w:pPr>
                        <w:r>
                          <w:rPr>
                            <w:lang w:eastAsia="lt-LT"/>
                          </w:rPr>
                          <w:t>Šiaulių miesto sav.</w:t>
                        </w:r>
                      </w:p>
                    </w:tc>
                    <w:tc>
                      <w:tcPr>
                        <w:tcW w:w="1750" w:type="dxa"/>
                        <w:tcBorders>
                          <w:top w:val="nil"/>
                          <w:left w:val="nil"/>
                          <w:bottom w:val="single" w:sz="4" w:space="0" w:color="auto"/>
                          <w:right w:val="single" w:sz="4" w:space="0" w:color="auto"/>
                        </w:tcBorders>
                        <w:shd w:val="clear" w:color="auto" w:fill="auto"/>
                        <w:noWrap/>
                        <w:vAlign w:val="bottom"/>
                        <w:hideMark/>
                      </w:tcPr>
                      <w:p>
                        <w:pPr>
                          <w:jc w:val="right"/>
                          <w:rPr>
                            <w:lang w:eastAsia="lt-LT"/>
                          </w:rPr>
                        </w:pPr>
                        <w:r>
                          <w:rPr>
                            <w:lang w:eastAsia="lt-LT"/>
                          </w:rPr>
                          <w:t>1.649.381,29</w:t>
                        </w:r>
                      </w:p>
                    </w:tc>
                    <w:tc>
                      <w:tcPr>
                        <w:tcW w:w="1750" w:type="dxa"/>
                        <w:tcBorders>
                          <w:top w:val="nil"/>
                          <w:left w:val="nil"/>
                          <w:bottom w:val="single" w:sz="4" w:space="0" w:color="auto"/>
                          <w:right w:val="single" w:sz="4" w:space="0" w:color="auto"/>
                        </w:tcBorders>
                        <w:shd w:val="clear" w:color="auto" w:fill="auto"/>
                        <w:noWrap/>
                        <w:vAlign w:val="bottom"/>
                        <w:hideMark/>
                      </w:tcPr>
                      <w:p>
                        <w:pPr>
                          <w:jc w:val="right"/>
                          <w:rPr>
                            <w:lang w:eastAsia="lt-LT"/>
                          </w:rPr>
                        </w:pPr>
                        <w:r>
                          <w:rPr>
                            <w:lang w:eastAsia="lt-LT"/>
                          </w:rPr>
                          <w:t>1.995.751,36</w:t>
                        </w:r>
                      </w:p>
                    </w:tc>
                    <w:tc>
                      <w:tcPr>
                        <w:tcW w:w="1318" w:type="dxa"/>
                        <w:tcBorders>
                          <w:top w:val="nil"/>
                          <w:left w:val="nil"/>
                          <w:bottom w:val="single" w:sz="4" w:space="0" w:color="auto"/>
                          <w:right w:val="single" w:sz="4" w:space="0" w:color="auto"/>
                        </w:tcBorders>
                        <w:shd w:val="clear" w:color="auto" w:fill="auto"/>
                        <w:noWrap/>
                        <w:vAlign w:val="bottom"/>
                        <w:hideMark/>
                      </w:tcPr>
                      <w:p>
                        <w:pPr>
                          <w:jc w:val="right"/>
                          <w:rPr>
                            <w:color w:val="000000"/>
                            <w:lang w:eastAsia="lt-LT"/>
                          </w:rPr>
                        </w:pPr>
                        <w:r>
                          <w:rPr>
                            <w:color w:val="000000"/>
                            <w:lang w:eastAsia="lt-LT"/>
                          </w:rPr>
                          <w:t>40,83</w:t>
                        </w:r>
                      </w:p>
                    </w:tc>
                    <w:tc>
                      <w:tcPr>
                        <w:tcW w:w="1318" w:type="dxa"/>
                        <w:tcBorders>
                          <w:top w:val="nil"/>
                          <w:left w:val="nil"/>
                          <w:bottom w:val="single" w:sz="4" w:space="0" w:color="auto"/>
                          <w:right w:val="single" w:sz="4" w:space="0" w:color="auto"/>
                        </w:tcBorders>
                        <w:shd w:val="clear" w:color="auto" w:fill="auto"/>
                        <w:noWrap/>
                        <w:vAlign w:val="bottom"/>
                        <w:hideMark/>
                      </w:tcPr>
                      <w:p>
                        <w:pPr>
                          <w:jc w:val="right"/>
                          <w:rPr>
                            <w:color w:val="000000"/>
                            <w:lang w:eastAsia="lt-LT"/>
                          </w:rPr>
                        </w:pPr>
                        <w:r>
                          <w:rPr>
                            <w:color w:val="000000"/>
                            <w:lang w:eastAsia="lt-LT"/>
                          </w:rPr>
                          <w:t>49,40</w:t>
                        </w:r>
                      </w:p>
                    </w:tc>
                  </w:tr>
                  <w:tr>
                    <w:trPr>
                      <w:trHeight w:val="318"/>
                      <w:jc w:val="center"/>
                    </w:trPr>
                    <w:tc>
                      <w:tcPr>
                        <w:tcW w:w="2450" w:type="dxa"/>
                        <w:tcBorders>
                          <w:top w:val="nil"/>
                          <w:left w:val="single" w:sz="4" w:space="0" w:color="auto"/>
                          <w:bottom w:val="single" w:sz="4" w:space="0" w:color="auto"/>
                          <w:right w:val="single" w:sz="4" w:space="0" w:color="auto"/>
                        </w:tcBorders>
                        <w:shd w:val="clear" w:color="auto" w:fill="auto"/>
                        <w:noWrap/>
                        <w:vAlign w:val="center"/>
                        <w:hideMark/>
                      </w:tcPr>
                      <w:p>
                        <w:pPr>
                          <w:rPr>
                            <w:lang w:eastAsia="lt-LT"/>
                          </w:rPr>
                        </w:pPr>
                        <w:r>
                          <w:rPr>
                            <w:lang w:eastAsia="lt-LT"/>
                          </w:rPr>
                          <w:t>Šiaulių r. sav.</w:t>
                        </w:r>
                      </w:p>
                    </w:tc>
                    <w:tc>
                      <w:tcPr>
                        <w:tcW w:w="1750" w:type="dxa"/>
                        <w:tcBorders>
                          <w:top w:val="nil"/>
                          <w:left w:val="nil"/>
                          <w:bottom w:val="single" w:sz="4" w:space="0" w:color="auto"/>
                          <w:right w:val="single" w:sz="4" w:space="0" w:color="auto"/>
                        </w:tcBorders>
                        <w:shd w:val="clear" w:color="auto" w:fill="auto"/>
                        <w:noWrap/>
                        <w:vAlign w:val="bottom"/>
                        <w:hideMark/>
                      </w:tcPr>
                      <w:p>
                        <w:pPr>
                          <w:jc w:val="right"/>
                          <w:rPr>
                            <w:lang w:eastAsia="lt-LT"/>
                          </w:rPr>
                        </w:pPr>
                        <w:r>
                          <w:rPr>
                            <w:lang w:eastAsia="lt-LT"/>
                          </w:rPr>
                          <w:t>600.303,38</w:t>
                        </w:r>
                      </w:p>
                    </w:tc>
                    <w:tc>
                      <w:tcPr>
                        <w:tcW w:w="1750" w:type="dxa"/>
                        <w:tcBorders>
                          <w:top w:val="nil"/>
                          <w:left w:val="nil"/>
                          <w:bottom w:val="single" w:sz="4" w:space="0" w:color="auto"/>
                          <w:right w:val="single" w:sz="4" w:space="0" w:color="auto"/>
                        </w:tcBorders>
                        <w:shd w:val="clear" w:color="auto" w:fill="auto"/>
                        <w:noWrap/>
                        <w:vAlign w:val="bottom"/>
                        <w:hideMark/>
                      </w:tcPr>
                      <w:p>
                        <w:pPr>
                          <w:jc w:val="right"/>
                          <w:rPr>
                            <w:lang w:eastAsia="lt-LT"/>
                          </w:rPr>
                        </w:pPr>
                        <w:r>
                          <w:rPr>
                            <w:lang w:eastAsia="lt-LT"/>
                          </w:rPr>
                          <w:t>726.367,09</w:t>
                        </w:r>
                      </w:p>
                    </w:tc>
                    <w:tc>
                      <w:tcPr>
                        <w:tcW w:w="1318" w:type="dxa"/>
                        <w:tcBorders>
                          <w:top w:val="nil"/>
                          <w:left w:val="nil"/>
                          <w:bottom w:val="single" w:sz="4" w:space="0" w:color="auto"/>
                          <w:right w:val="single" w:sz="4" w:space="0" w:color="auto"/>
                        </w:tcBorders>
                        <w:shd w:val="clear" w:color="auto" w:fill="auto"/>
                        <w:noWrap/>
                        <w:vAlign w:val="bottom"/>
                        <w:hideMark/>
                      </w:tcPr>
                      <w:p>
                        <w:pPr>
                          <w:jc w:val="right"/>
                          <w:rPr>
                            <w:color w:val="000000"/>
                            <w:lang w:eastAsia="lt-LT"/>
                          </w:rPr>
                        </w:pPr>
                        <w:r>
                          <w:rPr>
                            <w:color w:val="000000"/>
                            <w:lang w:eastAsia="lt-LT"/>
                          </w:rPr>
                          <w:t>38,58</w:t>
                        </w:r>
                      </w:p>
                    </w:tc>
                    <w:tc>
                      <w:tcPr>
                        <w:tcW w:w="1318" w:type="dxa"/>
                        <w:tcBorders>
                          <w:top w:val="nil"/>
                          <w:left w:val="nil"/>
                          <w:bottom w:val="single" w:sz="4" w:space="0" w:color="auto"/>
                          <w:right w:val="single" w:sz="4" w:space="0" w:color="auto"/>
                        </w:tcBorders>
                        <w:shd w:val="clear" w:color="auto" w:fill="auto"/>
                        <w:noWrap/>
                        <w:vAlign w:val="bottom"/>
                        <w:hideMark/>
                      </w:tcPr>
                      <w:p>
                        <w:pPr>
                          <w:jc w:val="right"/>
                          <w:rPr>
                            <w:color w:val="000000"/>
                            <w:lang w:eastAsia="lt-LT"/>
                          </w:rPr>
                        </w:pPr>
                        <w:r>
                          <w:rPr>
                            <w:color w:val="000000"/>
                            <w:lang w:eastAsia="lt-LT"/>
                          </w:rPr>
                          <w:t>46,68</w:t>
                        </w:r>
                      </w:p>
                    </w:tc>
                  </w:tr>
                  <w:tr>
                    <w:trPr>
                      <w:trHeight w:val="318"/>
                      <w:jc w:val="center"/>
                    </w:trPr>
                    <w:tc>
                      <w:tcPr>
                        <w:tcW w:w="2450" w:type="dxa"/>
                        <w:tcBorders>
                          <w:top w:val="nil"/>
                          <w:left w:val="single" w:sz="4" w:space="0" w:color="auto"/>
                          <w:bottom w:val="single" w:sz="4" w:space="0" w:color="auto"/>
                          <w:right w:val="single" w:sz="4" w:space="0" w:color="auto"/>
                        </w:tcBorders>
                        <w:shd w:val="clear" w:color="auto" w:fill="auto"/>
                        <w:noWrap/>
                        <w:vAlign w:val="bottom"/>
                        <w:hideMark/>
                      </w:tcPr>
                      <w:p>
                        <w:pPr>
                          <w:rPr>
                            <w:lang w:eastAsia="lt-LT"/>
                          </w:rPr>
                        </w:pPr>
                      </w:p>
                    </w:tc>
                    <w:tc>
                      <w:tcPr>
                        <w:tcW w:w="1750" w:type="dxa"/>
                        <w:tcBorders>
                          <w:top w:val="nil"/>
                          <w:left w:val="nil"/>
                          <w:bottom w:val="single" w:sz="4" w:space="0" w:color="auto"/>
                          <w:right w:val="single" w:sz="4" w:space="0" w:color="auto"/>
                        </w:tcBorders>
                        <w:shd w:val="clear" w:color="auto" w:fill="auto"/>
                        <w:noWrap/>
                        <w:vAlign w:val="bottom"/>
                        <w:hideMark/>
                      </w:tcPr>
                      <w:p>
                        <w:pPr>
                          <w:jc w:val="right"/>
                          <w:rPr>
                            <w:lang w:eastAsia="lt-LT"/>
                          </w:rPr>
                        </w:pPr>
                        <w:r>
                          <w:rPr>
                            <w:lang w:eastAsia="lt-LT"/>
                          </w:rPr>
                          <w:t>3.955.771,36</w:t>
                        </w:r>
                      </w:p>
                    </w:tc>
                    <w:tc>
                      <w:tcPr>
                        <w:tcW w:w="1750" w:type="dxa"/>
                        <w:tcBorders>
                          <w:top w:val="nil"/>
                          <w:left w:val="nil"/>
                          <w:bottom w:val="single" w:sz="4" w:space="0" w:color="auto"/>
                          <w:right w:val="single" w:sz="4" w:space="0" w:color="auto"/>
                        </w:tcBorders>
                        <w:shd w:val="clear" w:color="auto" w:fill="auto"/>
                        <w:noWrap/>
                        <w:vAlign w:val="bottom"/>
                        <w:hideMark/>
                      </w:tcPr>
                      <w:p>
                        <w:pPr>
                          <w:jc w:val="right"/>
                          <w:rPr>
                            <w:lang w:eastAsia="lt-LT"/>
                          </w:rPr>
                        </w:pPr>
                        <w:r>
                          <w:rPr>
                            <w:lang w:eastAsia="lt-LT"/>
                          </w:rPr>
                          <w:t>4.786.483,35</w:t>
                        </w:r>
                      </w:p>
                    </w:tc>
                    <w:tc>
                      <w:tcPr>
                        <w:tcW w:w="1318" w:type="dxa"/>
                        <w:tcBorders>
                          <w:top w:val="nil"/>
                          <w:left w:val="nil"/>
                          <w:bottom w:val="single" w:sz="4" w:space="0" w:color="auto"/>
                          <w:right w:val="single" w:sz="4" w:space="0" w:color="auto"/>
                        </w:tcBorders>
                        <w:shd w:val="clear" w:color="auto" w:fill="auto"/>
                        <w:noWrap/>
                        <w:vAlign w:val="bottom"/>
                        <w:hideMark/>
                      </w:tcPr>
                      <w:p>
                        <w:pPr>
                          <w:rPr>
                            <w:color w:val="000000"/>
                            <w:lang w:eastAsia="lt-LT"/>
                          </w:rPr>
                        </w:pPr>
                      </w:p>
                    </w:tc>
                    <w:tc>
                      <w:tcPr>
                        <w:tcW w:w="1318" w:type="dxa"/>
                        <w:tcBorders>
                          <w:top w:val="nil"/>
                          <w:left w:val="nil"/>
                          <w:bottom w:val="single" w:sz="4" w:space="0" w:color="auto"/>
                          <w:right w:val="single" w:sz="4" w:space="0" w:color="auto"/>
                        </w:tcBorders>
                        <w:shd w:val="clear" w:color="auto" w:fill="auto"/>
                        <w:noWrap/>
                        <w:vAlign w:val="bottom"/>
                        <w:hideMark/>
                      </w:tcPr>
                      <w:p>
                        <w:pPr>
                          <w:rPr>
                            <w:color w:val="000000"/>
                            <w:lang w:eastAsia="lt-LT"/>
                          </w:rPr>
                        </w:pPr>
                      </w:p>
                    </w:tc>
                  </w:tr>
                </w:tbl>
                <w:p>
                  <w:pPr>
                    <w:spacing w:line="276" w:lineRule="auto"/>
                    <w:jc w:val="both"/>
                    <w:rPr>
                      <w:rFonts w:eastAsia="Lucida Sans Unicode"/>
                      <w:szCs w:val="24"/>
                      <w:lang w:eastAsia="ar-SA"/>
                    </w:rPr>
                  </w:pPr>
                </w:p>
              </w:sdtContent>
            </w:sdt>
            <w:sdt>
              <w:sdtPr>
                <w:alias w:val="1 pr. 2 p."/>
                <w:tag w:val="part_b5f4d07ba93f404faf74bd8d30efa01b"/>
                <w:lock w:val="sdtLocked"/>
                <w:richText/>
              </w:sdtPr>
              <w:sdtContent>
                <w:p>
                  <w:pPr>
                    <w:tabs>
                      <w:tab w:val="left" w:pos="993"/>
                    </w:tabs>
                    <w:spacing w:line="276" w:lineRule="auto"/>
                    <w:ind w:firstLine="709"/>
                    <w:jc w:val="both"/>
                    <w:rPr>
                      <w:rFonts w:eastAsia="Lucida Sans Unicode"/>
                      <w:szCs w:val="24"/>
                      <w:lang w:eastAsia="ar-SA"/>
                    </w:rPr>
                  </w:pPr>
                  <w:sdt>
                    <w:sdtPr>
                      <w:alias w:val="Numeris"/>
                      <w:tag w:val="nr_b5f4d07ba93f404faf74bd8d30efa01b"/>
                      <w:lock w:val="sdtLocked"/>
                      <w:richText/>
                    </w:sdtPr>
                    <w:sdtContent>
                      <w:r>
                        <w:rPr>
                          <w:rFonts w:eastAsia="Lucida Sans Unicode"/>
                          <w:szCs w:val="24"/>
                          <w:lang w:eastAsia="ar-SA"/>
                        </w:rPr>
                        <w:t>2</w:t>
                      </w:r>
                    </w:sdtContent>
                  </w:sdt>
                  <w:r>
                    <w:rPr>
                      <w:rFonts w:eastAsia="Lucida Sans Unicode"/>
                      <w:szCs w:val="24"/>
                      <w:lang w:eastAsia="ar-SA"/>
                    </w:rPr>
                    <w:t>.</w:t>
                    <w:tab/>
                    <w:t>2022</w:t>
                  </w:r>
                  <w:r>
                    <w:rPr>
                      <w:rFonts w:eastAsia="Lucida Sans Unicode"/>
                      <w:b/>
                      <w:szCs w:val="24"/>
                      <w:lang w:eastAsia="ar-SA"/>
                    </w:rPr>
                    <w:t xml:space="preserve"> </w:t>
                  </w:r>
                  <w:r>
                    <w:rPr>
                      <w:rFonts w:eastAsia="Lucida Sans Unicode"/>
                      <w:szCs w:val="24"/>
                      <w:lang w:eastAsia="ar-SA"/>
                    </w:rPr>
                    <w:t xml:space="preserve">m. kovo 22 d.  atliekų deginimo įkainis išaugo nuo 34 iki 44 Eur/t (be transportavimo sąnaudų (apie 14 Eur/t); Pažymėtina, kad atlikus rinkos tyrimą, 2025 m. prognozuojamas atliekų deginimo kainos didėjimas iki 53–70 Eur/t.  </w:t>
                  </w:r>
                </w:p>
              </w:sdtContent>
            </w:sdt>
            <w:sdt>
              <w:sdtPr>
                <w:alias w:val="1 pr. 3 p."/>
                <w:tag w:val="part_1a44e10c30a74222a7e3e29f7b4c1d0a"/>
                <w:lock w:val="sdtLocked"/>
                <w:richText/>
              </w:sdtPr>
              <w:sdtContent>
                <w:p>
                  <w:pPr>
                    <w:tabs>
                      <w:tab w:val="left" w:pos="993"/>
                    </w:tabs>
                    <w:spacing w:line="276" w:lineRule="auto"/>
                    <w:ind w:firstLine="709"/>
                    <w:jc w:val="both"/>
                    <w:rPr>
                      <w:rFonts w:eastAsia="Lucida Sans Unicode"/>
                      <w:szCs w:val="24"/>
                      <w:lang w:eastAsia="ar-SA"/>
                    </w:rPr>
                  </w:pPr>
                  <w:sdt>
                    <w:sdtPr>
                      <w:alias w:val="Numeris"/>
                      <w:tag w:val="nr_1a44e10c30a74222a7e3e29f7b4c1d0a"/>
                      <w:lock w:val="sdtLocked"/>
                      <w:richText/>
                    </w:sdtPr>
                    <w:sdtContent>
                      <w:r>
                        <w:rPr>
                          <w:rFonts w:eastAsia="Lucida Sans Unicode"/>
                          <w:szCs w:val="24"/>
                          <w:lang w:eastAsia="ar-SA"/>
                        </w:rPr>
                        <w:t>3</w:t>
                      </w:r>
                    </w:sdtContent>
                  </w:sdt>
                  <w:r>
                    <w:rPr>
                      <w:rFonts w:eastAsia="Lucida Sans Unicode"/>
                      <w:szCs w:val="24"/>
                      <w:lang w:eastAsia="ar-SA"/>
                    </w:rPr>
                    <w:t>.</w:t>
                    <w:tab/>
                  </w:r>
                  <w:r>
                    <w:rPr>
                      <w:szCs w:val="24"/>
                    </w:rPr>
                    <w:t xml:space="preserve">Nuo 2024 m. sausio 1 d. savivaldybės teritorijoje privalomas atskiras maisto ir virtuvės atliekų surinkimas, todėl 2024 m. sausio 18 d. su UAB Ekonovus pasirašytas papildomas susitarimas prie 2022 m. rugsėjo 19 d. Radviliškio rajono savivaldybės komunalinių atliekų surinkimo ir transportavimo į jų apdorojimo vietas (įrenginius) paslaugų teikimo sutarties Nr. S-292, kuriame numatyta papildoma paslauga  – maisto ir virtuvės atliekų surinkimas. Tokiu būdu atliekų surinkimo – vežimo sąnaudos – 5 382 Eur be PVM (apie 150 t). Bendra suma su PVM sudarys apie 90486 Eur per metus.</w:t>
                  </w:r>
                </w:p>
              </w:sdtContent>
            </w:sdt>
            <w:sdt>
              <w:sdtPr>
                <w:alias w:val="1 pr. 4 p."/>
                <w:tag w:val="part_c3d313708e1046a5afb8a53f4c3b3297"/>
                <w:lock w:val="sdtLocked"/>
                <w:richText/>
              </w:sdtPr>
              <w:sdtContent>
                <w:p>
                  <w:pPr>
                    <w:tabs>
                      <w:tab w:val="left" w:pos="993"/>
                    </w:tabs>
                    <w:spacing w:line="276" w:lineRule="auto"/>
                    <w:ind w:firstLine="709"/>
                    <w:jc w:val="both"/>
                    <w:rPr>
                      <w:rFonts w:eastAsia="Lucida Sans Unicode"/>
                      <w:szCs w:val="24"/>
                      <w:lang w:eastAsia="ar-SA"/>
                    </w:rPr>
                  </w:pPr>
                  <w:sdt>
                    <w:sdtPr>
                      <w:alias w:val="Numeris"/>
                      <w:tag w:val="nr_c3d313708e1046a5afb8a53f4c3b3297"/>
                      <w:lock w:val="sdtLocked"/>
                      <w:richText/>
                    </w:sdtPr>
                    <w:sdtContent>
                      <w:r>
                        <w:rPr>
                          <w:rFonts w:eastAsia="Lucida Sans Unicode"/>
                          <w:szCs w:val="24"/>
                          <w:lang w:eastAsia="ar-SA"/>
                        </w:rPr>
                        <w:t>4</w:t>
                      </w:r>
                    </w:sdtContent>
                  </w:sdt>
                  <w:r>
                    <w:rPr>
                      <w:rFonts w:eastAsia="Lucida Sans Unicode"/>
                      <w:szCs w:val="24"/>
                      <w:lang w:eastAsia="ar-SA"/>
                    </w:rPr>
                    <w:t>.</w:t>
                    <w:tab/>
                    <w:t>Atsižvelgiant į suminius metinius vartotojų kainų indekso pokyčius, kuriuos skelbia Statistikos departamentas, nuo 2024 m. gegužės 1 d. 19,9 proc. padidėjo surinkimo–vežimo įkainiai;</w:t>
                  </w:r>
                </w:p>
              </w:sdtContent>
            </w:sdt>
            <w:sdt>
              <w:sdtPr>
                <w:alias w:val="1 pr. 5 p."/>
                <w:tag w:val="part_7d00f23cdef44f18961e159771524ea2"/>
                <w:lock w:val="sdtLocked"/>
                <w:richText/>
              </w:sdtPr>
              <w:sdtContent>
                <w:p>
                  <w:pPr>
                    <w:tabs>
                      <w:tab w:val="left" w:pos="993"/>
                    </w:tabs>
                    <w:spacing w:line="276" w:lineRule="auto"/>
                    <w:ind w:firstLine="709"/>
                    <w:jc w:val="both"/>
                    <w:rPr>
                      <w:rFonts w:eastAsia="Lucida Sans Unicode"/>
                      <w:szCs w:val="24"/>
                      <w:lang w:eastAsia="ar-SA"/>
                    </w:rPr>
                  </w:pPr>
                  <w:sdt>
                    <w:sdtPr>
                      <w:alias w:val="Numeris"/>
                      <w:tag w:val="nr_7d00f23cdef44f18961e159771524ea2"/>
                      <w:lock w:val="sdtLocked"/>
                      <w:richText/>
                    </w:sdtPr>
                    <w:sdtContent>
                      <w:r>
                        <w:rPr>
                          <w:rFonts w:eastAsia="Lucida Sans Unicode"/>
                          <w:szCs w:val="24"/>
                          <w:lang w:eastAsia="ar-SA"/>
                        </w:rPr>
                        <w:t>5</w:t>
                      </w:r>
                    </w:sdtContent>
                  </w:sdt>
                  <w:r>
                    <w:rPr>
                      <w:rFonts w:eastAsia="Lucida Sans Unicode"/>
                      <w:szCs w:val="24"/>
                      <w:lang w:eastAsia="ar-SA"/>
                    </w:rPr>
                    <w:t>.</w:t>
                    <w:tab/>
                    <w:t xml:space="preserve">Surenkamas didesnis komunalinių atliekų kiekis, t. y., didėja vežėjo surenkamų biologiškai skaidžių atliekų apvažiavimo būdu surenkamų atliekų kiekiai. Taip pat didėja didelio gabarito atliekų surinkimo ir žaliųjų atliekų kompostavimo aikštelėse surenkami atliekų kiekiai. </w:t>
                  </w:r>
                </w:p>
                <w:p>
                  <w:pPr>
                    <w:spacing w:line="276" w:lineRule="auto"/>
                    <w:jc w:val="both"/>
                    <w:rPr>
                      <w:rFonts w:eastAsia="Lucida Sans Unicode"/>
                      <w:szCs w:val="24"/>
                      <w:lang w:eastAsia="ar-SA"/>
                    </w:rPr>
                  </w:pPr>
                </w:p>
                <w:tbl>
                  <w:tblPr>
                    <w:tblW w:w="9020" w:type="dxa"/>
                    <w:tblLook w:val="04A0" w:firstRow="1" w:lastRow="0" w:firstColumn="1" w:lastColumn="0" w:noHBand="0" w:noVBand="1"/>
                  </w:tblPr>
                  <w:tblGrid>
                    <w:gridCol w:w="1035"/>
                    <w:gridCol w:w="2085"/>
                    <w:gridCol w:w="1146"/>
                    <w:gridCol w:w="1146"/>
                    <w:gridCol w:w="1146"/>
                    <w:gridCol w:w="1316"/>
                    <w:gridCol w:w="1146"/>
                  </w:tblGrid>
                  <w:tr>
                    <w:trPr>
                      <w:trHeight w:val="288"/>
                    </w:trPr>
                    <w:tc>
                      <w:tcPr>
                        <w:tcW w:w="3120"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Atliekų pavadinimas</w:t>
                        </w:r>
                      </w:p>
                    </w:tc>
                    <w:tc>
                      <w:tcPr>
                        <w:tcW w:w="5900" w:type="dxa"/>
                        <w:gridSpan w:val="5"/>
                        <w:tcBorders>
                          <w:top w:val="single" w:sz="4" w:space="0" w:color="auto"/>
                          <w:left w:val="nil"/>
                          <w:bottom w:val="single" w:sz="4" w:space="0" w:color="auto"/>
                          <w:right w:val="single" w:sz="4"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Kiekis, t</w:t>
                        </w:r>
                      </w:p>
                    </w:tc>
                  </w:tr>
                  <w:tr>
                    <w:trPr>
                      <w:trHeight w:val="552"/>
                    </w:trPr>
                    <w:tc>
                      <w:tcPr>
                        <w:tcW w:w="3120"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000000"/>
                            <w:sz w:val="22"/>
                            <w:szCs w:val="22"/>
                            <w:lang w:eastAsia="lt-LT"/>
                          </w:rPr>
                        </w:pPr>
                      </w:p>
                    </w:tc>
                    <w:tc>
                      <w:tcPr>
                        <w:tcW w:w="1146" w:type="dxa"/>
                        <w:tcBorders>
                          <w:top w:val="nil"/>
                          <w:left w:val="nil"/>
                          <w:bottom w:val="single" w:sz="4" w:space="0" w:color="auto"/>
                          <w:right w:val="single" w:sz="4"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2021 m.</w:t>
                        </w:r>
                      </w:p>
                    </w:tc>
                    <w:tc>
                      <w:tcPr>
                        <w:tcW w:w="1146" w:type="dxa"/>
                        <w:tcBorders>
                          <w:top w:val="nil"/>
                          <w:left w:val="nil"/>
                          <w:bottom w:val="single" w:sz="4" w:space="0" w:color="auto"/>
                          <w:right w:val="single" w:sz="4"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2022 m.</w:t>
                        </w:r>
                      </w:p>
                    </w:tc>
                    <w:tc>
                      <w:tcPr>
                        <w:tcW w:w="1146" w:type="dxa"/>
                        <w:tcBorders>
                          <w:top w:val="nil"/>
                          <w:left w:val="nil"/>
                          <w:bottom w:val="single" w:sz="4" w:space="0" w:color="auto"/>
                          <w:right w:val="single" w:sz="4"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2023 m.</w:t>
                        </w:r>
                      </w:p>
                    </w:tc>
                    <w:tc>
                      <w:tcPr>
                        <w:tcW w:w="131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2024 m. prognozė</w:t>
                        </w:r>
                      </w:p>
                    </w:tc>
                    <w:tc>
                      <w:tcPr>
                        <w:tcW w:w="1146" w:type="dxa"/>
                        <w:tcBorders>
                          <w:top w:val="nil"/>
                          <w:left w:val="nil"/>
                          <w:bottom w:val="single" w:sz="4" w:space="0" w:color="auto"/>
                          <w:right w:val="single" w:sz="4"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Prognozė</w:t>
                        </w:r>
                      </w:p>
                    </w:tc>
                  </w:tr>
                  <w:tr>
                    <w:trPr>
                      <w:trHeight w:val="792"/>
                    </w:trPr>
                    <w:tc>
                      <w:tcPr>
                        <w:tcW w:w="880" w:type="dxa"/>
                        <w:vMerge w:val="restart"/>
                        <w:tcBorders>
                          <w:top w:val="nil"/>
                          <w:left w:val="single" w:sz="4" w:space="0" w:color="auto"/>
                          <w:bottom w:val="single" w:sz="4" w:space="0" w:color="auto"/>
                          <w:right w:val="single" w:sz="4"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Vežėjas</w:t>
                        </w:r>
                      </w:p>
                    </w:tc>
                    <w:tc>
                      <w:tcPr>
                        <w:tcW w:w="2240"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Mišrios komunalinės atliekos iš fizinių asmenų</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5.182,83</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5.137,77</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6.039,06</w:t>
                        </w:r>
                      </w:p>
                    </w:tc>
                    <w:tc>
                      <w:tcPr>
                        <w:tcW w:w="131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6.400,00</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6.500,00</w:t>
                        </w:r>
                      </w:p>
                    </w:tc>
                  </w:tr>
                  <w:tr>
                    <w:trPr>
                      <w:trHeight w:val="792"/>
                    </w:trPr>
                    <w:tc>
                      <w:tcPr>
                        <w:tcW w:w="880" w:type="dxa"/>
                        <w:vMerge/>
                        <w:tcBorders>
                          <w:top w:val="nil"/>
                          <w:left w:val="single" w:sz="4" w:space="0" w:color="auto"/>
                          <w:bottom w:val="single" w:sz="4" w:space="0" w:color="auto"/>
                          <w:right w:val="single" w:sz="4" w:space="0" w:color="auto"/>
                        </w:tcBorders>
                        <w:vAlign w:val="center"/>
                        <w:hideMark/>
                      </w:tcPr>
                      <w:p>
                        <w:pPr>
                          <w:rPr>
                            <w:color w:val="000000"/>
                            <w:sz w:val="22"/>
                            <w:szCs w:val="22"/>
                            <w:lang w:eastAsia="lt-LT"/>
                          </w:rPr>
                        </w:pPr>
                      </w:p>
                    </w:tc>
                    <w:tc>
                      <w:tcPr>
                        <w:tcW w:w="2240"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Mišrios komunalinės atliekos iš juridinių asmenų</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3.545,43</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3.152,63</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1.490,16</w:t>
                        </w:r>
                      </w:p>
                    </w:tc>
                    <w:tc>
                      <w:tcPr>
                        <w:tcW w:w="131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1.090,00</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1.000,00</w:t>
                        </w:r>
                      </w:p>
                    </w:tc>
                  </w:tr>
                  <w:tr>
                    <w:trPr>
                      <w:trHeight w:val="528"/>
                    </w:trPr>
                    <w:tc>
                      <w:tcPr>
                        <w:tcW w:w="880" w:type="dxa"/>
                        <w:vMerge/>
                        <w:tcBorders>
                          <w:top w:val="nil"/>
                          <w:left w:val="single" w:sz="4" w:space="0" w:color="auto"/>
                          <w:bottom w:val="single" w:sz="4" w:space="0" w:color="auto"/>
                          <w:right w:val="single" w:sz="4" w:space="0" w:color="auto"/>
                        </w:tcBorders>
                        <w:vAlign w:val="center"/>
                        <w:hideMark/>
                      </w:tcPr>
                      <w:p>
                        <w:pPr>
                          <w:rPr>
                            <w:color w:val="000000"/>
                            <w:sz w:val="22"/>
                            <w:szCs w:val="22"/>
                            <w:lang w:eastAsia="lt-LT"/>
                          </w:rPr>
                        </w:pPr>
                      </w:p>
                    </w:tc>
                    <w:tc>
                      <w:tcPr>
                        <w:tcW w:w="2240"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Maisto ir virtuvės atliekos</w:t>
                        </w:r>
                      </w:p>
                    </w:tc>
                    <w:tc>
                      <w:tcPr>
                        <w:tcW w:w="1146" w:type="dxa"/>
                        <w:tcBorders>
                          <w:top w:val="nil"/>
                          <w:left w:val="nil"/>
                          <w:bottom w:val="single" w:sz="4" w:space="0" w:color="auto"/>
                          <w:right w:val="single" w:sz="4" w:space="0" w:color="auto"/>
                        </w:tcBorders>
                        <w:shd w:val="clear" w:color="auto" w:fill="auto"/>
                        <w:noWrap/>
                        <w:vAlign w:val="center"/>
                        <w:hideMark/>
                      </w:tcPr>
                      <w:p>
                        <w:pPr>
                          <w:ind w:firstLine="57"/>
                          <w:jc w:val="right"/>
                          <w:rPr>
                            <w:color w:val="000000"/>
                            <w:sz w:val="22"/>
                            <w:szCs w:val="22"/>
                            <w:lang w:eastAsia="lt-LT"/>
                          </w:rPr>
                        </w:pPr>
                      </w:p>
                    </w:tc>
                    <w:tc>
                      <w:tcPr>
                        <w:tcW w:w="1146" w:type="dxa"/>
                        <w:tcBorders>
                          <w:top w:val="nil"/>
                          <w:left w:val="nil"/>
                          <w:bottom w:val="single" w:sz="4" w:space="0" w:color="auto"/>
                          <w:right w:val="single" w:sz="4" w:space="0" w:color="auto"/>
                        </w:tcBorders>
                        <w:shd w:val="clear" w:color="auto" w:fill="auto"/>
                        <w:noWrap/>
                        <w:vAlign w:val="center"/>
                        <w:hideMark/>
                      </w:tcPr>
                      <w:p>
                        <w:pPr>
                          <w:ind w:firstLine="57"/>
                          <w:jc w:val="right"/>
                          <w:rPr>
                            <w:color w:val="000000"/>
                            <w:sz w:val="22"/>
                            <w:szCs w:val="22"/>
                            <w:lang w:eastAsia="lt-LT"/>
                          </w:rPr>
                        </w:pPr>
                      </w:p>
                    </w:tc>
                    <w:tc>
                      <w:tcPr>
                        <w:tcW w:w="1146" w:type="dxa"/>
                        <w:tcBorders>
                          <w:top w:val="nil"/>
                          <w:left w:val="nil"/>
                          <w:bottom w:val="single" w:sz="4" w:space="0" w:color="auto"/>
                          <w:right w:val="single" w:sz="4" w:space="0" w:color="auto"/>
                        </w:tcBorders>
                        <w:shd w:val="clear" w:color="auto" w:fill="auto"/>
                        <w:noWrap/>
                        <w:vAlign w:val="center"/>
                        <w:hideMark/>
                      </w:tcPr>
                      <w:p>
                        <w:pPr>
                          <w:ind w:firstLine="57"/>
                          <w:jc w:val="right"/>
                          <w:rPr>
                            <w:color w:val="000000"/>
                            <w:sz w:val="22"/>
                            <w:szCs w:val="22"/>
                            <w:lang w:eastAsia="lt-LT"/>
                          </w:rPr>
                        </w:pPr>
                      </w:p>
                    </w:tc>
                    <w:tc>
                      <w:tcPr>
                        <w:tcW w:w="131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115,00</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sz w:val="22"/>
                            <w:szCs w:val="22"/>
                            <w:lang w:eastAsia="lt-LT"/>
                          </w:rPr>
                        </w:pPr>
                        <w:r>
                          <w:rPr>
                            <w:sz w:val="22"/>
                            <w:szCs w:val="22"/>
                            <w:lang w:eastAsia="lt-LT"/>
                          </w:rPr>
                          <w:t>150,00</w:t>
                        </w:r>
                      </w:p>
                    </w:tc>
                  </w:tr>
                  <w:tr>
                    <w:trPr>
                      <w:trHeight w:val="288"/>
                    </w:trPr>
                    <w:tc>
                      <w:tcPr>
                        <w:tcW w:w="880" w:type="dxa"/>
                        <w:vMerge/>
                        <w:tcBorders>
                          <w:top w:val="nil"/>
                          <w:left w:val="single" w:sz="4" w:space="0" w:color="auto"/>
                          <w:bottom w:val="single" w:sz="4" w:space="0" w:color="auto"/>
                          <w:right w:val="single" w:sz="4" w:space="0" w:color="auto"/>
                        </w:tcBorders>
                        <w:vAlign w:val="center"/>
                        <w:hideMark/>
                      </w:tcPr>
                      <w:p>
                        <w:pPr>
                          <w:rPr>
                            <w:color w:val="000000"/>
                            <w:sz w:val="22"/>
                            <w:szCs w:val="22"/>
                            <w:lang w:eastAsia="lt-LT"/>
                          </w:rPr>
                        </w:pPr>
                      </w:p>
                    </w:tc>
                    <w:tc>
                      <w:tcPr>
                        <w:tcW w:w="2240"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Bioskaidžios atliekos</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1.208,59</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1.069,06</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1.022,68</w:t>
                        </w:r>
                      </w:p>
                    </w:tc>
                    <w:tc>
                      <w:tcPr>
                        <w:tcW w:w="131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1.400,00</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1.300,00</w:t>
                        </w:r>
                      </w:p>
                    </w:tc>
                  </w:tr>
                  <w:tr>
                    <w:trPr>
                      <w:trHeight w:val="288"/>
                    </w:trPr>
                    <w:tc>
                      <w:tcPr>
                        <w:tcW w:w="880" w:type="dxa"/>
                        <w:vMerge/>
                        <w:tcBorders>
                          <w:top w:val="nil"/>
                          <w:left w:val="single" w:sz="4" w:space="0" w:color="auto"/>
                          <w:bottom w:val="single" w:sz="4" w:space="0" w:color="auto"/>
                          <w:right w:val="single" w:sz="4" w:space="0" w:color="auto"/>
                        </w:tcBorders>
                        <w:vAlign w:val="center"/>
                        <w:hideMark/>
                      </w:tcPr>
                      <w:p>
                        <w:pPr>
                          <w:rPr>
                            <w:color w:val="000000"/>
                            <w:sz w:val="22"/>
                            <w:szCs w:val="22"/>
                            <w:lang w:eastAsia="lt-LT"/>
                          </w:rPr>
                        </w:pPr>
                      </w:p>
                    </w:tc>
                    <w:tc>
                      <w:tcPr>
                        <w:tcW w:w="2240"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Didelio gabarito atliekos</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220,07</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191,56</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144,92</w:t>
                        </w:r>
                      </w:p>
                    </w:tc>
                    <w:tc>
                      <w:tcPr>
                        <w:tcW w:w="131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380,00</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380,00</w:t>
                        </w:r>
                      </w:p>
                    </w:tc>
                  </w:tr>
                  <w:tr>
                    <w:trPr>
                      <w:trHeight w:val="288"/>
                    </w:trPr>
                    <w:tc>
                      <w:tcPr>
                        <w:tcW w:w="880" w:type="dxa"/>
                        <w:vMerge/>
                        <w:tcBorders>
                          <w:top w:val="nil"/>
                          <w:left w:val="single" w:sz="4" w:space="0" w:color="auto"/>
                          <w:bottom w:val="single" w:sz="4" w:space="0" w:color="auto"/>
                          <w:right w:val="single" w:sz="4" w:space="0" w:color="auto"/>
                        </w:tcBorders>
                        <w:vAlign w:val="center"/>
                        <w:hideMark/>
                      </w:tcPr>
                      <w:p>
                        <w:pPr>
                          <w:rPr>
                            <w:color w:val="000000"/>
                            <w:sz w:val="22"/>
                            <w:szCs w:val="22"/>
                            <w:lang w:eastAsia="lt-LT"/>
                          </w:rPr>
                        </w:pPr>
                      </w:p>
                    </w:tc>
                    <w:tc>
                      <w:tcPr>
                        <w:tcW w:w="2240"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Padangos</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73,68</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72,32</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57,80</w:t>
                        </w:r>
                      </w:p>
                    </w:tc>
                    <w:tc>
                      <w:tcPr>
                        <w:tcW w:w="131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125,00</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110,00</w:t>
                        </w:r>
                      </w:p>
                    </w:tc>
                  </w:tr>
                  <w:tr>
                    <w:trPr>
                      <w:trHeight w:val="288"/>
                    </w:trPr>
                    <w:tc>
                      <w:tcPr>
                        <w:tcW w:w="880" w:type="dxa"/>
                        <w:vMerge/>
                        <w:tcBorders>
                          <w:top w:val="nil"/>
                          <w:left w:val="single" w:sz="4" w:space="0" w:color="auto"/>
                          <w:bottom w:val="single" w:sz="4" w:space="0" w:color="auto"/>
                          <w:right w:val="single" w:sz="4" w:space="0" w:color="auto"/>
                        </w:tcBorders>
                        <w:vAlign w:val="center"/>
                        <w:hideMark/>
                      </w:tcPr>
                      <w:p>
                        <w:pPr>
                          <w:rPr>
                            <w:color w:val="000000"/>
                            <w:sz w:val="22"/>
                            <w:szCs w:val="22"/>
                            <w:lang w:eastAsia="lt-LT"/>
                          </w:rPr>
                        </w:pPr>
                      </w:p>
                    </w:tc>
                    <w:tc>
                      <w:tcPr>
                        <w:tcW w:w="2240"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Tekstilė</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68,34</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79,26</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98,12</w:t>
                        </w:r>
                      </w:p>
                    </w:tc>
                    <w:tc>
                      <w:tcPr>
                        <w:tcW w:w="131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120,00</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110,00</w:t>
                        </w:r>
                      </w:p>
                    </w:tc>
                  </w:tr>
                  <w:tr>
                    <w:trPr>
                      <w:trHeight w:val="288"/>
                    </w:trPr>
                    <w:tc>
                      <w:tcPr>
                        <w:tcW w:w="880" w:type="dxa"/>
                        <w:vMerge/>
                        <w:tcBorders>
                          <w:top w:val="nil"/>
                          <w:left w:val="single" w:sz="4" w:space="0" w:color="auto"/>
                          <w:bottom w:val="single" w:sz="4" w:space="0" w:color="auto"/>
                          <w:right w:val="single" w:sz="4" w:space="0" w:color="auto"/>
                        </w:tcBorders>
                        <w:vAlign w:val="center"/>
                        <w:hideMark/>
                      </w:tcPr>
                      <w:p>
                        <w:pPr>
                          <w:rPr>
                            <w:color w:val="000000"/>
                            <w:sz w:val="22"/>
                            <w:szCs w:val="22"/>
                            <w:lang w:eastAsia="lt-LT"/>
                          </w:rPr>
                        </w:pPr>
                      </w:p>
                    </w:tc>
                    <w:tc>
                      <w:tcPr>
                        <w:tcW w:w="2240"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Kapinių atliekos</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497,60</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396,82</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579,74</w:t>
                        </w:r>
                      </w:p>
                    </w:tc>
                    <w:tc>
                      <w:tcPr>
                        <w:tcW w:w="131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555,00</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570,00</w:t>
                        </w:r>
                      </w:p>
                    </w:tc>
                  </w:tr>
                  <w:tr>
                    <w:trPr>
                      <w:trHeight w:val="288"/>
                    </w:trPr>
                    <w:tc>
                      <w:tcPr>
                        <w:tcW w:w="880" w:type="dxa"/>
                        <w:vMerge w:val="restart"/>
                        <w:tcBorders>
                          <w:top w:val="nil"/>
                          <w:left w:val="single" w:sz="4" w:space="0" w:color="auto"/>
                          <w:bottom w:val="single" w:sz="4" w:space="0" w:color="auto"/>
                          <w:right w:val="single" w:sz="4"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Aikštelės</w:t>
                        </w:r>
                      </w:p>
                    </w:tc>
                    <w:tc>
                      <w:tcPr>
                        <w:tcW w:w="2240"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Bioskaidžios atliekos</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97,40</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70,55</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96,64</w:t>
                        </w:r>
                      </w:p>
                    </w:tc>
                    <w:tc>
                      <w:tcPr>
                        <w:tcW w:w="131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120,00</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120,00</w:t>
                        </w:r>
                      </w:p>
                    </w:tc>
                  </w:tr>
                  <w:tr>
                    <w:trPr>
                      <w:trHeight w:val="288"/>
                    </w:trPr>
                    <w:tc>
                      <w:tcPr>
                        <w:tcW w:w="880" w:type="dxa"/>
                        <w:vMerge/>
                        <w:tcBorders>
                          <w:top w:val="nil"/>
                          <w:left w:val="single" w:sz="4" w:space="0" w:color="auto"/>
                          <w:bottom w:val="single" w:sz="4" w:space="0" w:color="auto"/>
                          <w:right w:val="single" w:sz="4" w:space="0" w:color="auto"/>
                        </w:tcBorders>
                        <w:vAlign w:val="center"/>
                        <w:hideMark/>
                      </w:tcPr>
                      <w:p>
                        <w:pPr>
                          <w:rPr>
                            <w:color w:val="000000"/>
                            <w:sz w:val="22"/>
                            <w:szCs w:val="22"/>
                            <w:lang w:eastAsia="lt-LT"/>
                          </w:rPr>
                        </w:pPr>
                      </w:p>
                    </w:tc>
                    <w:tc>
                      <w:tcPr>
                        <w:tcW w:w="2240"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Didelio gabarito atliekos</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256,58</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326,39</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324,82</w:t>
                        </w:r>
                      </w:p>
                    </w:tc>
                    <w:tc>
                      <w:tcPr>
                        <w:tcW w:w="131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370,00</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350,00</w:t>
                        </w:r>
                      </w:p>
                    </w:tc>
                  </w:tr>
                  <w:tr>
                    <w:trPr>
                      <w:trHeight w:val="288"/>
                    </w:trPr>
                    <w:tc>
                      <w:tcPr>
                        <w:tcW w:w="880" w:type="dxa"/>
                        <w:vMerge/>
                        <w:tcBorders>
                          <w:top w:val="nil"/>
                          <w:left w:val="single" w:sz="4" w:space="0" w:color="auto"/>
                          <w:bottom w:val="single" w:sz="4" w:space="0" w:color="auto"/>
                          <w:right w:val="single" w:sz="4" w:space="0" w:color="auto"/>
                        </w:tcBorders>
                        <w:vAlign w:val="center"/>
                        <w:hideMark/>
                      </w:tcPr>
                      <w:p>
                        <w:pPr>
                          <w:rPr>
                            <w:color w:val="000000"/>
                            <w:sz w:val="22"/>
                            <w:szCs w:val="22"/>
                            <w:lang w:eastAsia="lt-LT"/>
                          </w:rPr>
                        </w:pPr>
                      </w:p>
                    </w:tc>
                    <w:tc>
                      <w:tcPr>
                        <w:tcW w:w="2240"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Padangos</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68,73</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38,70</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55,59</w:t>
                        </w:r>
                      </w:p>
                    </w:tc>
                    <w:tc>
                      <w:tcPr>
                        <w:tcW w:w="131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50,00</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50,00</w:t>
                        </w:r>
                      </w:p>
                    </w:tc>
                  </w:tr>
                  <w:tr>
                    <w:trPr>
                      <w:trHeight w:val="288"/>
                    </w:trPr>
                    <w:tc>
                      <w:tcPr>
                        <w:tcW w:w="880" w:type="dxa"/>
                        <w:vMerge/>
                        <w:tcBorders>
                          <w:top w:val="nil"/>
                          <w:left w:val="single" w:sz="4" w:space="0" w:color="auto"/>
                          <w:bottom w:val="single" w:sz="4" w:space="0" w:color="auto"/>
                          <w:right w:val="single" w:sz="4" w:space="0" w:color="auto"/>
                        </w:tcBorders>
                        <w:vAlign w:val="center"/>
                        <w:hideMark/>
                      </w:tcPr>
                      <w:p>
                        <w:pPr>
                          <w:rPr>
                            <w:color w:val="000000"/>
                            <w:sz w:val="22"/>
                            <w:szCs w:val="22"/>
                            <w:lang w:eastAsia="lt-LT"/>
                          </w:rPr>
                        </w:pPr>
                      </w:p>
                    </w:tc>
                    <w:tc>
                      <w:tcPr>
                        <w:tcW w:w="2240"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Tekstilė</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22,68</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21,09</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29,50</w:t>
                        </w:r>
                      </w:p>
                    </w:tc>
                    <w:tc>
                      <w:tcPr>
                        <w:tcW w:w="131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18,00</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25,00</w:t>
                        </w:r>
                      </w:p>
                    </w:tc>
                  </w:tr>
                  <w:tr>
                    <w:trPr>
                      <w:trHeight w:val="528"/>
                    </w:trPr>
                    <w:tc>
                      <w:tcPr>
                        <w:tcW w:w="880" w:type="dxa"/>
                        <w:vMerge/>
                        <w:tcBorders>
                          <w:top w:val="nil"/>
                          <w:left w:val="single" w:sz="4" w:space="0" w:color="auto"/>
                          <w:bottom w:val="single" w:sz="4" w:space="0" w:color="auto"/>
                          <w:right w:val="single" w:sz="4" w:space="0" w:color="auto"/>
                        </w:tcBorders>
                        <w:vAlign w:val="center"/>
                        <w:hideMark/>
                      </w:tcPr>
                      <w:p>
                        <w:pPr>
                          <w:rPr>
                            <w:color w:val="000000"/>
                            <w:sz w:val="22"/>
                            <w:szCs w:val="22"/>
                            <w:lang w:eastAsia="lt-LT"/>
                          </w:rPr>
                        </w:pPr>
                      </w:p>
                    </w:tc>
                    <w:tc>
                      <w:tcPr>
                        <w:tcW w:w="2240"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Statybos griovimo atliekos</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1.233,92</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955,96</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954,80</w:t>
                        </w:r>
                      </w:p>
                    </w:tc>
                    <w:tc>
                      <w:tcPr>
                        <w:tcW w:w="131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1.400,00</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1.500,00</w:t>
                        </w:r>
                      </w:p>
                    </w:tc>
                  </w:tr>
                  <w:tr>
                    <w:trPr>
                      <w:trHeight w:val="528"/>
                    </w:trPr>
                    <w:tc>
                      <w:tcPr>
                        <w:tcW w:w="880" w:type="dxa"/>
                        <w:vMerge/>
                        <w:tcBorders>
                          <w:top w:val="nil"/>
                          <w:left w:val="single" w:sz="4" w:space="0" w:color="auto"/>
                          <w:bottom w:val="single" w:sz="4" w:space="0" w:color="auto"/>
                          <w:right w:val="single" w:sz="4" w:space="0" w:color="auto"/>
                        </w:tcBorders>
                        <w:vAlign w:val="center"/>
                        <w:hideMark/>
                      </w:tcPr>
                      <w:p>
                        <w:pPr>
                          <w:rPr>
                            <w:color w:val="000000"/>
                            <w:sz w:val="22"/>
                            <w:szCs w:val="22"/>
                            <w:lang w:eastAsia="lt-LT"/>
                          </w:rPr>
                        </w:pPr>
                      </w:p>
                    </w:tc>
                    <w:tc>
                      <w:tcPr>
                        <w:tcW w:w="2240"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Atliekos, turinčios asbesto</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114,84</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155,68</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164,40</w:t>
                        </w:r>
                      </w:p>
                    </w:tc>
                    <w:tc>
                      <w:tcPr>
                        <w:tcW w:w="131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200,00</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200,00</w:t>
                        </w:r>
                      </w:p>
                    </w:tc>
                  </w:tr>
                  <w:tr>
                    <w:trPr>
                      <w:trHeight w:val="288"/>
                    </w:trPr>
                    <w:tc>
                      <w:tcPr>
                        <w:tcW w:w="880" w:type="dxa"/>
                        <w:vMerge/>
                        <w:tcBorders>
                          <w:top w:val="nil"/>
                          <w:left w:val="single" w:sz="4" w:space="0" w:color="auto"/>
                          <w:bottom w:val="single" w:sz="4" w:space="0" w:color="auto"/>
                          <w:right w:val="single" w:sz="4" w:space="0" w:color="auto"/>
                        </w:tcBorders>
                        <w:vAlign w:val="center"/>
                        <w:hideMark/>
                      </w:tcPr>
                      <w:p>
                        <w:pPr>
                          <w:rPr>
                            <w:color w:val="000000"/>
                            <w:sz w:val="22"/>
                            <w:szCs w:val="22"/>
                            <w:lang w:eastAsia="lt-LT"/>
                          </w:rPr>
                        </w:pPr>
                      </w:p>
                    </w:tc>
                    <w:tc>
                      <w:tcPr>
                        <w:tcW w:w="2240"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Kitos atliekos</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1,97</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3,23</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4,45</w:t>
                        </w:r>
                      </w:p>
                    </w:tc>
                    <w:tc>
                      <w:tcPr>
                        <w:tcW w:w="131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7,00</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7,00</w:t>
                        </w:r>
                      </w:p>
                    </w:tc>
                  </w:tr>
                  <w:tr>
                    <w:trPr>
                      <w:trHeight w:val="288"/>
                    </w:trPr>
                    <w:tc>
                      <w:tcPr>
                        <w:tcW w:w="31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pPr>
                          <w:jc w:val="right"/>
                          <w:rPr>
                            <w:color w:val="000000"/>
                            <w:sz w:val="22"/>
                            <w:szCs w:val="22"/>
                            <w:lang w:eastAsia="lt-LT"/>
                          </w:rPr>
                        </w:pPr>
                        <w:r>
                          <w:rPr>
                            <w:color w:val="000000"/>
                            <w:sz w:val="22"/>
                            <w:szCs w:val="22"/>
                            <w:lang w:eastAsia="lt-LT"/>
                          </w:rPr>
                          <w:t>Viso:</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12.592,65</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11.671,01</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11.062,68</w:t>
                        </w:r>
                      </w:p>
                    </w:tc>
                    <w:tc>
                      <w:tcPr>
                        <w:tcW w:w="131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12.350,00</w:t>
                        </w:r>
                      </w:p>
                    </w:tc>
                    <w:tc>
                      <w:tcPr>
                        <w:tcW w:w="1146" w:type="dxa"/>
                        <w:tcBorders>
                          <w:top w:val="nil"/>
                          <w:left w:val="nil"/>
                          <w:bottom w:val="single" w:sz="4" w:space="0" w:color="auto"/>
                          <w:right w:val="single" w:sz="4" w:space="0" w:color="auto"/>
                        </w:tcBorders>
                        <w:shd w:val="clear" w:color="auto" w:fill="auto"/>
                        <w:noWrap/>
                        <w:vAlign w:val="center"/>
                        <w:hideMark/>
                      </w:tcPr>
                      <w:p>
                        <w:pPr>
                          <w:jc w:val="right"/>
                          <w:rPr>
                            <w:color w:val="000000"/>
                            <w:sz w:val="22"/>
                            <w:szCs w:val="22"/>
                            <w:lang w:eastAsia="lt-LT"/>
                          </w:rPr>
                        </w:pPr>
                        <w:r>
                          <w:rPr>
                            <w:color w:val="000000"/>
                            <w:sz w:val="22"/>
                            <w:szCs w:val="22"/>
                            <w:lang w:eastAsia="lt-LT"/>
                          </w:rPr>
                          <w:t>12.372,00</w:t>
                        </w:r>
                      </w:p>
                    </w:tc>
                  </w:tr>
                </w:tbl>
                <w:p>
                  <w:pPr>
                    <w:spacing w:line="276" w:lineRule="auto"/>
                    <w:jc w:val="both"/>
                    <w:rPr>
                      <w:rFonts w:eastAsia="Lucida Sans Unicode"/>
                      <w:szCs w:val="24"/>
                      <w:lang w:eastAsia="ar-SA"/>
                    </w:rPr>
                  </w:pPr>
                </w:p>
                <w:p>
                  <w:pPr>
                    <w:spacing w:line="276" w:lineRule="auto"/>
                    <w:jc w:val="both"/>
                    <w:rPr>
                      <w:rFonts w:eastAsia="Lucida Sans Unicode"/>
                      <w:szCs w:val="24"/>
                      <w:lang w:eastAsia="ar-SA"/>
                    </w:rPr>
                  </w:pPr>
                </w:p>
                <w:p>
                  <w:pPr>
                    <w:spacing w:line="276" w:lineRule="auto"/>
                    <w:ind w:firstLine="708"/>
                    <w:jc w:val="both"/>
                    <w:rPr>
                      <w:i/>
                      <w:color w:val="000000"/>
                      <w:szCs w:val="24"/>
                      <w:lang w:eastAsia="lt-LT"/>
                    </w:rPr>
                  </w:pPr>
                  <w:r>
                    <w:rPr>
                      <w:rFonts w:eastAsia="Lucida Sans Unicode"/>
                      <w:i/>
                      <w:szCs w:val="24"/>
                      <w:lang w:eastAsia="ar-SA"/>
                    </w:rPr>
                    <w:t xml:space="preserve">Lyginant faktinius duomenis ir duomenis, kai buvo keičiama vietinė rinkliava (Radviliškio rajono savivaldybės tarybos 2022 m. birželio 23 d. sprendimu Nr. T-777), buvo neįvertintos Radviliškio rajono komunalinių atliekų tvarkymo sistemos išlaidos, </w:t>
                  </w:r>
                  <w:r>
                    <w:rPr>
                      <w:i/>
                      <w:szCs w:val="24"/>
                    </w:rPr>
                    <w:t>reikalingos komunalinių atliekų tvarkymo sistemai funkcionuoti ir atliekų tvarkymo užduotims įgyvendinti (</w:t>
                  </w:r>
                  <w:r>
                    <w:rPr>
                      <w:rFonts w:eastAsia="Lucida Sans Unicode"/>
                      <w:i/>
                      <w:szCs w:val="24"/>
                      <w:lang w:eastAsia="ar-SA"/>
                    </w:rPr>
                    <w:t xml:space="preserve">pakeitus rinkliavos dydžius, jie buvo padidinti nepakankamai, t. y. rinkliava padidinta 25 </w:t>
                  </w:r>
                  <w:r>
                    <w:rPr>
                      <w:i/>
                      <w:color w:val="000000"/>
                      <w:szCs w:val="24"/>
                      <w:lang w:eastAsia="lt-LT"/>
                    </w:rPr>
                    <w:t>%</w:t>
                  </w:r>
                  <w:r>
                    <w:rPr>
                      <w:rFonts w:eastAsia="Lucida Sans Unicode"/>
                      <w:i/>
                      <w:szCs w:val="24"/>
                      <w:lang w:eastAsia="ar-SA"/>
                    </w:rPr>
                    <w:t xml:space="preserve"> , o poreikis buvo ne </w:t>
                  </w:r>
                  <w:r>
                    <w:rPr>
                      <w:rFonts w:eastAsia="Lucida Sans Unicode"/>
                      <w:b/>
                      <w:i/>
                      <w:szCs w:val="24"/>
                      <w:lang w:eastAsia="ar-SA"/>
                    </w:rPr>
                    <w:t xml:space="preserve">mažiau 33 </w:t>
                  </w:r>
                  <w:r>
                    <w:rPr>
                      <w:b/>
                      <w:i/>
                      <w:color w:val="000000"/>
                      <w:szCs w:val="24"/>
                      <w:lang w:eastAsia="lt-LT"/>
                    </w:rPr>
                    <w:t>%</w:t>
                  </w:r>
                  <w:r>
                    <w:rPr>
                      <w:i/>
                      <w:color w:val="000000"/>
                      <w:szCs w:val="24"/>
                      <w:lang w:eastAsia="lt-LT"/>
                    </w:rPr>
                    <w:t xml:space="preserve">, taip pat neatsižvelgta į tuo metu, 2022 m. birželio mėn. jau susidariusią skolą </w:t>
                  </w:r>
                  <w:r>
                    <w:rPr>
                      <w:i/>
                      <w:sz w:val="22"/>
                      <w:szCs w:val="22"/>
                      <w:lang w:eastAsia="lt-LT"/>
                    </w:rPr>
                    <w:t xml:space="preserve">165 796,17 </w:t>
                  </w:r>
                  <w:r>
                    <w:rPr>
                      <w:i/>
                      <w:color w:val="000000"/>
                      <w:szCs w:val="24"/>
                      <w:lang w:eastAsia="lt-LT"/>
                    </w:rPr>
                    <w:t>Eur).</w:t>
                  </w:r>
                </w:p>
              </w:sdtContent>
            </w:sdt>
            <w:sdt>
              <w:sdtPr>
                <w:alias w:val="1 pr. 7 p."/>
                <w:tag w:val="part_372cb7af316642ac97c8b98bcb764293"/>
                <w:lock w:val="sdtLocked"/>
                <w:richText/>
              </w:sdtPr>
              <w:sdtContent>
                <w:p>
                  <w:pPr>
                    <w:spacing w:line="276" w:lineRule="auto"/>
                    <w:ind w:firstLine="708"/>
                    <w:jc w:val="both"/>
                    <w:rPr>
                      <w:rFonts w:eastAsia="Lucida Sans Unicode"/>
                      <w:szCs w:val="24"/>
                      <w:lang w:eastAsia="ar-SA"/>
                    </w:rPr>
                  </w:pPr>
                  <w:sdt>
                    <w:sdtPr>
                      <w:alias w:val="Numeris"/>
                      <w:tag w:val="nr_372cb7af316642ac97c8b98bcb764293"/>
                      <w:lock w:val="sdtLocked"/>
                      <w:richText/>
                    </w:sdtPr>
                    <w:sdtContent>
                      <w:r>
                        <w:rPr>
                          <w:rFonts w:eastAsia="Lucida Sans Unicode"/>
                          <w:szCs w:val="24"/>
                          <w:lang w:eastAsia="ar-SA"/>
                        </w:rPr>
                        <w:t>7</w:t>
                      </w:r>
                    </w:sdtContent>
                  </w:sdt>
                  <w:r>
                    <w:rPr>
                      <w:rFonts w:eastAsia="Lucida Sans Unicode"/>
                      <w:szCs w:val="24"/>
                      <w:lang w:eastAsia="ar-SA"/>
                    </w:rPr>
                    <w:t xml:space="preserve">. Vietinė dvinarė rinkliava buvo nustatyta Radviliškio rajono savivaldybės tarybos 2017 m. birželio 22 d. sprendimu Nr. T-595. Nauji vietinės rinkliavos dydžiai įsigaliojo nuo 2017 m. liepos 1 d., o </w:t>
                  </w:r>
                  <w:r>
                    <w:rPr>
                      <w:szCs w:val="24"/>
                      <w:shd w:val="clear" w:color="auto" w:fill="FFFFFF"/>
                    </w:rPr>
                    <w:t xml:space="preserve">2022 m. birželio 23 d. Tarybos sprendimu Nr. T-777 – </w:t>
                  </w:r>
                  <w:r>
                    <w:rPr>
                      <w:rFonts w:eastAsia="Lucida Sans Unicode"/>
                      <w:szCs w:val="24"/>
                      <w:lang w:eastAsia="ar-SA"/>
                    </w:rPr>
                    <w:t>nuo 2022 m. liepos 1 d. dydžiai pakeisti. Šiuo metu galiojanti vietinė rinkliava nepadengia visų Radviliškio rajono komunalinių atliekų tvarkymo sistemos išlaidų. Planuojama, kad 2024 metų pabaigoje Radviliškio rajono savivaldybės administracijos skola ŠRATC sudarys apie 900 000 Eur ir nepakeitus vietinės rinkliavos dydžių, skola didės</w:t>
                  </w:r>
                  <w:r>
                    <w:rPr>
                      <w:szCs w:val="24"/>
                    </w:rPr>
                    <w:t>.</w:t>
                  </w:r>
                </w:p>
                <w:p>
                  <w:pPr>
                    <w:spacing w:line="276" w:lineRule="auto"/>
                    <w:ind w:firstLine="709"/>
                    <w:jc w:val="both"/>
                    <w:rPr>
                      <w:szCs w:val="24"/>
                    </w:rPr>
                  </w:pPr>
                  <w:r>
                    <w:rPr>
                      <w:szCs w:val="24"/>
                    </w:rPr>
                    <w:t>Pagal Lietuvos Respublikos atliekų tvarkymo įstatymo 30</w:t>
                  </w:r>
                  <w:r>
                    <w:rPr>
                      <w:szCs w:val="24"/>
                      <w:vertAlign w:val="superscript"/>
                    </w:rPr>
                    <w:t xml:space="preserve">2 </w:t>
                  </w:r>
                  <w:r>
                    <w:rPr>
                      <w:szCs w:val="24"/>
                    </w:rPr>
                    <w:t>straipsnio 1 dalį, komunalinių atliekų tvarkymo paslaugų kainodara už komunalinių atliekų surinkimą iš atliekų turėtojų ir atliekų tvarkymą nustatoma vadovaujantis solidarumo, proporcingumo, nediskriminavimo, sąnaudų susigrąžinimo principais ir atliekų tvarkymo srityje taikomu principu „teršėjas moka“, o pagal šio straipsnio 3 dalį, nustatant rinkliavos ar kitos įmokos už komunalinių atliekų surinkimą iš atliekų turėtojų ir atliekų tvarkymą dydį, turi būti vadovaujamasi Vyriausybės patvirtintomis taisyklėmis.</w:t>
                  </w:r>
                </w:p>
                <w:p>
                  <w:pPr>
                    <w:spacing w:line="276" w:lineRule="auto"/>
                    <w:ind w:firstLine="709"/>
                    <w:jc w:val="both"/>
                    <w:rPr>
                      <w:szCs w:val="24"/>
                    </w:rPr>
                  </w:pPr>
                  <w:r>
                    <w:rPr>
                      <w:szCs w:val="24"/>
                    </w:rPr>
                    <w:t>Atkreiptinas dėmesys, kad Lietuvos Respublikos atliekų tvarkymo įstatymo 30</w:t>
                  </w:r>
                  <w:r>
                    <w:rPr>
                      <w:szCs w:val="24"/>
                      <w:vertAlign w:val="superscript"/>
                    </w:rPr>
                    <w:t xml:space="preserve">2 </w:t>
                  </w:r>
                  <w:r>
                    <w:rPr>
                      <w:szCs w:val="24"/>
                    </w:rPr>
                    <w:t xml:space="preserve">straipsnio 1 dalies 4 punkte nurodytas </w:t>
                  </w:r>
                  <w:r>
                    <w:rPr>
                      <w:b/>
                      <w:color w:val="000000"/>
                      <w:szCs w:val="24"/>
                    </w:rPr>
                    <w:t>sąnaudų susigrąžinimo principas</w:t>
                  </w:r>
                  <w:r>
                    <w:rPr>
                      <w:color w:val="000000"/>
                      <w:szCs w:val="24"/>
                    </w:rPr>
                    <w:t>. Šis principas reiškia, kad už suteiktą paslaugą gautos pajamos turi padengti būtinąsias su komunalinių atliekų ir kitų buityje susidarančių atliekų tvarkymu susijusias sąnaudas, reikalingas tai paslaugai teikti. Įgyvendinant šį principą, reikia nustatyti tokį rinkliavos ar įmokos dydį, kuris užtikrintų, kad komunalinių atliekų turėtojai padengtų būtinąsias su komunalinių atliekų ir kitų buityje susidarančių atliekų tvarkymu susijusias sąnaudas, kurios patiriamos siekiant užtikrinti, kad komunalinių atliekų tvarkymo sistema atitiktų šiame Įstatyme ir kituose teisės aktuose, reglamentuojančiuose komunalinių atliekų tvarkymo sistemų organizavimą ir funkcionavimą, nustatytus reikalavimus;</w:t>
                  </w:r>
                </w:p>
                <w:p>
                  <w:pPr>
                    <w:spacing w:line="276" w:lineRule="auto"/>
                    <w:ind w:firstLine="708"/>
                    <w:jc w:val="both"/>
                    <w:rPr>
                      <w:szCs w:val="24"/>
                    </w:rPr>
                  </w:pPr>
                  <w:r>
                    <w:rPr>
                      <w:rFonts w:eastAsia="Lucida Sans Unicode"/>
                      <w:szCs w:val="24"/>
                      <w:lang w:eastAsia="ar-SA"/>
                    </w:rPr>
                    <w:t xml:space="preserve">Nauji vietinės rinkliavos dydžiai apskaičiuoti įvertinus visas Radviliškio rajono komunalinių atliekų tvarkymo sistemos išlaidas. Apskaičiuojant rinkliavos dydžius </w:t>
                  </w:r>
                  <w:r>
                    <w:rPr>
                      <w:szCs w:val="24"/>
                    </w:rPr>
                    <w:t>įtrauktos tik būtinosios sąnaudos – tiesiogiai su komunalinių atliekų tvarkymu susijusios pagrįstos sąnaudos, reikalingos komunalinių atliekų tvarkymo sistemai funkcionuoti ir atliekų tvarkymo užduotims įgyvendinti.</w:t>
                  </w:r>
                </w:p>
                <w:p>
                  <w:pPr>
                    <w:tabs>
                      <w:tab w:val="left" w:pos="709"/>
                    </w:tabs>
                    <w:spacing w:line="276" w:lineRule="auto"/>
                    <w:ind w:firstLine="709"/>
                    <w:jc w:val="both"/>
                    <w:rPr>
                      <w:szCs w:val="24"/>
                    </w:rPr>
                  </w:pPr>
                  <w:r>
                    <w:rPr>
                      <w:szCs w:val="24"/>
                    </w:rPr>
                    <w:t>2024 m. birželio 20 d. Nr. T-441 Sprendimu pakeitus iki 2024-06-30 galiojusios Radviliškio rajono savivaldybės vietinės rinkliavos už komunalinių atliekų surinkimą iš atliekų turėtojų ir atliekų tvarkymą dydžio nustatymo metodikos</w:t>
                  </w:r>
                  <w:r>
                    <w:t xml:space="preserve"> 4.3 punktą ir 4.3.1, 4.3.2, 4.3.3, 4.3.4, 4.3.5, 4.3.6 papunkčius, po 2024-07-01 tapo neapibrėžtas pastoviosios dalies skaičiavimas. Tuo pačiu sprendimu po 2024-07-01 pakeitus </w:t>
                  </w:r>
                  <w:r>
                    <w:rPr>
                      <w:szCs w:val="24"/>
                      <w:lang w:eastAsia="lt-LT"/>
                    </w:rPr>
                    <w:t xml:space="preserve">Radviliškio rajono savivaldybės vietinės rinkliavos už komunalinių atliekų surinkimą iš atliekų turėtojų ir atliekų tvarkymą nuostatų 12 punktą ir 12.1, 12.2, 12.3, 12.4, 12.5, 12.6  papunkčius, nuostatuose tapo neapibrėžti pastoviosios dalies mokėtojai. Pažymėtina, kad 12-o punkto 12.1, 12.2, 12.3, 12.4, 12.5, 12.6 papunkčiuose nurodyti pastoviosios dalies mokėtojai yra minimi kituose nuostatų punktuose bei 1 priedo paskutiniame sakinyje. Dėl to siūloma atstatyti iki 2024-06-30 galiojusiame dokumente buvusius metodikos </w:t>
                  </w:r>
                  <w:r>
                    <w:t>4.3 punktą ir 4.3.1, 4.3.2, 4.3.3, 4.3.4, 4.3.5, 4.3.6 papunkčius bei nuostatų 12-ą punktą ir 12.1, 12.2, 12.3, 12.4, 12.5, 12.6 papunkčius.</w:t>
                  </w:r>
                </w:p>
              </w:sdtContent>
            </w:sdt>
            <w:sdt>
              <w:sdtPr>
                <w:alias w:val="1 pr. 12 p."/>
                <w:tag w:val="part_b512d2a3c3ec4de8aeb27f4cb776b535"/>
                <w:lock w:val="sdtLocked"/>
                <w:richText/>
              </w:sdtPr>
              <w:sdtContent>
                <w:p>
                  <w:pPr>
                    <w:tabs>
                      <w:tab w:val="left" w:pos="1134"/>
                    </w:tabs>
                    <w:spacing w:line="276" w:lineRule="auto"/>
                    <w:ind w:firstLine="709"/>
                    <w:rPr>
                      <w:rFonts w:eastAsia="Calibri"/>
                      <w:b/>
                      <w:bCs/>
                    </w:rPr>
                  </w:pPr>
                  <w:sdt>
                    <w:sdtPr>
                      <w:alias w:val="Numeris"/>
                      <w:tag w:val="nr_b512d2a3c3ec4de8aeb27f4cb776b535"/>
                      <w:lock w:val="sdtLocked"/>
                      <w:richText/>
                    </w:sdtPr>
                    <w:sdtContent>
                      <w:r>
                        <w:rPr>
                          <w:rFonts w:eastAsia="Calibri"/>
                          <w:b/>
                          <w:bCs/>
                        </w:rPr>
                        <w:t>12</w:t>
                      </w:r>
                    </w:sdtContent>
                  </w:sdt>
                  <w:r>
                    <w:rPr>
                      <w:rFonts w:eastAsia="Calibri"/>
                      <w:b/>
                      <w:bCs/>
                    </w:rPr>
                    <w:t>.</w:t>
                    <w:tab/>
                    <w:t xml:space="preserve">Pridedami dokumentai. </w:t>
                  </w:r>
                </w:p>
                <w:p>
                  <w:pPr>
                    <w:tabs>
                      <w:tab w:val="left" w:pos="993"/>
                    </w:tabs>
                    <w:spacing w:line="276" w:lineRule="auto"/>
                    <w:ind w:firstLine="709"/>
                    <w:jc w:val="both"/>
                    <w:rPr>
                      <w:shd w:val="clear" w:color="auto" w:fill="FFFFFF"/>
                    </w:rPr>
                  </w:pPr>
                  <w:r>
                    <w:t xml:space="preserve">Lyginamasis variantas, 4 lapai. </w:t>
                  </w:r>
                </w:p>
                <w:p/>
                <w:p>
                  <w:pPr>
                    <w:rPr>
                      <w:szCs w:val="24"/>
                    </w:rPr>
                  </w:pPr>
                </w:p>
                <w:p>
                  <w:pPr>
                    <w:widowControl w:val="0"/>
                    <w:tabs>
                      <w:tab w:val="num" w:pos="5699"/>
                    </w:tabs>
                    <w:jc w:val="both"/>
                    <w:rPr>
                      <w:szCs w:val="24"/>
                    </w:rPr>
                  </w:pPr>
                  <w:r>
                    <w:rPr>
                      <w:szCs w:val="24"/>
                    </w:rPr>
                    <w:t xml:space="preserve">Statybos ir viešosios tvarkos skyriaus </w:t>
                  </w:r>
                </w:p>
                <w:p>
                  <w:pPr>
                    <w:widowControl w:val="0"/>
                    <w:tabs>
                      <w:tab w:val="num" w:pos="5699"/>
                    </w:tabs>
                    <w:jc w:val="both"/>
                    <w:rPr>
                      <w:szCs w:val="24"/>
                    </w:rPr>
                  </w:pPr>
                  <w:r>
                    <w:rPr>
                      <w:szCs w:val="24"/>
                    </w:rPr>
                    <w:t>vyriausioji specialistė</w:t>
                    <w:tab/>
                    <w:t xml:space="preserve">                                          Rasa Zviagina</w:t>
                  </w: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 New Roman,Bold">
    <w:altName w:val="Times New Roman"/>
    <w:charset w:val="00"/>
    <w:family w:val="auto"/>
    <w:pitch w:val="default"/>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Malgun Gothic">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ko-KR"/>
      </w:rPr>
    </w:pPr>
    <w:r>
      <w:rPr>
        <w:sz w:val="22"/>
        <w:szCs w:val="22"/>
        <w:lang w:eastAsia="ko-KR"/>
      </w:rPr>
      <w:fldChar w:fldCharType="begin"/>
    </w:r>
    <w:r>
      <w:rPr>
        <w:sz w:val="22"/>
        <w:szCs w:val="22"/>
        <w:lang w:eastAsia="ko-KR"/>
      </w:rPr>
      <w:instrText>PAGE   \* MERGEFORMAT</w:instrText>
    </w:r>
    <w:r>
      <w:rPr>
        <w:sz w:val="22"/>
        <w:szCs w:val="22"/>
        <w:lang w:eastAsia="ko-KR"/>
      </w:rPr>
      <w:fldChar w:fldCharType="separate"/>
    </w:r>
    <w:r>
      <w:rPr>
        <w:sz w:val="22"/>
        <w:szCs w:val="22"/>
        <w:lang w:eastAsia="ko-KR"/>
      </w:rPr>
      <w:t>4</w:t>
    </w:r>
    <w:r>
      <w:rPr>
        <w:sz w:val="22"/>
        <w:szCs w:val="22"/>
        <w:lang w:eastAsia="ko-KR"/>
      </w:rP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ko-KR"/>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0023"/>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27FAFB8-5F51-4302-94D8-E68E6AE1F6E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c47cabce0404c649342b8f277546ec9" PartId="d1ee139a7b2c43349dc66006c2d89a38">
    <Part Type="preambule" DocPartId="4464580747e340ce9d613972701c4f8f" PartId="f0ca2c092ddb4afab4f094d9a23413f6"/>
    <Part Type="skirsnis" Title="RADVILIŠKIO RAJONO SAVIVALDYBĖS TARYBA" DocPartId="63361000feb144c291b231d55f5d863c" PartId="de5b12545a9c47e09c3cfcaf61c0008e"/>
    <Part Type="skirsnis" Title="SPRENDIMAS DĖL RADVILIŠKIO RAJONO SAVIVALDYBĖS TARYBOS 2017 M. BIRŽELIO 22 D. SPRENDIMO NR. T-595 „DĖL RADVILIŠKIO RAJONO SAVIVALDYBĖS VIETINĖS RINKLIAVOS UŽ KOMUNALINIŲ ATLIEKŲ SURINKIMĄ IŠ ATLIEKŲ TURĖTOJŲ IR ATLIEKŲ TVARKYMĄ DYDŽIO NUSTATYMO METODIKOS, RADVILIŠKIO RAJONO SAVIVALDYBĖS VIETINĖS RINKLIAVOS UŽ KOMUNALINIŲ ATLIEKŲ SURINKIMĄ IŠ ATLIEKŲ TURĖTOJŲ IR ATLIEKŲ TVARKYMĄ NUOSTATŲ PATVIRTINIMO“ PAKEITIMO" DocPartId="9d819dc8f10a47759245df274c338dc2" PartId="5f31ba17f2a44822b0e944f42725ece4">
      <Part Type="punktas" Nr="1" Abbr="1 p." DocPartId="6d87a52a779d419f9a2f9bb94b912d4a" PartId="0f34b816b93d482fb8f2738ce9faffd7">
        <Part Type="papunktis" Nr="1.1" Abbr="1.1 pp." DocPartId="a65d5aecf80e4b78b3dbd8bf2c8d85b6" PartId="04c353e11ee3472fa311997887c6d1de">
          <Part Type="citata" DocPartId="195773de8b2d480da3beb5e54a8a96b9" PartId="365abc74bff741bcb8b279aba5efcc8b">
            <Part Type="pastraipa" DocPartId="b5a31f6d0cc94d5f9ce583e648016c47" PartId="2e1dd2aa07394be7b2c7fd694ce80f8d"/>
          </Part>
        </Part>
        <Part Type="papunktis" Nr="1.2" Abbr="1.2 pp." DocPartId="1658516cd7b34de583d2a0d0e322393e" PartId="7b24b13adcf045ad8618abdd11337ba1">
          <Part Type="citata" DocPartId="b74b188678fc462c8d7fffa7d604fed5" PartId="dfa6254c75654c318d2685dfacc8b8c3">
            <Part Type="papunktis" Nr="4.3" Abbr="4.3 pp." DocPartId="ce2fdc270a664a7795abe59faaf5f09b" PartId="0c9f322dddcf4fbd9c1673a3637655cb">
              <Part Type="papunktis" Nr="4.3.1" Abbr="4.3.1 pp." DocPartId="2c7527674c1240dd82af451c425ffe9e" PartId="0d0d5b113b1d4ac881391e0196883dda"/>
              <Part Type="papunktis" Nr="4.3.2" Abbr="4.3.2 pp." DocPartId="f3207220dcdb40e693d581f62adfd893" PartId="31bd9e6645fb41b8b1bba7a83ec5c1a8"/>
              <Part Type="papunktis" Nr="4.3.3" Abbr="4.3.3 pp." DocPartId="51b0588a5cfa45eb972dd48c804e9f30" PartId="cbe7752b78634e8599dfa18cf2318fab"/>
              <Part Type="papunktis" Nr="4.3.4" Abbr="4.3.4 pp." DocPartId="49b174c97c204e5bb9a81286d65c5aaa" PartId="1c377edccdba4d27910e1b4a0280826f"/>
              <Part Type="papunktis" Nr="4.3.5" Abbr="4.3.5 pp." DocPartId="8572004ea0b44c72a269f49dff80df87" PartId="80e7306c4b4c453db24d8bb9ba488ab7"/>
              <Part Type="papunktis" Nr="4.3.6" Abbr="4.3.6 pp." DocPartId="091e94a04ddb4b3abd4def6d0c3890d7" PartId="1ee4213025864978922095368b43cd33"/>
            </Part>
          </Part>
        </Part>
        <Part Type="papunktis" Nr="1.3" Abbr="1.3 pp." DocPartId="44b5a307d2a84aeea8605155dcaa98a6" PartId="e01f2b38fe6d43179833e327a5bc99eb">
          <Part Type="citata" DocPartId="6c5cee8f9cb244c6aab7f55260820385" PartId="db8f3aa9c69142dea2d81aaca152fc01">
            <Part Type="punktas" Nr="12" Abbr="12 p." DocPartId="f909e7d9f47e46079a1c9b881f89c4bd" PartId="4b00d5d6f7e44221b1b45c2bd8873937">
              <Part Type="papunktis" Nr="12.1" Abbr="12.1 pp." DocPartId="29b9a616190f45a891d69996ca9fca55" PartId="32d540b93d6f421689244200a429ce44"/>
              <Part Type="papunktis" Nr="12.2" Abbr="12.2 pp." DocPartId="4dae5c138004471e9dd37d758da144f2" PartId="495d9adbdd234a1ca49d75df699f1544"/>
              <Part Type="papunktis" Nr="12.3" Abbr="12.3 pp." DocPartId="21efa45a0695407c86c0958840c093d8" PartId="ef669dec2c57438f989a0cbf0d107290"/>
              <Part Type="papunktis" Nr="12.4" Abbr="12.4 pp." DocPartId="f09c12ae68c54fda868bef03cf65f5e9" PartId="66053f3cdcb2473c9bc6529264bd6404"/>
              <Part Type="papunktis" Nr="12.5" Abbr="12.5 pp." DocPartId="a836b6a40ce74fa5b98aad7be513c20b" PartId="9de688ff6a114d19a96e9f8231650dfa"/>
              <Part Type="papunktis" Nr="12.6" Abbr="12.6 pp." DocPartId="bde8084198f84db5ab73df90215bbf0e" PartId="e05ec40b759846a29dd9c3bf8255e92c"/>
            </Part>
          </Part>
        </Part>
        <Part Type="papunktis" Nr="1.4" Abbr="1.4 pp." DocPartId="da910825399b4f358b98296c041fdc74" PartId="9715f2db336742d09a4fed32a4bbe891"/>
      </Part>
    </Part>
    <Part Type="skirsnis" Title="2024-12-" DocPartId="75ccd72f9e3241b1916da9d50d0bfca5" PartId="b6e95ef2b2544290b9d4a9f8b2fc5c01"/>
  </Part>
  <Part Type="priedas" Nr="1" Abbr="1 pr." Title="VIETINĖS RINKLIAVOS MOKĖTOJŲ GRUPIŲ VIETINĖS RINKLIAVOS UŽ KOMUNALINIŲ ATLIEKŲ SURINKIMĄ IR TVARKYMĄ DYDŽIAI" DocPartId="8b09a567250f48eb9e8ac52923c916fe" PartId="cbf8fdfcc7f7478a9b160d47db8acaf6">
    <Part Type="skirsnis" Title="2024-12-" DocPartId="fc4fd79103934e6bb8d48896a889b55f" PartId="ad11649c706b4f5f94a2f1c34e286c9a"/>
  </Part>
  <Part Type="priedas" Nr="1" Abbr="1 pr." Title="VIETINĖS RINKLIAVOS MOKĖTOJŲ GRUPIŲ VIETINĖS RINKLIAVOS UŽ KOMUNALINIŲ ATLIEKŲ SURINKIMĄ IR TVARKYMĄ DYDŽIAI" DocPartId="1a4d6574376042479d99e09ca8407699" PartId="40346131a174423097280afe83ebf7de">
    <Part Type="skirsnis" Title="RADVILIŠKIO RAJONO SAVIVALDYBĖS TARYBOS SPRENDIMO PROJEKTO DĖL RADVILIŠKIO RAJONO SAVIVALDYBĖS TARYBOS 2017 M. BIRŽELIO 22 D. SPRENDIMO NR. T-595 „DĖL RADVILIŠKIO RAJONO SAVIVALDYBĖS VIETINĖS RINKLIAVOS UŽ KOMUNALINIŲ ATLIEKŲ SURINKIMĄ IŠ ATLIEKŲ TURĖTOJŲ IR ATLIEKŲ TVARKYMĄ DYDŽIO NUSTATYMO METODIKOS, RADVILIŠKIO RAJONO SAVIVALDYBĖS VIETINĖS RINKLIAVOS UŽ KOMUNALINIŲ ATLIEKŲ SURINKIMĄ IŠ ATLIEKŲ TURĖTOJŲ IR ATLIEKŲ TVARKYMĄ NUOSTATŲ PATVIRTINIMO“  PAKEITIMO AIŠKINAMASIS RAŠTAS" DocPartId="5575bf537f3948e0872ce904e3390849" PartId="60d41528a5ed49cf9835843b909ed438">
      <Part Type="punktas" Nr="1" Abbr="1 pr. 1 p." DocPartId="6ab66c3957c246709cb298a700bfc40c" PartId="5ac864a4c66e49efa85b13bf893e3ccb"/>
      <Part Type="punktas" Nr="2" Abbr="1 pr. 2 p." DocPartId="ceab2ef2e7bf48c0b25af1510bfde669" PartId="798d32d42fe342a889bcc9b5acf2d792"/>
      <Part Type="punktas" Nr="3" Abbr="1 pr. 3 p." DocPartId="682bda294a6c44c49866986a9badb27d" PartId="6cc95a4bb7c744bfb877e2ab7dec19c2"/>
      <Part Type="punktas" Nr="4" Abbr="1 pr. 4 p." DocPartId="77a78c43faf2488eadd0bc9f1deaf906" PartId="a2e52a4c0ade4527ad81e20a663c4d78"/>
      <Part Type="punktas" Nr="5" Abbr="1 pr. 5 p." DocPartId="3f6c0d5e5df94d25976ef15e2a71a1aa" PartId="ae59c92c188b487ab54bdc651071b7e5"/>
      <Part Type="punktas" Nr="6" Abbr="1 pr. 6 p." DocPartId="4375cc0d6ac144b1af510b1cce6c1ae6" PartId="53b0d638a2e44f6d9772e73871b5b274"/>
      <Part Type="punktas" Nr="7" Abbr="1 pr. 7 p." DocPartId="d16bc0ed4c2240e7b6c20a9a4b0abccf" PartId="702eaf08c58d47e1a95f91b5f3258074"/>
      <Part Type="punktas" Nr="8" Abbr="1 pr. 8 p." DocPartId="844f7595a1e54429903ec334c4d3a021" PartId="f2fca66b4c4e41e1b14b353bd0035df0"/>
      <Part Type="punktas" Nr="9" Abbr="1 pr. 9 p." DocPartId="3d5587aef07647bdbee0fc457510bb85" PartId="c603a258015945fe81af7826002de432"/>
      <Part Type="punktas" Nr="10" Abbr="1 pr. 10 p." DocPartId="87a23d408651471ebd45634f67e84a1f" PartId="9533d2427d504be994f207d04bc14f4e"/>
      <Part Type="punktas" Nr="11" Abbr="1 pr. 11 p." DocPartId="6a4840047a754675b3b18631ff532248" PartId="be809526aa004cf9baa005304935a6b7"/>
    </Part>
    <Part Type="skirsnis" Title="Vietinės rinkliavos trūkumui įtakos turintys veiksniai:" DocPartId="9d964196b4a1439080d1bdb765f935f1" PartId="2fdea863c8894eefb39de3f5ff4922e8">
      <Part Type="punktas" Nr="1" Abbr="1 pr. 1 p." DocPartId="7d0e0f374a8042899bc2aab163d38479" PartId="7b4343f3769c4847b43a6e03af3d5074"/>
      <Part Type="punktas" Nr="2" Abbr="1 pr. 2 p." DocPartId="91ebeeb155c04728a26477ae1928f31c" PartId="b5f4d07ba93f404faf74bd8d30efa01b"/>
      <Part Type="punktas" Nr="3" Abbr="1 pr. 3 p." DocPartId="91f16a3055004dd7b2a351c5dac0229b" PartId="1a44e10c30a74222a7e3e29f7b4c1d0a"/>
      <Part Type="punktas" Nr="4" Abbr="1 pr. 4 p." DocPartId="3142b978fbe44637894b214a49476dcb" PartId="c3d313708e1046a5afb8a53f4c3b3297"/>
      <Part Type="punktas" Nr="5" Abbr="1 pr. 5 p." DocPartId="bfb525cebd8e4edd85943e1718d6bc91" PartId="7d00f23cdef44f18961e159771524ea2"/>
      <Part Type="punktas" Nr="7" Abbr="1 pr. 7 p." Notes="Numeris ne iš eilės. Trūksta dalių? [DocDalys]" DocPartId="1f4e132a6a4d4942a1b1e9bcfec0c9f3" PartId="372cb7af316642ac97c8b98bcb764293"/>
      <Part Type="punktas" Nr="12" Abbr="1 pr. 12 p." Notes="Numeris ne iš eilės. Trūksta dalių? [DocDalys]" DocPartId="802e697e8bfd4cb3bc616bbfa4ce9173" PartId="b512d2a3c3ec4de8aeb27f4cb776b535"/>
    </Part>
  </Part>
</Parts>
</file>

<file path=customXml/itemProps1.xml><?xml version="1.0" encoding="utf-8"?>
<ds:datastoreItem xmlns:ds="http://schemas.openxmlformats.org/officeDocument/2006/customXml" ds:itemID="{48D2097C-E6CC-4C92-9006-E99539F58BB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3170</Words>
  <Characters>22127</Characters>
  <Application>Microsoft Office Word</Application>
  <DocSecurity>4</DocSecurity>
  <Lines>1053</Lines>
  <Paragraphs>632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24665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2024-12-19T06:42:00Z</dcterms:created>
  <dc:creator>Vytautas</dc:creator>
  <lastModifiedBy>adlibuser</lastModifiedBy>
  <lastPrinted>2024-03-15T06:58:00Z</lastPrinted>
  <dcterms:modified xsi:type="dcterms:W3CDTF">2024-12-19T06:42:00Z</dcterms:modified>
  <revision>2</revision>
</coreProperties>
</file>