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df7906f652241ed922d58af0b2011d2"/>
        <w:lock w:val="sdtLocked"/>
        <w:richText/>
      </w:sdtPr>
      <w:sdtContent>
        <w:p>
          <w:pPr>
            <w:ind w:left="7776"/>
            <w:rPr>
              <w:szCs w:val="24"/>
            </w:rPr>
          </w:pPr>
          <w:r>
            <w:rPr>
              <w:b/>
              <w:bCs/>
              <w:szCs w:val="24"/>
            </w:rPr>
            <w:t>Projektas</w:t>
            <w:br/>
          </w:r>
          <w:r>
            <w:rPr>
              <w:szCs w:val="24"/>
            </w:rPr>
            <w:t>Nr. TSP-</w:t>
          </w:r>
        </w:p>
        <w:p>
          <w:pPr>
            <w:jc w:val="center"/>
            <w:rPr>
              <w:b/>
              <w:bCs/>
              <w:szCs w:val="24"/>
            </w:rPr>
          </w:pPr>
        </w:p>
        <w:p>
          <w:pPr>
            <w:jc w:val="center"/>
            <w:rPr>
              <w:b/>
              <w:bCs/>
              <w:szCs w:val="24"/>
            </w:rPr>
          </w:pPr>
          <w:r>
            <w:rPr>
              <w:b/>
              <w:bCs/>
              <w:szCs w:val="24"/>
            </w:rPr>
            <w:t>RADVILIŠKIO RAJONO SAVIVALDYBĖS TARYBA</w:t>
          </w:r>
        </w:p>
        <w:p>
          <w:pPr>
            <w:tabs>
              <w:tab w:val="left" w:pos="2010"/>
            </w:tabs>
            <w:ind w:firstLine="2010"/>
            <w:rPr>
              <w:b/>
              <w:bCs/>
              <w:sz w:val="16"/>
              <w:szCs w:val="16"/>
            </w:rPr>
          </w:pPr>
        </w:p>
        <w:p>
          <w:pPr>
            <w:jc w:val="center"/>
            <w:rPr>
              <w:b/>
              <w:bCs/>
              <w:szCs w:val="24"/>
            </w:rPr>
          </w:pPr>
          <w:r>
            <w:rPr>
              <w:b/>
              <w:bCs/>
              <w:szCs w:val="24"/>
            </w:rPr>
            <w:t>SPRENDIMAS</w:t>
          </w:r>
        </w:p>
        <w:p>
          <w:pPr>
            <w:jc w:val="center"/>
            <w:rPr>
              <w:b/>
              <w:szCs w:val="24"/>
            </w:rPr>
          </w:pPr>
          <w:r>
            <w:rPr>
              <w:b/>
              <w:position w:val="6"/>
              <w:szCs w:val="24"/>
              <w:lang w:eastAsia="lt-LT"/>
              <w14:cntxtAlts/>
            </w:rPr>
            <w:t xml:space="preserve">DĖL RADVILIŠKIO RAJONO SAVIVALDYBĖS TARYBOS 2026 M. VASARIO 12 D. SPRENDIMO NR. T-891 „DĖL RADVILIŠKIO RAJONO SAVIVALDYBĖS APLINKOS APSAUGOS RĖMIMO SPECIALIOSIOS PROGRAMOS 2026 METŲ PRIEMONIŲ VYKDYMO SĄMATOS PATVIRTINIMO“ PAKEITIMO </w:t>
          </w:r>
        </w:p>
        <w:p>
          <w:pPr>
            <w:rPr>
              <w:sz w:val="20"/>
            </w:rPr>
          </w:pPr>
        </w:p>
        <w:p>
          <w:pPr>
            <w:jc w:val="center"/>
            <w:rPr>
              <w:szCs w:val="24"/>
            </w:rPr>
          </w:pPr>
          <w:r>
            <w:rPr>
              <w:szCs w:val="24"/>
            </w:rPr>
            <w:t xml:space="preserve">2026 m.                           d. Nr. T-</w:t>
          </w:r>
        </w:p>
        <w:p>
          <w:pPr>
            <w:jc w:val="center"/>
            <w:rPr>
              <w:szCs w:val="24"/>
            </w:rPr>
          </w:pPr>
          <w:r>
            <w:rPr>
              <w:szCs w:val="24"/>
            </w:rPr>
            <w:t>Radviliškis</w:t>
          </w:r>
        </w:p>
        <w:p>
          <w:pPr>
            <w:tabs>
              <w:tab w:val="left" w:pos="7680"/>
            </w:tabs>
            <w:jc w:val="both"/>
            <w:rPr>
              <w:sz w:val="22"/>
              <w:szCs w:val="24"/>
            </w:rPr>
          </w:pPr>
        </w:p>
        <w:sdt>
          <w:sdtPr>
            <w:alias w:val="preambule"/>
            <w:tag w:val="part_cd9eb91f43294fc5a992f6f7df4940ab"/>
            <w:lock w:val="sdtLocked"/>
            <w:richText/>
          </w:sdtPr>
          <w:sdtContent>
            <w:p>
              <w:pPr>
                <w:tabs>
                  <w:tab w:val="left" w:pos="8222"/>
                  <w:tab w:val="left" w:pos="8505"/>
                  <w:tab w:val="left" w:pos="9639"/>
                </w:tabs>
                <w:spacing w:line="276" w:lineRule="auto"/>
                <w:ind w:firstLine="709"/>
                <w:jc w:val="both"/>
                <w:rPr>
                  <w:lang w:bidi="he-IL"/>
                </w:rPr>
              </w:pPr>
              <w:r>
                <w:rPr>
                  <w:szCs w:val="24"/>
                  <w:lang w:eastAsia="lt-LT"/>
                </w:rPr>
                <w:t xml:space="preserve">Radviliškio rajono savivaldybės taryba </w:t>
              </w:r>
              <w:r>
                <w:rPr>
                  <w:spacing w:val="50"/>
                  <w:szCs w:val="24"/>
                  <w:lang w:eastAsia="lt-LT"/>
                </w:rPr>
                <w:t>nusprendžia</w:t>
              </w:r>
              <w:r>
                <w:rPr>
                  <w:lang w:bidi="he-IL"/>
                </w:rPr>
                <w:t xml:space="preserve">: </w:t>
              </w:r>
            </w:p>
          </w:sdtContent>
        </w:sdt>
        <w:sdt>
          <w:sdtPr>
            <w:alias w:val="pastraipa"/>
            <w:tag w:val="part_80e5a67453eb4dbeb001d997b4db82d3"/>
            <w:lock w:val="sdtLocked"/>
            <w:richText/>
          </w:sdtPr>
          <w:sdtContent>
            <w:p>
              <w:pPr>
                <w:tabs>
                  <w:tab w:val="left" w:pos="8222"/>
                  <w:tab w:val="left" w:pos="8505"/>
                  <w:tab w:val="left" w:pos="9639"/>
                </w:tabs>
                <w:spacing w:line="276" w:lineRule="auto"/>
                <w:ind w:firstLine="709"/>
                <w:jc w:val="both"/>
                <w:rPr>
                  <w:lang w:bidi="he-IL"/>
                </w:rPr>
              </w:pPr>
              <w:r>
                <w:rPr>
                  <w:szCs w:val="24"/>
                  <w:lang w:eastAsia="lt-LT"/>
                </w:rPr>
                <w:t xml:space="preserve">Pakeisti Radviliškio rajono savivaldybės aplinkos apsaugos rėmimo specialiosios programos 2026 metų sąmatą (toliau – Sąmata), patvirtintą 2026 m. vasario 12 d. sprendimu Nr. T-891 „Dėl Radviliškio rajono savivaldybės aplinkos apsaugos rėmimo specialiosios programos 2026 metų priemonių vykdymo sąmatos patvirtinimo“:  </w:t>
              </w:r>
            </w:p>
          </w:sdtContent>
        </w:sdt>
        <w:sdt>
          <w:sdtPr>
            <w:alias w:val="1 p."/>
            <w:tag w:val="part_1949e293a89045a8986cc2325c082328"/>
            <w:lock w:val="sdtLocked"/>
            <w:richText/>
          </w:sdtPr>
          <w:sdtContent>
            <w:p>
              <w:pPr>
                <w:tabs>
                  <w:tab w:val="left" w:pos="8222"/>
                  <w:tab w:val="left" w:pos="8505"/>
                  <w:tab w:val="left" w:pos="9639"/>
                </w:tabs>
                <w:spacing w:line="276" w:lineRule="auto"/>
                <w:ind w:firstLine="709"/>
                <w:jc w:val="both"/>
                <w:rPr>
                  <w:rFonts w:ascii="Thorndale" w:eastAsia="Lucida Sans Unicode" w:hAnsi="Thorndale" w:cs="Tahoma"/>
                  <w:kern w:val="2"/>
                  <w:szCs w:val="24"/>
                  <w:lang w:eastAsia="zh-CN"/>
                </w:rPr>
              </w:pPr>
              <w:sdt>
                <w:sdtPr>
                  <w:alias w:val="Numeris"/>
                  <w:tag w:val="nr_1949e293a89045a8986cc2325c082328"/>
                  <w:lock w:val="sdtLocked"/>
                  <w:richText/>
                </w:sdtPr>
                <w:sdtContent>
                  <w:r>
                    <w:rPr>
                      <w:rFonts w:ascii="Thorndale" w:eastAsia="Lucida Sans Unicode" w:hAnsi="Thorndale" w:cs="Tahoma"/>
                      <w:kern w:val="2"/>
                      <w:szCs w:val="24"/>
                      <w:lang w:eastAsia="lt-LT"/>
                    </w:rPr>
                    <w:t>1</w:t>
                  </w:r>
                </w:sdtContent>
              </w:sdt>
              <w:r>
                <w:rPr>
                  <w:rFonts w:ascii="Thorndale" w:eastAsia="Lucida Sans Unicode" w:hAnsi="Thorndale" w:cs="Tahoma"/>
                  <w:kern w:val="2"/>
                  <w:szCs w:val="24"/>
                  <w:lang w:eastAsia="lt-LT"/>
                </w:rPr>
                <w:t xml:space="preserve">. </w:t>
              </w:r>
              <w:r>
                <w:rPr>
                  <w:rFonts w:ascii="Thorndale" w:eastAsia="Lucida Sans Unicode" w:hAnsi="Thorndale" w:cs="Tahoma"/>
                  <w:kern w:val="2"/>
                  <w:szCs w:val="24"/>
                  <w:lang w:eastAsia="zh-CN"/>
                </w:rPr>
                <w:t xml:space="preserve">Pakeisti </w:t>
              </w:r>
              <w:r>
                <w:rPr>
                  <w:szCs w:val="24"/>
                  <w:lang w:eastAsia="lt-LT"/>
                </w:rPr>
                <w:t xml:space="preserve">Sąmatos </w:t>
              </w:r>
              <w:r>
                <w:rPr>
                  <w:rFonts w:ascii="Thorndale" w:eastAsia="Lucida Sans Unicode" w:hAnsi="Thorndale" w:cs="Tahoma"/>
                  <w:kern w:val="2"/>
                  <w:szCs w:val="24"/>
                  <w:lang w:eastAsia="zh-CN"/>
                </w:rPr>
                <w:t>1 punktą ir jį išdėstyti taip:</w:t>
              </w:r>
            </w:p>
            <w:sdt>
              <w:sdtPr>
                <w:alias w:val="citata"/>
                <w:tag w:val="part_1fe9478586004c4cb0e8da1ce11c1d0a"/>
                <w:lock w:val="sdtLocked"/>
                <w:richText/>
              </w:sdtPr>
              <w:sdtContent>
                <w:sdt>
                  <w:sdtPr>
                    <w:alias w:val="1 p."/>
                    <w:tag w:val="part_b865ba0a6ae440b197bf1ec682945697"/>
                    <w:lock w:val="sdtLocked"/>
                    <w:richText/>
                  </w:sdtPr>
                  <w:sdtContent>
                    <w:p>
                      <w:pPr>
                        <w:tabs>
                          <w:tab w:val="left" w:pos="8222"/>
                          <w:tab w:val="left" w:pos="8505"/>
                          <w:tab w:val="left" w:pos="9639"/>
                        </w:tabs>
                        <w:spacing w:line="276" w:lineRule="auto"/>
                        <w:ind w:firstLine="709"/>
                        <w:jc w:val="both"/>
                        <w:rPr>
                          <w:lang w:bidi="he-IL"/>
                        </w:rPr>
                      </w:pPr>
                      <w:r>
                        <w:rPr>
                          <w:rFonts w:cs="Tahoma"/>
                          <w:b/>
                          <w:szCs w:val="24"/>
                        </w:rPr>
                        <w:t>„</w:t>
                      </w:r>
                      <w:sdt>
                        <w:sdtPr>
                          <w:alias w:val="Numeris"/>
                          <w:tag w:val="nr_b865ba0a6ae440b197bf1ec682945697"/>
                          <w:lock w:val="sdtLocked"/>
                          <w:richText/>
                        </w:sdtPr>
                        <w:sdtContent>
                          <w:r>
                            <w:rPr>
                              <w:rFonts w:cs="Tahoma"/>
                              <w:b/>
                              <w:szCs w:val="24"/>
                            </w:rPr>
                            <w:t>1</w:t>
                          </w:r>
                        </w:sdtContent>
                      </w:sdt>
                      <w:r>
                        <w:rPr>
                          <w:rFonts w:cs="Tahoma"/>
                          <w:b/>
                          <w:szCs w:val="24"/>
                        </w:rPr>
                        <w:t>. Informacija apie Savivaldybių aplinkos apsaugos rėmimo specialiosios programos (toliau – Programa) lėšas</w:t>
                      </w:r>
                    </w:p>
                  </w:sdtContent>
                </w:sdt>
              </w:sdtContent>
            </w:sdt>
            <w:sdt>
              <w:sdtPr>
                <w:alias w:val="pastraipa"/>
                <w:tag w:val="part_93d9fcbf5cb34c51af90133e4a71b432"/>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9"/>
                    <w:gridCol w:w="7450"/>
                    <w:gridCol w:w="1369"/>
                  </w:tblGrid>
                  <w:tr>
                    <w:tc>
                      <w:tcPr>
                        <w:tcW w:w="809" w:type="dxa"/>
                      </w:tcPr>
                      <w:p>
                        <w:pPr>
                          <w:jc w:val="center"/>
                          <w:rPr>
                            <w:b/>
                            <w:szCs w:val="24"/>
                          </w:rPr>
                        </w:pPr>
                        <w:r>
                          <w:rPr>
                            <w:b/>
                            <w:szCs w:val="24"/>
                          </w:rPr>
                          <w:t>Eil. Nr.</w:t>
                        </w:r>
                      </w:p>
                    </w:tc>
                    <w:tc>
                      <w:tcPr>
                        <w:tcW w:w="7450" w:type="dxa"/>
                      </w:tcPr>
                      <w:p>
                        <w:pPr>
                          <w:ind w:firstLine="312"/>
                          <w:jc w:val="center"/>
                          <w:rPr>
                            <w:b/>
                            <w:szCs w:val="24"/>
                          </w:rPr>
                        </w:pPr>
                        <w:r>
                          <w:rPr>
                            <w:b/>
                            <w:szCs w:val="24"/>
                          </w:rPr>
                          <w:t>(1) Programos finansavimo šaltiniai</w:t>
                        </w:r>
                      </w:p>
                    </w:tc>
                    <w:tc>
                      <w:tcPr>
                        <w:tcW w:w="1369" w:type="dxa"/>
                      </w:tcPr>
                      <w:p>
                        <w:pPr>
                          <w:jc w:val="center"/>
                          <w:rPr>
                            <w:b/>
                            <w:szCs w:val="24"/>
                          </w:rPr>
                        </w:pPr>
                        <w:r>
                          <w:rPr>
                            <w:b/>
                            <w:szCs w:val="24"/>
                          </w:rPr>
                          <w:t>Lėšos, Eur</w:t>
                        </w:r>
                      </w:p>
                    </w:tc>
                  </w:tr>
                  <w:tr>
                    <w:tc>
                      <w:tcPr>
                        <w:tcW w:w="809" w:type="dxa"/>
                      </w:tcPr>
                      <w:p>
                        <w:pPr>
                          <w:widowControl w:val="0"/>
                          <w:suppressAutoHyphens/>
                          <w:jc w:val="both"/>
                          <w:rPr>
                            <w:szCs w:val="24"/>
                          </w:rPr>
                        </w:pPr>
                        <w:r>
                          <w:rPr>
                            <w:szCs w:val="24"/>
                          </w:rPr>
                          <w:t>1.1.</w:t>
                        </w:r>
                      </w:p>
                    </w:tc>
                    <w:tc>
                      <w:tcPr>
                        <w:tcW w:w="7450" w:type="dxa"/>
                      </w:tcPr>
                      <w:p>
                        <w:pPr>
                          <w:widowControl w:val="0"/>
                          <w:suppressAutoHyphens/>
                          <w:jc w:val="both"/>
                          <w:rPr>
                            <w:szCs w:val="24"/>
                          </w:rPr>
                        </w:pPr>
                        <w:r>
                          <w:rPr>
                            <w:szCs w:val="24"/>
                          </w:rPr>
                          <w:t>Mokesčiai už teršalų išmetimą į aplinką</w:t>
                        </w:r>
                      </w:p>
                    </w:tc>
                    <w:tc>
                      <w:tcPr>
                        <w:tcW w:w="1369" w:type="dxa"/>
                      </w:tcPr>
                      <w:p>
                        <w:pPr>
                          <w:widowControl w:val="0"/>
                          <w:suppressAutoHyphens/>
                          <w:jc w:val="center"/>
                          <w:rPr>
                            <w:szCs w:val="24"/>
                          </w:rPr>
                        </w:pPr>
                        <w:r>
                          <w:rPr>
                            <w:szCs w:val="24"/>
                          </w:rPr>
                          <w:t>100 000</w:t>
                        </w:r>
                      </w:p>
                    </w:tc>
                  </w:tr>
                  <w:tr>
                    <w:tc>
                      <w:tcPr>
                        <w:tcW w:w="809" w:type="dxa"/>
                      </w:tcPr>
                      <w:p>
                        <w:pPr>
                          <w:widowControl w:val="0"/>
                          <w:suppressAutoHyphens/>
                          <w:jc w:val="both"/>
                          <w:rPr>
                            <w:szCs w:val="24"/>
                          </w:rPr>
                        </w:pPr>
                        <w:r>
                          <w:rPr>
                            <w:szCs w:val="24"/>
                          </w:rPr>
                          <w:t>1.2.</w:t>
                        </w:r>
                      </w:p>
                    </w:tc>
                    <w:tc>
                      <w:tcPr>
                        <w:tcW w:w="7450" w:type="dxa"/>
                      </w:tcPr>
                      <w:p>
                        <w:pPr>
                          <w:widowControl w:val="0"/>
                          <w:suppressAutoHyphens/>
                          <w:jc w:val="both"/>
                          <w:rPr>
                            <w:szCs w:val="24"/>
                          </w:rPr>
                        </w:pPr>
                        <w:r>
                          <w:rPr>
                            <w:szCs w:val="24"/>
                          </w:rPr>
                          <w:t>Mokesčiai už valstybinius gamtos išteklius</w:t>
                        </w:r>
                      </w:p>
                    </w:tc>
                    <w:tc>
                      <w:tcPr>
                        <w:tcW w:w="1369" w:type="dxa"/>
                      </w:tcPr>
                      <w:p>
                        <w:pPr>
                          <w:widowControl w:val="0"/>
                          <w:suppressAutoHyphens/>
                          <w:jc w:val="center"/>
                          <w:rPr>
                            <w:szCs w:val="24"/>
                          </w:rPr>
                        </w:pPr>
                        <w:r>
                          <w:rPr>
                            <w:szCs w:val="24"/>
                          </w:rPr>
                          <w:t>120 000</w:t>
                        </w:r>
                      </w:p>
                    </w:tc>
                  </w:tr>
                  <w:tr>
                    <w:tc>
                      <w:tcPr>
                        <w:tcW w:w="809" w:type="dxa"/>
                      </w:tcPr>
                      <w:p>
                        <w:pPr>
                          <w:widowControl w:val="0"/>
                          <w:suppressAutoHyphens/>
                          <w:jc w:val="both"/>
                          <w:rPr>
                            <w:szCs w:val="24"/>
                          </w:rPr>
                        </w:pPr>
                        <w:r>
                          <w:rPr>
                            <w:szCs w:val="24"/>
                          </w:rPr>
                          <w:t>1.3.</w:t>
                        </w:r>
                      </w:p>
                    </w:tc>
                    <w:tc>
                      <w:tcPr>
                        <w:tcW w:w="7450" w:type="dxa"/>
                      </w:tcPr>
                      <w:p>
                        <w:pPr>
                          <w:widowControl w:val="0"/>
                          <w:suppressAutoHyphens/>
                          <w:jc w:val="both"/>
                          <w:rPr>
                            <w:szCs w:val="24"/>
                          </w:rPr>
                        </w:pPr>
                        <w:r>
                          <w:rPr>
                            <w:szCs w:val="24"/>
                          </w:rPr>
                          <w:t>Lėšos, gautos kaip želdinių atkuriamosios vertės kompensacija</w:t>
                        </w:r>
                      </w:p>
                    </w:tc>
                    <w:tc>
                      <w:tcPr>
                        <w:tcW w:w="1369" w:type="dxa"/>
                      </w:tcPr>
                      <w:p>
                        <w:pPr>
                          <w:widowControl w:val="0"/>
                          <w:suppressAutoHyphens/>
                          <w:jc w:val="center"/>
                          <w:rPr>
                            <w:szCs w:val="24"/>
                          </w:rPr>
                        </w:pPr>
                        <w:r>
                          <w:rPr>
                            <w:szCs w:val="24"/>
                          </w:rPr>
                          <w:t xml:space="preserve">1 000 </w:t>
                        </w:r>
                      </w:p>
                    </w:tc>
                  </w:tr>
                  <w:tr>
                    <w:tc>
                      <w:tcPr>
                        <w:tcW w:w="809" w:type="dxa"/>
                      </w:tcPr>
                      <w:p>
                        <w:pPr>
                          <w:widowControl w:val="0"/>
                          <w:suppressAutoHyphens/>
                          <w:jc w:val="both"/>
                          <w:rPr>
                            <w:szCs w:val="24"/>
                          </w:rPr>
                        </w:pPr>
                        <w:r>
                          <w:rPr>
                            <w:szCs w:val="24"/>
                          </w:rPr>
                          <w:t>1.4.</w:t>
                        </w:r>
                      </w:p>
                    </w:tc>
                    <w:tc>
                      <w:tcPr>
                        <w:tcW w:w="7450" w:type="dxa"/>
                      </w:tcPr>
                      <w:p>
                        <w:pPr>
                          <w:widowControl w:val="0"/>
                          <w:suppressAutoHyphens/>
                          <w:jc w:val="both"/>
                          <w:rPr>
                            <w:szCs w:val="24"/>
                          </w:rPr>
                        </w:pPr>
                        <w:r>
                          <w:rPr>
                            <w:szCs w:val="24"/>
                          </w:rPr>
                          <w:t>Savanoriškos juridinių ir fizinių asmenų įmokos ir kitos teisėtai gautos lėšos</w:t>
                        </w:r>
                      </w:p>
                    </w:tc>
                    <w:tc>
                      <w:tcPr>
                        <w:tcW w:w="1369" w:type="dxa"/>
                      </w:tcPr>
                      <w:p>
                        <w:pPr>
                          <w:widowControl w:val="0"/>
                          <w:suppressAutoHyphens/>
                          <w:jc w:val="center"/>
                          <w:rPr>
                            <w:szCs w:val="24"/>
                          </w:rPr>
                        </w:pPr>
                        <w:r>
                          <w:rPr>
                            <w:szCs w:val="24"/>
                          </w:rPr>
                          <w:t>9 000</w:t>
                        </w:r>
                      </w:p>
                    </w:tc>
                  </w:tr>
                  <w:tr>
                    <w:tc>
                      <w:tcPr>
                        <w:tcW w:w="809" w:type="dxa"/>
                      </w:tcPr>
                      <w:p>
                        <w:pPr>
                          <w:widowControl w:val="0"/>
                          <w:suppressAutoHyphens/>
                          <w:jc w:val="both"/>
                          <w:rPr>
                            <w:szCs w:val="24"/>
                          </w:rPr>
                        </w:pPr>
                        <w:r>
                          <w:rPr>
                            <w:szCs w:val="24"/>
                          </w:rPr>
                          <w:t>1.5.</w:t>
                        </w:r>
                      </w:p>
                    </w:tc>
                    <w:tc>
                      <w:tcPr>
                        <w:tcW w:w="7450" w:type="dxa"/>
                      </w:tcPr>
                      <w:p>
                        <w:pPr>
                          <w:widowControl w:val="0"/>
                          <w:suppressAutoHyphens/>
                          <w:jc w:val="both"/>
                          <w:rPr>
                            <w:szCs w:val="24"/>
                          </w:rPr>
                        </w:pPr>
                        <w:r>
                          <w:rPr>
                            <w:szCs w:val="24"/>
                          </w:rPr>
                          <w:t>Iš viso (1.1 + 1.2 + 1.3 + 1.4):</w:t>
                        </w:r>
                      </w:p>
                    </w:tc>
                    <w:tc>
                      <w:tcPr>
                        <w:tcW w:w="1369" w:type="dxa"/>
                      </w:tcPr>
                      <w:p>
                        <w:pPr>
                          <w:widowControl w:val="0"/>
                          <w:suppressAutoHyphens/>
                          <w:jc w:val="center"/>
                          <w:rPr>
                            <w:szCs w:val="24"/>
                          </w:rPr>
                        </w:pPr>
                        <w:r>
                          <w:rPr>
                            <w:szCs w:val="24"/>
                          </w:rPr>
                          <w:t>230 000</w:t>
                        </w:r>
                      </w:p>
                    </w:tc>
                  </w:tr>
                  <w:tr>
                    <w:tc>
                      <w:tcPr>
                        <w:tcW w:w="809" w:type="dxa"/>
                      </w:tcPr>
                      <w:p>
                        <w:pPr>
                          <w:widowControl w:val="0"/>
                          <w:suppressAutoHyphens/>
                          <w:jc w:val="both"/>
                          <w:rPr>
                            <w:szCs w:val="24"/>
                          </w:rPr>
                        </w:pPr>
                        <w:r>
                          <w:rPr>
                            <w:szCs w:val="24"/>
                          </w:rPr>
                          <w:t>1.6.</w:t>
                        </w:r>
                      </w:p>
                    </w:tc>
                    <w:tc>
                      <w:tcPr>
                        <w:tcW w:w="7450" w:type="dxa"/>
                      </w:tcPr>
                      <w:p>
                        <w:pPr>
                          <w:widowControl w:val="0"/>
                          <w:suppressAutoHyphens/>
                          <w:jc w:val="both"/>
                          <w:rPr>
                            <w:szCs w:val="24"/>
                          </w:rPr>
                        </w:pPr>
                        <w:r>
                          <w:rPr>
                            <w:szCs w:val="24"/>
                          </w:rPr>
                          <w:t>Mokesčiai, sumokėti už medžiojamųjų gyvūnų išteklių naudojimą</w:t>
                        </w:r>
                      </w:p>
                    </w:tc>
                    <w:tc>
                      <w:tcPr>
                        <w:tcW w:w="1369" w:type="dxa"/>
                      </w:tcPr>
                      <w:p>
                        <w:pPr>
                          <w:widowControl w:val="0"/>
                          <w:suppressAutoHyphens/>
                          <w:jc w:val="center"/>
                          <w:rPr>
                            <w:szCs w:val="24"/>
                          </w:rPr>
                        </w:pPr>
                        <w:r>
                          <w:rPr>
                            <w:szCs w:val="24"/>
                          </w:rPr>
                          <w:t>50 000</w:t>
                        </w:r>
                      </w:p>
                    </w:tc>
                  </w:tr>
                  <w:tr>
                    <w:tc>
                      <w:tcPr>
                        <w:tcW w:w="809" w:type="dxa"/>
                      </w:tcPr>
                      <w:p>
                        <w:pPr>
                          <w:widowControl w:val="0"/>
                          <w:suppressAutoHyphens/>
                          <w:jc w:val="both"/>
                          <w:rPr>
                            <w:szCs w:val="24"/>
                          </w:rPr>
                        </w:pPr>
                        <w:r>
                          <w:rPr>
                            <w:szCs w:val="24"/>
                          </w:rPr>
                          <w:t>1.7.</w:t>
                        </w:r>
                      </w:p>
                    </w:tc>
                    <w:tc>
                      <w:tcPr>
                        <w:tcW w:w="7450" w:type="dxa"/>
                      </w:tcPr>
                      <w:p>
                        <w:pPr>
                          <w:widowControl w:val="0"/>
                          <w:suppressAutoHyphens/>
                          <w:jc w:val="both"/>
                          <w:rPr>
                            <w:szCs w:val="24"/>
                          </w:rPr>
                        </w:pPr>
                        <w:r>
                          <w:rPr>
                            <w:szCs w:val="24"/>
                          </w:rPr>
                          <w:t xml:space="preserve">Ankstesnio ataskaitinio laikotarpio ataskaitos atitinkamų lėšų likutis </w:t>
                        </w:r>
                      </w:p>
                    </w:tc>
                    <w:tc>
                      <w:tcPr>
                        <w:tcW w:w="1369" w:type="dxa"/>
                      </w:tcPr>
                      <w:p>
                        <w:pPr>
                          <w:widowControl w:val="0"/>
                          <w:suppressAutoHyphens/>
                          <w:jc w:val="center"/>
                          <w:rPr>
                            <w:szCs w:val="24"/>
                          </w:rPr>
                        </w:pPr>
                        <w:r>
                          <w:rPr>
                            <w:szCs w:val="24"/>
                          </w:rPr>
                          <w:t>28 896</w:t>
                        </w:r>
                      </w:p>
                    </w:tc>
                  </w:tr>
                  <w:tr>
                    <w:tc>
                      <w:tcPr>
                        <w:tcW w:w="809" w:type="dxa"/>
                      </w:tcPr>
                      <w:p>
                        <w:pPr>
                          <w:widowControl w:val="0"/>
                          <w:suppressAutoHyphens/>
                          <w:jc w:val="both"/>
                          <w:rPr>
                            <w:szCs w:val="24"/>
                          </w:rPr>
                        </w:pPr>
                        <w:r>
                          <w:rPr>
                            <w:szCs w:val="24"/>
                          </w:rPr>
                          <w:t>1.8.</w:t>
                        </w:r>
                      </w:p>
                    </w:tc>
                    <w:tc>
                      <w:tcPr>
                        <w:tcW w:w="7450" w:type="dxa"/>
                      </w:tcPr>
                      <w:p>
                        <w:pPr>
                          <w:widowControl w:val="0"/>
                          <w:suppressAutoHyphens/>
                          <w:jc w:val="both"/>
                          <w:rPr>
                            <w:szCs w:val="24"/>
                          </w:rPr>
                        </w:pPr>
                        <w:r>
                          <w:rPr>
                            <w:szCs w:val="24"/>
                          </w:rPr>
                          <w:t>Iš viso (1.6 + 1.7):</w:t>
                        </w:r>
                      </w:p>
                    </w:tc>
                    <w:tc>
                      <w:tcPr>
                        <w:tcW w:w="1369" w:type="dxa"/>
                      </w:tcPr>
                      <w:p>
                        <w:pPr>
                          <w:widowControl w:val="0"/>
                          <w:suppressAutoHyphens/>
                          <w:jc w:val="center"/>
                          <w:rPr>
                            <w:szCs w:val="24"/>
                          </w:rPr>
                        </w:pPr>
                        <w:r>
                          <w:rPr>
                            <w:szCs w:val="24"/>
                          </w:rPr>
                          <w:t>78 896</w:t>
                        </w:r>
                      </w:p>
                    </w:tc>
                  </w:tr>
                  <w:tr>
                    <w:tc>
                      <w:tcPr>
                        <w:tcW w:w="809" w:type="dxa"/>
                      </w:tcPr>
                      <w:p>
                        <w:pPr>
                          <w:widowControl w:val="0"/>
                          <w:suppressAutoHyphens/>
                          <w:jc w:val="both"/>
                          <w:rPr>
                            <w:szCs w:val="24"/>
                          </w:rPr>
                        </w:pPr>
                        <w:r>
                          <w:rPr>
                            <w:szCs w:val="24"/>
                          </w:rPr>
                          <w:t>1.9.</w:t>
                        </w:r>
                      </w:p>
                    </w:tc>
                    <w:tc>
                      <w:tcPr>
                        <w:tcW w:w="7450" w:type="dxa"/>
                      </w:tcPr>
                      <w:p>
                        <w:pPr>
                          <w:widowControl w:val="0"/>
                          <w:suppressAutoHyphens/>
                          <w:jc w:val="both"/>
                          <w:rPr>
                            <w:szCs w:val="24"/>
                          </w:rPr>
                        </w:pPr>
                        <w:r>
                          <w:rPr>
                            <w:szCs w:val="24"/>
                          </w:rPr>
                          <w:t>Faktinės ataskaitinio laikotarpio Programos lėšos (1.5 + 1.8)</w:t>
                        </w:r>
                      </w:p>
                    </w:tc>
                    <w:tc>
                      <w:tcPr>
                        <w:tcW w:w="1369" w:type="dxa"/>
                      </w:tcPr>
                      <w:p>
                        <w:pPr>
                          <w:widowControl w:val="0"/>
                          <w:suppressAutoHyphens/>
                          <w:jc w:val="center"/>
                          <w:rPr>
                            <w:szCs w:val="24"/>
                          </w:rPr>
                        </w:pPr>
                        <w:r>
                          <w:rPr>
                            <w:szCs w:val="24"/>
                          </w:rPr>
                          <w:t>308 896</w:t>
                        </w:r>
                      </w:p>
                    </w:tc>
                  </w:tr>
                </w:tbl>
                <w:p>
                  <w:pPr>
                    <w:jc w:val="both"/>
                    <w:rPr>
                      <w:b/>
                      <w:szCs w:val="24"/>
                    </w:rPr>
                  </w:pPr>
                </w:p>
              </w:sdtContent>
            </w:sdt>
            <w:sdt>
              <w:sdtPr>
                <w:alias w:val="pastraipa"/>
                <w:tag w:val="part_c048f98a5f934935ab43da453015c729"/>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7568"/>
                    <w:gridCol w:w="1364"/>
                  </w:tblGrid>
                  <w:tr>
                    <w:tc>
                      <w:tcPr>
                        <w:tcW w:w="696" w:type="dxa"/>
                      </w:tcPr>
                      <w:p>
                        <w:pPr>
                          <w:jc w:val="center"/>
                          <w:rPr>
                            <w:b/>
                            <w:szCs w:val="24"/>
                          </w:rPr>
                        </w:pPr>
                        <w:r>
                          <w:rPr>
                            <w:b/>
                            <w:szCs w:val="24"/>
                          </w:rPr>
                          <w:t>Eil. Nr.</w:t>
                        </w:r>
                      </w:p>
                    </w:tc>
                    <w:tc>
                      <w:tcPr>
                        <w:tcW w:w="7568" w:type="dxa"/>
                      </w:tcPr>
                      <w:p>
                        <w:pPr>
                          <w:ind w:firstLine="312"/>
                          <w:jc w:val="center"/>
                          <w:rPr>
                            <w:b/>
                            <w:szCs w:val="24"/>
                          </w:rPr>
                        </w:pPr>
                        <w:r>
                          <w:rPr>
                            <w:b/>
                            <w:szCs w:val="24"/>
                          </w:rPr>
                          <w:t>(2) Savivaldybės visuomenės sveikatos rėmimo specialiajai programai skirtinos lėšos</w:t>
                        </w:r>
                      </w:p>
                    </w:tc>
                    <w:tc>
                      <w:tcPr>
                        <w:tcW w:w="1364" w:type="dxa"/>
                      </w:tcPr>
                      <w:p>
                        <w:pPr>
                          <w:jc w:val="center"/>
                          <w:rPr>
                            <w:b/>
                            <w:szCs w:val="24"/>
                          </w:rPr>
                        </w:pPr>
                        <w:r>
                          <w:rPr>
                            <w:b/>
                            <w:szCs w:val="24"/>
                          </w:rPr>
                          <w:t>Lėšos, Eur</w:t>
                        </w:r>
                      </w:p>
                    </w:tc>
                  </w:tr>
                  <w:tr>
                    <w:tc>
                      <w:tcPr>
                        <w:tcW w:w="696" w:type="dxa"/>
                      </w:tcPr>
                      <w:p>
                        <w:pPr>
                          <w:widowControl w:val="0"/>
                          <w:suppressAutoHyphens/>
                          <w:jc w:val="both"/>
                          <w:rPr>
                            <w:szCs w:val="24"/>
                          </w:rPr>
                        </w:pPr>
                        <w:r>
                          <w:rPr>
                            <w:szCs w:val="24"/>
                          </w:rPr>
                          <w:t>1.10.</w:t>
                        </w:r>
                      </w:p>
                    </w:tc>
                    <w:tc>
                      <w:tcPr>
                        <w:tcW w:w="7568" w:type="dxa"/>
                      </w:tcPr>
                      <w:p>
                        <w:pPr>
                          <w:widowControl w:val="0"/>
                          <w:suppressAutoHyphens/>
                          <w:jc w:val="both"/>
                          <w:rPr>
                            <w:szCs w:val="24"/>
                          </w:rPr>
                        </w:pPr>
                        <w:r>
                          <w:rPr>
                            <w:szCs w:val="24"/>
                          </w:rPr>
                          <w:t>20 procentų Savivaldybių aplinkos apsaugos rėmimo specialiosios programos lėšų, neįskaitant įplaukų už medžioklės plotų naudotojų mokesčius, mokamus įstatymų nustatytomis proporcijomis ir tvarka už medžiojamųjų gyvūnų išteklių naudojimą</w:t>
                        </w:r>
                      </w:p>
                    </w:tc>
                    <w:tc>
                      <w:tcPr>
                        <w:tcW w:w="1364" w:type="dxa"/>
                      </w:tcPr>
                      <w:p>
                        <w:pPr>
                          <w:widowControl w:val="0"/>
                          <w:suppressAutoHyphens/>
                          <w:jc w:val="center"/>
                          <w:rPr>
                            <w:szCs w:val="24"/>
                          </w:rPr>
                        </w:pPr>
                        <w:r>
                          <w:rPr>
                            <w:szCs w:val="24"/>
                          </w:rPr>
                          <w:t>46 000</w:t>
                        </w:r>
                      </w:p>
                    </w:tc>
                  </w:tr>
                  <w:tr>
                    <w:tc>
                      <w:tcPr>
                        <w:tcW w:w="696" w:type="dxa"/>
                      </w:tcPr>
                      <w:p>
                        <w:pPr>
                          <w:widowControl w:val="0"/>
                          <w:suppressAutoHyphens/>
                          <w:jc w:val="both"/>
                          <w:rPr>
                            <w:szCs w:val="24"/>
                          </w:rPr>
                        </w:pPr>
                        <w:r>
                          <w:rPr>
                            <w:szCs w:val="24"/>
                          </w:rPr>
                          <w:t>1.11.</w:t>
                        </w:r>
                      </w:p>
                    </w:tc>
                    <w:tc>
                      <w:tcPr>
                        <w:tcW w:w="7568" w:type="dxa"/>
                      </w:tcPr>
                      <w:p>
                        <w:pPr>
                          <w:widowControl w:val="0"/>
                          <w:suppressAutoHyphens/>
                          <w:jc w:val="both"/>
                          <w:rPr>
                            <w:szCs w:val="24"/>
                          </w:rPr>
                        </w:pPr>
                        <w:r>
                          <w:rPr>
                            <w:szCs w:val="24"/>
                          </w:rPr>
                          <w:t xml:space="preserve">Ankstesnio ataskaitinio laikotarpio ataskaitos atitinkamų lėšų likutis </w:t>
                        </w:r>
                      </w:p>
                    </w:tc>
                    <w:tc>
                      <w:tcPr>
                        <w:tcW w:w="1364" w:type="dxa"/>
                      </w:tcPr>
                      <w:p>
                        <w:pPr>
                          <w:widowControl w:val="0"/>
                          <w:suppressAutoHyphens/>
                          <w:jc w:val="center"/>
                          <w:rPr>
                            <w:szCs w:val="24"/>
                          </w:rPr>
                        </w:pPr>
                        <w:r>
                          <w:rPr>
                            <w:szCs w:val="24"/>
                          </w:rPr>
                          <w:t>22 776</w:t>
                        </w:r>
                      </w:p>
                    </w:tc>
                  </w:tr>
                  <w:tr>
                    <w:tc>
                      <w:tcPr>
                        <w:tcW w:w="696" w:type="dxa"/>
                      </w:tcPr>
                      <w:p>
                        <w:pPr>
                          <w:widowControl w:val="0"/>
                          <w:suppressAutoHyphens/>
                          <w:jc w:val="both"/>
                          <w:rPr>
                            <w:szCs w:val="24"/>
                          </w:rPr>
                        </w:pPr>
                        <w:r>
                          <w:rPr>
                            <w:szCs w:val="24"/>
                          </w:rPr>
                          <w:t>1.12.</w:t>
                        </w:r>
                      </w:p>
                    </w:tc>
                    <w:tc>
                      <w:tcPr>
                        <w:tcW w:w="7568" w:type="dxa"/>
                      </w:tcPr>
                      <w:p>
                        <w:pPr>
                          <w:widowControl w:val="0"/>
                          <w:suppressAutoHyphens/>
                          <w:jc w:val="both"/>
                          <w:rPr>
                            <w:szCs w:val="24"/>
                          </w:rPr>
                        </w:pPr>
                        <w:r>
                          <w:rPr>
                            <w:szCs w:val="24"/>
                          </w:rPr>
                          <w:t>Iš viso (1.10 + 1.11):</w:t>
                        </w:r>
                      </w:p>
                    </w:tc>
                    <w:tc>
                      <w:tcPr>
                        <w:tcW w:w="1364" w:type="dxa"/>
                      </w:tcPr>
                      <w:p>
                        <w:pPr>
                          <w:widowControl w:val="0"/>
                          <w:suppressAutoHyphens/>
                          <w:jc w:val="center"/>
                          <w:rPr>
                            <w:szCs w:val="24"/>
                            <w:lang w:val="en-US"/>
                          </w:rPr>
                        </w:pPr>
                        <w:r>
                          <w:rPr>
                            <w:szCs w:val="24"/>
                            <w:lang w:val="en-US"/>
                          </w:rPr>
                          <w:t>68 776</w:t>
                        </w:r>
                      </w:p>
                    </w:tc>
                  </w:tr>
                  <w:tr>
                    <w:tc>
                      <w:tcPr>
                        <w:tcW w:w="696" w:type="dxa"/>
                      </w:tcPr>
                      <w:p>
                        <w:pPr>
                          <w:widowControl w:val="0"/>
                          <w:suppressAutoHyphens/>
                          <w:jc w:val="both"/>
                          <w:rPr>
                            <w:b/>
                            <w:szCs w:val="24"/>
                          </w:rPr>
                        </w:pPr>
                        <w:r>
                          <w:rPr>
                            <w:b/>
                            <w:szCs w:val="24"/>
                          </w:rPr>
                          <w:t>Eil. Nr.</w:t>
                        </w:r>
                      </w:p>
                    </w:tc>
                    <w:tc>
                      <w:tcPr>
                        <w:tcW w:w="7568" w:type="dxa"/>
                      </w:tcPr>
                      <w:p>
                        <w:pPr>
                          <w:ind w:firstLine="312"/>
                          <w:jc w:val="center"/>
                          <w:rPr>
                            <w:b/>
                            <w:szCs w:val="24"/>
                          </w:rPr>
                        </w:pPr>
                        <w:r>
                          <w:rPr>
                            <w:b/>
                            <w:szCs w:val="24"/>
                          </w:rPr>
                          <w:t>(3) Kitoms Programos priemonėms skirtinos lėšos</w:t>
                        </w:r>
                      </w:p>
                    </w:tc>
                    <w:tc>
                      <w:tcPr>
                        <w:tcW w:w="1364" w:type="dxa"/>
                      </w:tcPr>
                      <w:p>
                        <w:pPr>
                          <w:jc w:val="center"/>
                          <w:rPr>
                            <w:b/>
                            <w:szCs w:val="24"/>
                          </w:rPr>
                        </w:pPr>
                        <w:r>
                          <w:rPr>
                            <w:b/>
                            <w:szCs w:val="24"/>
                          </w:rPr>
                          <w:t>Lėšos, Eur</w:t>
                        </w:r>
                      </w:p>
                    </w:tc>
                  </w:tr>
                  <w:tr>
                    <w:tc>
                      <w:tcPr>
                        <w:tcW w:w="696" w:type="dxa"/>
                      </w:tcPr>
                      <w:p>
                        <w:pPr>
                          <w:widowControl w:val="0"/>
                          <w:suppressAutoHyphens/>
                          <w:jc w:val="both"/>
                          <w:rPr>
                            <w:szCs w:val="24"/>
                          </w:rPr>
                        </w:pPr>
                        <w:r>
                          <w:rPr>
                            <w:szCs w:val="24"/>
                          </w:rPr>
                          <w:t>1.13.</w:t>
                        </w:r>
                      </w:p>
                    </w:tc>
                    <w:tc>
                      <w:tcPr>
                        <w:tcW w:w="7568" w:type="dxa"/>
                      </w:tcPr>
                      <w:p>
                        <w:pPr>
                          <w:widowControl w:val="0"/>
                          <w:suppressAutoHyphens/>
                          <w:jc w:val="both"/>
                          <w:rPr>
                            <w:szCs w:val="24"/>
                          </w:rPr>
                        </w:pPr>
                        <w:r>
                          <w:rPr>
                            <w:szCs w:val="24"/>
                          </w:rPr>
                          <w:t>80 procentų Savivaldybių aplinkos apsaugos rėmimo specialiosios programos lėšų, neįskaitant įplaukų už medžioklės plotų naudotojų mokesčius, mokamus įstatymų nustatytomis proporcijomis ir tvarka už medžiojamųjų gyvūnų išteklių naudojimą</w:t>
                        </w:r>
                      </w:p>
                    </w:tc>
                    <w:tc>
                      <w:tcPr>
                        <w:tcW w:w="1364" w:type="dxa"/>
                      </w:tcPr>
                      <w:p>
                        <w:pPr>
                          <w:widowControl w:val="0"/>
                          <w:suppressAutoHyphens/>
                          <w:jc w:val="center"/>
                          <w:rPr>
                            <w:szCs w:val="24"/>
                            <w:lang w:val="en-US"/>
                          </w:rPr>
                        </w:pPr>
                        <w:r>
                          <w:rPr>
                            <w:szCs w:val="24"/>
                            <w:lang w:val="en-US"/>
                          </w:rPr>
                          <w:t>184 000</w:t>
                        </w:r>
                      </w:p>
                    </w:tc>
                  </w:tr>
                  <w:tr>
                    <w:tc>
                      <w:tcPr>
                        <w:tcW w:w="696" w:type="dxa"/>
                      </w:tcPr>
                      <w:p>
                        <w:pPr>
                          <w:widowControl w:val="0"/>
                          <w:suppressAutoHyphens/>
                          <w:jc w:val="both"/>
                          <w:rPr>
                            <w:szCs w:val="24"/>
                          </w:rPr>
                        </w:pPr>
                        <w:r>
                          <w:rPr>
                            <w:szCs w:val="24"/>
                          </w:rPr>
                          <w:t>1.14.</w:t>
                        </w:r>
                      </w:p>
                    </w:tc>
                    <w:tc>
                      <w:tcPr>
                        <w:tcW w:w="7568" w:type="dxa"/>
                      </w:tcPr>
                      <w:p>
                        <w:pPr>
                          <w:widowControl w:val="0"/>
                          <w:suppressAutoHyphens/>
                          <w:jc w:val="both"/>
                          <w:rPr>
                            <w:szCs w:val="24"/>
                          </w:rPr>
                        </w:pPr>
                        <w:r>
                          <w:rPr>
                            <w:szCs w:val="24"/>
                          </w:rPr>
                          <w:t xml:space="preserve">Ankstesnio ataskaitinio laikotarpio ataskaitos atitinkamų lėšų likutis </w:t>
                        </w:r>
                      </w:p>
                    </w:tc>
                    <w:tc>
                      <w:tcPr>
                        <w:tcW w:w="1364" w:type="dxa"/>
                      </w:tcPr>
                      <w:p>
                        <w:pPr>
                          <w:widowControl w:val="0"/>
                          <w:suppressAutoHyphens/>
                          <w:jc w:val="center"/>
                          <w:rPr>
                            <w:szCs w:val="24"/>
                          </w:rPr>
                        </w:pPr>
                        <w:r>
                          <w:rPr>
                            <w:szCs w:val="24"/>
                          </w:rPr>
                          <w:t>89 460</w:t>
                        </w:r>
                      </w:p>
                    </w:tc>
                  </w:tr>
                  <w:tr>
                    <w:tc>
                      <w:tcPr>
                        <w:tcW w:w="696" w:type="dxa"/>
                      </w:tcPr>
                      <w:p>
                        <w:pPr>
                          <w:widowControl w:val="0"/>
                          <w:suppressAutoHyphens/>
                          <w:jc w:val="both"/>
                          <w:rPr>
                            <w:szCs w:val="24"/>
                          </w:rPr>
                        </w:pPr>
                        <w:r>
                          <w:rPr>
                            <w:szCs w:val="24"/>
                          </w:rPr>
                          <w:t>1.15.</w:t>
                        </w:r>
                      </w:p>
                    </w:tc>
                    <w:tc>
                      <w:tcPr>
                        <w:tcW w:w="7568" w:type="dxa"/>
                      </w:tcPr>
                      <w:p>
                        <w:pPr>
                          <w:widowControl w:val="0"/>
                          <w:suppressAutoHyphens/>
                          <w:jc w:val="both"/>
                          <w:rPr>
                            <w:szCs w:val="24"/>
                          </w:rPr>
                        </w:pPr>
                        <w:r>
                          <w:rPr>
                            <w:szCs w:val="24"/>
                          </w:rPr>
                          <w:t>Iš viso (1.13 + 1.14):</w:t>
                        </w:r>
                      </w:p>
                    </w:tc>
                    <w:tc>
                      <w:tcPr>
                        <w:tcW w:w="1364" w:type="dxa"/>
                      </w:tcPr>
                      <w:p>
                        <w:pPr>
                          <w:widowControl w:val="0"/>
                          <w:suppressAutoHyphens/>
                          <w:jc w:val="center"/>
                          <w:rPr>
                            <w:szCs w:val="24"/>
                          </w:rPr>
                        </w:pPr>
                        <w:r>
                          <w:rPr>
                            <w:szCs w:val="24"/>
                          </w:rPr>
                          <w:t>273 460</w:t>
                        </w:r>
                      </w:p>
                    </w:tc>
                  </w:tr>
                </w:tbl>
                <w:p>
                  <w:pPr>
                    <w:suppressAutoHyphens/>
                    <w:spacing w:line="276" w:lineRule="auto"/>
                    <w:jc w:val="both"/>
                    <w:textAlignment w:val="baseline"/>
                    <w:rPr>
                      <w:szCs w:val="24"/>
                    </w:rPr>
                  </w:pPr>
                  <w:r>
                    <w:rPr>
                      <w:szCs w:val="24"/>
                    </w:rPr>
                    <w:t>„</w:t>
                  </w:r>
                </w:p>
              </w:sdtContent>
            </w:sdt>
          </w:sdtContent>
        </w:sdt>
        <w:sdt>
          <w:sdtPr>
            <w:alias w:val="2 p."/>
            <w:tag w:val="part_e66079e53606425b9493073d321206b8"/>
            <w:lock w:val="sdtLocked"/>
            <w:richText/>
          </w:sdtPr>
          <w:sdtContent>
            <w:p>
              <w:pPr>
                <w:suppressAutoHyphens/>
                <w:spacing w:line="276" w:lineRule="auto"/>
                <w:ind w:firstLine="709"/>
                <w:jc w:val="both"/>
                <w:textAlignment w:val="baseline"/>
                <w:rPr>
                  <w:szCs w:val="24"/>
                </w:rPr>
              </w:pPr>
              <w:sdt>
                <w:sdtPr>
                  <w:alias w:val="Numeris"/>
                  <w:tag w:val="nr_e66079e53606425b9493073d321206b8"/>
                  <w:lock w:val="sdtLocked"/>
                  <w:richText/>
                </w:sdtPr>
                <w:sdtContent>
                  <w:r>
                    <w:rPr>
                      <w:szCs w:val="24"/>
                    </w:rPr>
                    <w:t>2</w:t>
                  </w:r>
                </w:sdtContent>
              </w:sdt>
              <w:r>
                <w:rPr>
                  <w:szCs w:val="24"/>
                </w:rPr>
                <w:t>. Pakeisti Sąmatos 3 punktą ir jį išdėstyti taip:</w:t>
              </w:r>
            </w:p>
            <w:p>
              <w:pPr>
                <w:suppressAutoHyphens/>
                <w:ind w:firstLine="709"/>
                <w:jc w:val="both"/>
                <w:textAlignment w:val="baseline"/>
                <w:rPr>
                  <w:b/>
                  <w:szCs w:val="24"/>
                </w:rPr>
              </w:pPr>
              <w:r>
                <w:rPr>
                  <w:b/>
                  <w:szCs w:val="24"/>
                </w:rPr>
                <w:t>„3. Programos lėšos, skirtos Savivaldybės visuomenės sveikatos rėmimo specialiajai programai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21"/>
                <w:gridCol w:w="2013"/>
              </w:tblGrid>
              <w:tr>
                <w:tc>
                  <w:tcPr>
                    <w:tcW w:w="7621" w:type="dxa"/>
                  </w:tcPr>
                  <w:p>
                    <w:pPr>
                      <w:suppressAutoHyphens/>
                      <w:ind w:firstLine="709"/>
                      <w:jc w:val="both"/>
                      <w:textAlignment w:val="baseline"/>
                      <w:rPr>
                        <w:b/>
                        <w:szCs w:val="24"/>
                      </w:rPr>
                    </w:pPr>
                    <w:r>
                      <w:rPr>
                        <w:b/>
                        <w:szCs w:val="24"/>
                      </w:rPr>
                      <w:t>Programos pavadinimas</w:t>
                    </w:r>
                  </w:p>
                </w:tc>
                <w:tc>
                  <w:tcPr>
                    <w:tcW w:w="2013" w:type="dxa"/>
                  </w:tcPr>
                  <w:p>
                    <w:pPr>
                      <w:suppressAutoHyphens/>
                      <w:ind w:firstLine="709"/>
                      <w:jc w:val="both"/>
                      <w:textAlignment w:val="baseline"/>
                      <w:rPr>
                        <w:b/>
                        <w:szCs w:val="24"/>
                      </w:rPr>
                    </w:pPr>
                    <w:r>
                      <w:rPr>
                        <w:b/>
                        <w:szCs w:val="24"/>
                      </w:rPr>
                      <w:t>Pagal sąmatą lėšų poreikis, Eur</w:t>
                    </w:r>
                  </w:p>
                </w:tc>
              </w:tr>
              <w:tr>
                <w:trPr>
                  <w:trHeight w:val="312"/>
                </w:trPr>
                <w:tc>
                  <w:tcPr>
                    <w:tcW w:w="7621" w:type="dxa"/>
                  </w:tcPr>
                  <w:p>
                    <w:pPr>
                      <w:suppressAutoHyphens/>
                      <w:ind w:firstLine="709"/>
                      <w:jc w:val="both"/>
                      <w:textAlignment w:val="baseline"/>
                      <w:rPr>
                        <w:b/>
                        <w:szCs w:val="24"/>
                      </w:rPr>
                    </w:pPr>
                    <w:r>
                      <w:rPr>
                        <w:b/>
                        <w:szCs w:val="24"/>
                      </w:rPr>
                      <w:t>Savivaldybės visuomenės sveikatos rėmimo specialioji programa</w:t>
                    </w:r>
                  </w:p>
                </w:tc>
                <w:tc>
                  <w:tcPr>
                    <w:tcW w:w="2013" w:type="dxa"/>
                  </w:tcPr>
                  <w:p>
                    <w:pPr>
                      <w:suppressAutoHyphens/>
                      <w:ind w:firstLine="709"/>
                      <w:jc w:val="both"/>
                      <w:textAlignment w:val="baseline"/>
                      <w:rPr>
                        <w:szCs w:val="24"/>
                      </w:rPr>
                    </w:pPr>
                    <w:r>
                      <w:rPr>
                        <w:szCs w:val="24"/>
                      </w:rPr>
                      <w:t>68 776</w:t>
                    </w:r>
                  </w:p>
                </w:tc>
              </w:tr>
            </w:tbl>
            <w:p>
              <w:pPr>
                <w:suppressAutoHyphens/>
                <w:jc w:val="both"/>
                <w:textAlignment w:val="baseline"/>
                <w:rPr>
                  <w:rFonts w:ascii="Thorndale" w:eastAsia="Lucida Sans Unicode" w:hAnsi="Thorndale" w:cs="Tahoma"/>
                  <w:kern w:val="2"/>
                  <w:szCs w:val="24"/>
                  <w:lang w:eastAsia="lt-LT"/>
                </w:rPr>
              </w:pPr>
              <w:r>
                <w:rPr>
                  <w:rFonts w:ascii="Thorndale" w:eastAsia="Lucida Sans Unicode" w:hAnsi="Thorndale" w:cs="Tahoma"/>
                  <w:kern w:val="2"/>
                  <w:szCs w:val="24"/>
                  <w:lang w:eastAsia="lt-LT"/>
                </w:rPr>
                <w:t>„</w:t>
              </w:r>
            </w:p>
          </w:sdtContent>
        </w:sdt>
        <w:sdt>
          <w:sdtPr>
            <w:alias w:val="3 p."/>
            <w:tag w:val="part_6570ffd3129f45c99e3444e5be053b69"/>
            <w:lock w:val="sdtLocked"/>
            <w:richText/>
          </w:sdtPr>
          <w:sdtContent>
            <w:p>
              <w:pPr>
                <w:suppressAutoHyphens/>
                <w:ind w:firstLine="709"/>
                <w:jc w:val="both"/>
                <w:textAlignment w:val="baseline"/>
                <w:rPr>
                  <w:rFonts w:ascii="Thorndale" w:eastAsia="Lucida Sans Unicode" w:hAnsi="Thorndale" w:cs="Tahoma"/>
                  <w:kern w:val="2"/>
                  <w:szCs w:val="24"/>
                  <w:lang w:eastAsia="zh-CN"/>
                </w:rPr>
              </w:pPr>
              <w:sdt>
                <w:sdtPr>
                  <w:alias w:val="Numeris"/>
                  <w:tag w:val="nr_6570ffd3129f45c99e3444e5be053b69"/>
                  <w:lock w:val="sdtLocked"/>
                  <w:richText/>
                </w:sdtPr>
                <w:sdtContent>
                  <w:r>
                    <w:rPr>
                      <w:rFonts w:ascii="Thorndale" w:eastAsia="Lucida Sans Unicode" w:hAnsi="Thorndale" w:cs="Tahoma"/>
                      <w:kern w:val="2"/>
                      <w:szCs w:val="24"/>
                      <w:lang w:eastAsia="lt-LT"/>
                    </w:rPr>
                    <w:t>3</w:t>
                  </w:r>
                </w:sdtContent>
              </w:sdt>
              <w:r>
                <w:rPr>
                  <w:rFonts w:ascii="Thorndale" w:eastAsia="Lucida Sans Unicode" w:hAnsi="Thorndale" w:cs="Tahoma"/>
                  <w:kern w:val="2"/>
                  <w:szCs w:val="24"/>
                  <w:lang w:eastAsia="lt-LT"/>
                </w:rPr>
                <w:t xml:space="preserve">. </w:t>
              </w:r>
              <w:r>
                <w:rPr>
                  <w:szCs w:val="24"/>
                </w:rPr>
                <w:t>Pakeisti Sąmatos 4 punkto</w:t>
              </w:r>
              <w:r>
                <w:rPr>
                  <w:color w:val="EE0000"/>
                  <w:szCs w:val="24"/>
                </w:rPr>
                <w:t xml:space="preserve"> </w:t>
              </w:r>
              <w:r>
                <w:rPr>
                  <w:color w:val="000000"/>
                  <w:szCs w:val="24"/>
                </w:rPr>
                <w:t xml:space="preserve">4.1.1. ir 4.1.6. papunkčius </w:t>
              </w:r>
              <w:r>
                <w:rPr>
                  <w:szCs w:val="24"/>
                </w:rPr>
                <w:t>ir juos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2592"/>
                <w:gridCol w:w="4807"/>
                <w:gridCol w:w="1360"/>
              </w:tblGrid>
              <w:tr>
                <w:trPr>
                  <w:trHeight w:val="2027"/>
                </w:trPr>
                <w:tc>
                  <w:tcPr>
                    <w:tcW w:w="869" w:type="dxa"/>
                  </w:tcPr>
                  <w:p>
                    <w:pPr>
                      <w:widowControl w:val="0"/>
                      <w:suppressAutoHyphens/>
                      <w:jc w:val="both"/>
                      <w:rPr>
                        <w:szCs w:val="24"/>
                      </w:rPr>
                    </w:pPr>
                    <w:r>
                      <w:rPr>
                        <w:szCs w:val="24"/>
                      </w:rPr>
                      <w:t>4.1.1.</w:t>
                    </w:r>
                  </w:p>
                </w:tc>
                <w:tc>
                  <w:tcPr>
                    <w:tcW w:w="2592" w:type="dxa"/>
                  </w:tcPr>
                  <w:p>
                    <w:pPr>
                      <w:snapToGrid w:val="0"/>
                      <w:jc w:val="both"/>
                      <w:rPr>
                        <w:szCs w:val="24"/>
                        <w:lang w:eastAsia="lt-LT"/>
                      </w:rPr>
                    </w:pPr>
                    <w:r>
                      <w:rPr>
                        <w:szCs w:val="24"/>
                        <w:lang w:eastAsia="lt-LT"/>
                      </w:rPr>
                      <w:t xml:space="preserve">Teršalų, išmetamų į atmosferą, vandenį, žemės paviršių ir gilesnius jo sluoksnius, mažinimo įrenginių (pvz., nuotekų ir lietaus surinkimo, valymo, vandens tiekimo sistemos ir jų elementai) įsigijimo, projektavimo, statybos, remonto, rekonstravimo darbų finansavimas </w:t>
                    </w:r>
                    <w:r>
                      <w:rPr>
                        <w:b/>
                        <w:i/>
                        <w:szCs w:val="24"/>
                        <w:lang w:eastAsia="lt-LT"/>
                      </w:rPr>
                      <w:t>(B</w:t>
                    </w:r>
                    <w:r>
                      <w:rPr>
                        <w:b/>
                        <w:bCs/>
                        <w:i/>
                        <w:szCs w:val="24"/>
                        <w:lang w:eastAsia="lt-LT"/>
                      </w:rPr>
                      <w:t>aisogalos mstl. Taikos g.</w:t>
                    </w:r>
                    <w:r>
                      <w:rPr>
                        <w:b/>
                        <w:i/>
                        <w:szCs w:val="24"/>
                        <w:lang w:eastAsia="lt-LT"/>
                      </w:rPr>
                      <w:t xml:space="preserve"> – nuotekų siurblinės rekonstrukcija)</w:t>
                    </w:r>
                  </w:p>
                </w:tc>
                <w:tc>
                  <w:tcPr>
                    <w:tcW w:w="4807" w:type="dxa"/>
                  </w:tcPr>
                  <w:p>
                    <w:pPr>
                      <w:widowControl w:val="0"/>
                      <w:suppressAutoHyphens/>
                      <w:ind w:firstLine="13"/>
                      <w:jc w:val="both"/>
                      <w:rPr>
                        <w:szCs w:val="24"/>
                      </w:rPr>
                    </w:pPr>
                    <w:r>
                      <w:rPr>
                        <w:szCs w:val="24"/>
                      </w:rPr>
                      <w:t>Asignavimų valdytojas – Radviliškio rajono savivaldybės administracija, atsakingas – Investicijų ir turto skyrius. Vykdytojas – Investicijų ir turto skyrius. Vykdymo pradžia – 2026 m. I ketv., pabaiga – 2026 m. IV ketv. (Dotacija UAB „Radviliškio vanduo“.)</w:t>
                    </w:r>
                  </w:p>
                </w:tc>
                <w:tc>
                  <w:tcPr>
                    <w:tcW w:w="1360" w:type="dxa"/>
                  </w:tcPr>
                  <w:p>
                    <w:pPr>
                      <w:widowControl w:val="0"/>
                      <w:suppressAutoHyphens/>
                      <w:jc w:val="center"/>
                      <w:rPr>
                        <w:szCs w:val="24"/>
                      </w:rPr>
                    </w:pPr>
                    <w:r>
                      <w:rPr>
                        <w:szCs w:val="24"/>
                      </w:rPr>
                      <w:t>60 400</w:t>
                    </w: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tc>
              </w:tr>
              <w:tr>
                <w:trPr>
                  <w:trHeight w:val="2027"/>
                </w:trPr>
                <w:tc>
                  <w:tcPr>
                    <w:tcW w:w="869" w:type="dxa"/>
                    <w:vMerge w:val="restart"/>
                    <w:tcBorders>
                      <w:top w:val="single" w:sz="4" w:space="0" w:color="auto"/>
                      <w:left w:val="single" w:sz="4" w:space="0" w:color="auto"/>
                      <w:right w:val="single" w:sz="4" w:space="0" w:color="auto"/>
                    </w:tcBorders>
                  </w:tcPr>
                  <w:p>
                    <w:pPr>
                      <w:widowControl w:val="0"/>
                      <w:suppressAutoHyphens/>
                      <w:jc w:val="both"/>
                      <w:rPr>
                        <w:szCs w:val="24"/>
                      </w:rPr>
                    </w:pPr>
                    <w:r>
                      <w:rPr>
                        <w:szCs w:val="24"/>
                      </w:rPr>
                      <w:t>4.1.6.</w:t>
                    </w:r>
                  </w:p>
                </w:tc>
                <w:tc>
                  <w:tcPr>
                    <w:tcW w:w="2592" w:type="dxa"/>
                    <w:vMerge w:val="restart"/>
                    <w:tcBorders>
                      <w:top w:val="single" w:sz="4" w:space="0" w:color="auto"/>
                      <w:left w:val="single" w:sz="4" w:space="0" w:color="auto"/>
                      <w:right w:val="single" w:sz="4" w:space="0" w:color="auto"/>
                    </w:tcBorders>
                  </w:tcPr>
                  <w:p>
                    <w:pPr>
                      <w:rPr>
                        <w:sz w:val="8"/>
                        <w:szCs w:val="8"/>
                      </w:rPr>
                    </w:pPr>
                  </w:p>
                  <w:p>
                    <w:pPr>
                      <w:snapToGrid w:val="0"/>
                      <w:rPr>
                        <w:szCs w:val="24"/>
                        <w:lang w:eastAsia="lt-LT"/>
                      </w:rPr>
                    </w:pPr>
                    <w:r>
                      <w:rPr>
                        <w:szCs w:val="24"/>
                        <w:lang w:eastAsia="lt-LT"/>
                      </w:rPr>
                      <w:t>Varninių paukščių gausos reguliavimas</w:t>
                    </w:r>
                  </w:p>
                </w:tc>
                <w:tc>
                  <w:tcPr>
                    <w:tcW w:w="4807" w:type="dxa"/>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 xml:space="preserve">Asignavimų valdytojas – Radviliškio rajono savivaldybės administracija, atsakingas – Radviliškio miesto seniūnija. Vykdytojas – Radviliškio miesto seniūnija. Vykdymo pradžia – 2026 m. I ketv. (iki kovo 1 d.), pabaiga – 2026 m. IV ketv. (nuo liepos 1 d.) </w:t>
                    </w:r>
                  </w:p>
                </w:tc>
                <w:tc>
                  <w:tcPr>
                    <w:tcW w:w="1360" w:type="dxa"/>
                    <w:tcBorders>
                      <w:top w:val="single" w:sz="4" w:space="0" w:color="auto"/>
                      <w:left w:val="single" w:sz="4" w:space="0" w:color="auto"/>
                      <w:bottom w:val="single" w:sz="4" w:space="0" w:color="auto"/>
                      <w:right w:val="single" w:sz="4" w:space="0" w:color="auto"/>
                    </w:tcBorders>
                  </w:tcPr>
                  <w:p>
                    <w:pPr>
                      <w:widowControl w:val="0"/>
                      <w:suppressAutoHyphens/>
                      <w:jc w:val="center"/>
                      <w:rPr>
                        <w:szCs w:val="24"/>
                      </w:rPr>
                    </w:pPr>
                    <w:r>
                      <w:rPr>
                        <w:szCs w:val="24"/>
                      </w:rPr>
                      <w:t>2 000</w:t>
                    </w:r>
                  </w:p>
                  <w:p>
                    <w:pPr>
                      <w:widowControl w:val="0"/>
                      <w:suppressAutoHyphens/>
                      <w:jc w:val="center"/>
                      <w:rPr>
                        <w:szCs w:val="24"/>
                      </w:rPr>
                    </w:pPr>
                  </w:p>
                </w:tc>
              </w:tr>
              <w:tr>
                <w:trPr>
                  <w:trHeight w:val="1013"/>
                </w:trPr>
                <w:tc>
                  <w:tcPr>
                    <w:tcW w:w="869" w:type="dxa"/>
                    <w:vMerge/>
                    <w:tcBorders>
                      <w:left w:val="single" w:sz="4" w:space="0" w:color="auto"/>
                      <w:right w:val="single" w:sz="4" w:space="0" w:color="auto"/>
                    </w:tcBorders>
                  </w:tcPr>
                  <w:p>
                    <w:pPr>
                      <w:widowControl w:val="0"/>
                      <w:suppressAutoHyphens/>
                      <w:jc w:val="both"/>
                      <w:rPr>
                        <w:szCs w:val="24"/>
                      </w:rPr>
                    </w:pPr>
                  </w:p>
                </w:tc>
                <w:tc>
                  <w:tcPr>
                    <w:tcW w:w="2592" w:type="dxa"/>
                    <w:vMerge/>
                    <w:tcBorders>
                      <w:left w:val="single" w:sz="4" w:space="0" w:color="auto"/>
                      <w:right w:val="single" w:sz="4" w:space="0" w:color="auto"/>
                    </w:tcBorders>
                  </w:tcPr>
                  <w:p>
                    <w:pPr>
                      <w:rPr>
                        <w:sz w:val="8"/>
                        <w:szCs w:val="8"/>
                      </w:rPr>
                    </w:pPr>
                  </w:p>
                  <w:p>
                    <w:pPr>
                      <w:snapToGrid w:val="0"/>
                      <w:rPr>
                        <w:szCs w:val="24"/>
                        <w:lang w:eastAsia="lt-LT"/>
                      </w:rPr>
                    </w:pPr>
                  </w:p>
                </w:tc>
                <w:tc>
                  <w:tcPr>
                    <w:tcW w:w="4807" w:type="dxa"/>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 xml:space="preserve">Asignavimų valdytojas – Radviliškio rajono savivaldybės administracija, atsakingas – Šeduvos miesto seniūnija. Vykdytojas – Šeduvos miesto seniūnija. Vykdymo pradžia – 2026 m. I ketv. (iki kovo 1 d.), pabaiga – 2026 m. IV ketv. (nuo liepos 1 d.) </w:t>
                    </w:r>
                  </w:p>
                </w:tc>
                <w:tc>
                  <w:tcPr>
                    <w:tcW w:w="1360" w:type="dxa"/>
                    <w:tcBorders>
                      <w:top w:val="single" w:sz="4" w:space="0" w:color="auto"/>
                      <w:left w:val="single" w:sz="4" w:space="0" w:color="auto"/>
                      <w:right w:val="single" w:sz="4" w:space="0" w:color="auto"/>
                    </w:tcBorders>
                  </w:tcPr>
                  <w:p>
                    <w:pPr>
                      <w:widowControl w:val="0"/>
                      <w:suppressAutoHyphens/>
                      <w:ind w:firstLine="62"/>
                      <w:jc w:val="center"/>
                      <w:rPr>
                        <w:szCs w:val="24"/>
                      </w:rPr>
                    </w:pPr>
                    <w:r>
                      <w:rPr>
                        <w:szCs w:val="24"/>
                      </w:rPr>
                      <w:t>1 600</w:t>
                    </w:r>
                  </w:p>
                  <w:p>
                    <w:pPr>
                      <w:widowControl w:val="0"/>
                      <w:suppressAutoHyphens/>
                      <w:jc w:val="center"/>
                      <w:rPr>
                        <w:szCs w:val="24"/>
                      </w:rPr>
                    </w:pPr>
                  </w:p>
                </w:tc>
              </w:tr>
              <w:tr>
                <w:trPr>
                  <w:trHeight w:val="1012"/>
                </w:trPr>
                <w:tc>
                  <w:tcPr>
                    <w:tcW w:w="869" w:type="dxa"/>
                    <w:vMerge/>
                    <w:tcBorders>
                      <w:left w:val="single" w:sz="4" w:space="0" w:color="auto"/>
                      <w:bottom w:val="single" w:sz="4" w:space="0" w:color="auto"/>
                      <w:right w:val="single" w:sz="4" w:space="0" w:color="auto"/>
                    </w:tcBorders>
                  </w:tcPr>
                  <w:p>
                    <w:pPr>
                      <w:widowControl w:val="0"/>
                      <w:suppressAutoHyphens/>
                      <w:jc w:val="both"/>
                      <w:rPr>
                        <w:szCs w:val="24"/>
                      </w:rPr>
                    </w:pPr>
                  </w:p>
                </w:tc>
                <w:tc>
                  <w:tcPr>
                    <w:tcW w:w="2592" w:type="dxa"/>
                    <w:vMerge/>
                    <w:tcBorders>
                      <w:left w:val="single" w:sz="4" w:space="0" w:color="auto"/>
                      <w:bottom w:val="single" w:sz="4" w:space="0" w:color="auto"/>
                      <w:right w:val="single" w:sz="4" w:space="0" w:color="auto"/>
                    </w:tcBorders>
                  </w:tcPr>
                  <w:p>
                    <w:pPr>
                      <w:rPr>
                        <w:sz w:val="8"/>
                        <w:szCs w:val="8"/>
                      </w:rPr>
                    </w:pPr>
                  </w:p>
                  <w:p>
                    <w:pPr>
                      <w:snapToGrid w:val="0"/>
                      <w:rPr>
                        <w:szCs w:val="24"/>
                        <w:lang w:eastAsia="lt-LT"/>
                      </w:rPr>
                    </w:pPr>
                  </w:p>
                </w:tc>
                <w:tc>
                  <w:tcPr>
                    <w:tcW w:w="4807" w:type="dxa"/>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 xml:space="preserve">Asignavimų valdytojas – Radviliškio rajono savivaldybės administracija, atsakingas – Pakalniškių seniūnija. Vykdytojas – Pakalniškių seniūnija. Vykdymo pradžia – 2026 m. I ketv. (iki kovo 1 d.), pabaiga – 2026 m. IV ketv. (nuo liepos 1 d.) </w:t>
                    </w:r>
                  </w:p>
                </w:tc>
                <w:tc>
                  <w:tcPr>
                    <w:tcW w:w="1360" w:type="dxa"/>
                    <w:tcBorders>
                      <w:top w:val="single" w:sz="4" w:space="0" w:color="auto"/>
                      <w:left w:val="single" w:sz="4" w:space="0" w:color="auto"/>
                      <w:right w:val="single" w:sz="4" w:space="0" w:color="auto"/>
                    </w:tcBorders>
                  </w:tcPr>
                  <w:p>
                    <w:pPr>
                      <w:widowControl w:val="0"/>
                      <w:suppressAutoHyphens/>
                      <w:ind w:firstLine="62"/>
                      <w:jc w:val="center"/>
                      <w:rPr>
                        <w:szCs w:val="24"/>
                      </w:rPr>
                    </w:pPr>
                    <w:r>
                      <w:rPr>
                        <w:szCs w:val="24"/>
                      </w:rPr>
                      <w:t>1 600</w:t>
                    </w:r>
                  </w:p>
                  <w:p>
                    <w:pPr>
                      <w:widowControl w:val="0"/>
                      <w:suppressAutoHyphens/>
                      <w:jc w:val="center"/>
                      <w:rPr>
                        <w:szCs w:val="24"/>
                      </w:rPr>
                    </w:pPr>
                  </w:p>
                </w:tc>
              </w:tr>
            </w:tbl>
            <w:p>
              <w:pPr>
                <w:suppressAutoHyphens/>
                <w:ind w:firstLine="709"/>
                <w:jc w:val="both"/>
                <w:textAlignment w:val="baseline"/>
                <w:rPr>
                  <w:rFonts w:ascii="Thorndale" w:eastAsia="Lucida Sans Unicode" w:hAnsi="Thorndale" w:cs="Tahoma"/>
                  <w:kern w:val="2"/>
                  <w:szCs w:val="24"/>
                  <w:lang w:eastAsia="lt-LT"/>
                </w:rPr>
              </w:pPr>
            </w:p>
            <w:p>
              <w:pPr>
                <w:suppressAutoHyphens/>
                <w:ind w:firstLine="709"/>
                <w:jc w:val="both"/>
                <w:textAlignment w:val="baseline"/>
                <w:rPr>
                  <w:rFonts w:ascii="Thorndale" w:eastAsia="Lucida Sans Unicode" w:hAnsi="Thorndale" w:cs="Tahoma"/>
                  <w:kern w:val="2"/>
                  <w:szCs w:val="24"/>
                  <w:lang w:eastAsia="lt-LT"/>
                </w:rPr>
              </w:pPr>
            </w:p>
            <w:p>
              <w:pPr>
                <w:suppressAutoHyphens/>
                <w:ind w:firstLine="709"/>
                <w:jc w:val="both"/>
                <w:textAlignment w:val="baseline"/>
                <w:rPr>
                  <w:rFonts w:ascii="Thorndale" w:eastAsia="Lucida Sans Unicode" w:hAnsi="Thorndale" w:cs="Tahoma"/>
                  <w:kern w:val="2"/>
                  <w:szCs w:val="24"/>
                  <w:lang w:eastAsia="lt-LT"/>
                </w:rPr>
              </w:pPr>
            </w:p>
            <w:p>
              <w:pPr>
                <w:suppressAutoHyphens/>
                <w:ind w:firstLine="709"/>
                <w:jc w:val="both"/>
                <w:textAlignment w:val="baseline"/>
                <w:rPr>
                  <w:rFonts w:ascii="Thorndale" w:eastAsia="Lucida Sans Unicode" w:hAnsi="Thorndale" w:cs="Tahoma"/>
                  <w:kern w:val="2"/>
                  <w:szCs w:val="24"/>
                  <w:lang w:eastAsia="lt-LT"/>
                </w:rPr>
              </w:pPr>
            </w:p>
            <w:p>
              <w:pPr>
                <w:suppressAutoHyphens/>
                <w:ind w:firstLine="709"/>
                <w:jc w:val="both"/>
                <w:textAlignment w:val="baseline"/>
                <w:rPr>
                  <w:rFonts w:ascii="Thorndale" w:eastAsia="Lucida Sans Unicode" w:hAnsi="Thorndale" w:cs="Tahoma"/>
                  <w:kern w:val="2"/>
                  <w:szCs w:val="24"/>
                  <w:lang w:eastAsia="lt-LT"/>
                </w:rPr>
              </w:pPr>
            </w:p>
            <w:p>
              <w:pPr>
                <w:suppressAutoHyphens/>
                <w:ind w:firstLine="709"/>
                <w:jc w:val="both"/>
                <w:textAlignment w:val="baseline"/>
                <w:rPr>
                  <w:rFonts w:ascii="Thorndale" w:eastAsia="Lucida Sans Unicode" w:hAnsi="Thorndale" w:cs="Tahoma"/>
                  <w:kern w:val="2"/>
                  <w:szCs w:val="24"/>
                  <w:lang w:eastAsia="lt-LT"/>
                </w:rPr>
              </w:pPr>
            </w:p>
          </w:sdtContent>
        </w:sdt>
        <w:sdt>
          <w:sdtPr>
            <w:alias w:val="4 p."/>
            <w:tag w:val="part_73ea948826bc403f8b9f0b52e34488d6"/>
            <w:lock w:val="sdtLocked"/>
            <w:richText/>
          </w:sdtPr>
          <w:sdtContent>
            <w:p>
              <w:pPr>
                <w:suppressAutoHyphens/>
                <w:ind w:firstLine="709"/>
                <w:jc w:val="both"/>
                <w:textAlignment w:val="baseline"/>
                <w:rPr>
                  <w:szCs w:val="24"/>
                </w:rPr>
              </w:pPr>
              <w:sdt>
                <w:sdtPr>
                  <w:alias w:val="Numeris"/>
                  <w:tag w:val="nr_73ea948826bc403f8b9f0b52e34488d6"/>
                  <w:lock w:val="sdtLocked"/>
                  <w:richText/>
                </w:sdtPr>
                <w:sdtContent>
                  <w:r>
                    <w:rPr>
                      <w:rFonts w:ascii="Thorndale" w:eastAsia="Lucida Sans Unicode" w:hAnsi="Thorndale" w:cs="Tahoma"/>
                      <w:kern w:val="2"/>
                      <w:szCs w:val="24"/>
                      <w:lang w:eastAsia="lt-LT"/>
                    </w:rPr>
                    <w:t>4</w:t>
                  </w:r>
                </w:sdtContent>
              </w:sdt>
              <w:r>
                <w:rPr>
                  <w:rFonts w:ascii="Thorndale" w:eastAsia="Lucida Sans Unicode" w:hAnsi="Thorndale" w:cs="Tahoma"/>
                  <w:kern w:val="2"/>
                  <w:szCs w:val="24"/>
                  <w:lang w:eastAsia="lt-LT"/>
                </w:rPr>
                <w:t xml:space="preserve">. </w:t>
              </w:r>
              <w:r>
                <w:rPr>
                  <w:szCs w:val="24"/>
                </w:rPr>
                <w:t>Papildyti Sąmatos 4 punktą</w:t>
              </w:r>
              <w:r>
                <w:rPr>
                  <w:color w:val="EE0000"/>
                  <w:szCs w:val="24"/>
                </w:rPr>
                <w:t xml:space="preserve"> </w:t>
              </w:r>
              <w:r>
                <w:rPr>
                  <w:color w:val="000000"/>
                  <w:szCs w:val="24"/>
                </w:rPr>
                <w:t xml:space="preserve">4.1.9. papunkčiu </w:t>
              </w:r>
              <w:r>
                <w:rPr>
                  <w:szCs w:val="24"/>
                </w:rPr>
                <w:t>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2592"/>
                <w:gridCol w:w="4807"/>
                <w:gridCol w:w="1360"/>
              </w:tblGrid>
              <w:tr>
                <w:trPr>
                  <w:trHeight w:val="2027"/>
                </w:trPr>
                <w:tc>
                  <w:tcPr>
                    <w:tcW w:w="869" w:type="dxa"/>
                  </w:tcPr>
                  <w:p>
                    <w:pPr>
                      <w:widowControl w:val="0"/>
                      <w:suppressAutoHyphens/>
                      <w:jc w:val="both"/>
                      <w:rPr>
                        <w:szCs w:val="24"/>
                      </w:rPr>
                    </w:pPr>
                    <w:r>
                      <w:rPr>
                        <w:szCs w:val="24"/>
                      </w:rPr>
                      <w:t>4.1.9.</w:t>
                    </w:r>
                  </w:p>
                </w:tc>
                <w:tc>
                  <w:tcPr>
                    <w:tcW w:w="2592" w:type="dxa"/>
                  </w:tcPr>
                  <w:p>
                    <w:pPr>
                      <w:rPr>
                        <w:sz w:val="8"/>
                        <w:szCs w:val="8"/>
                      </w:rPr>
                    </w:pPr>
                  </w:p>
                  <w:p>
                    <w:pPr>
                      <w:snapToGrid w:val="0"/>
                      <w:rPr>
                        <w:szCs w:val="24"/>
                        <w:lang w:eastAsia="lt-LT"/>
                      </w:rPr>
                    </w:pPr>
                    <w:r>
                      <w:rPr>
                        <w:szCs w:val="24"/>
                        <w:lang w:eastAsia="lt-LT"/>
                      </w:rPr>
                      <w:t xml:space="preserve">Teršalų, išmetamų į atmosferą, vandenį, žemės paviršių ir gilesnius jo sluoksnius, mažinimo įrenginių (pvz., nuotekų ir lietaus surinkimo, valymo, vandens tiekimo sistemos ir jų elementai) įsigijimo, projektavimo, statybos, remonto, rekonstravimo darbų finansavimas </w:t>
                    </w:r>
                    <w:r>
                      <w:rPr>
                        <w:b/>
                        <w:i/>
                        <w:szCs w:val="24"/>
                        <w:lang w:eastAsia="lt-LT"/>
                      </w:rPr>
                      <w:t>(Pociūnėlių, Skėmių, Pašušvio, Vaitiekūnų gyvenvietėse – filtrų įkrovų keitimo darbai)</w:t>
                    </w:r>
                  </w:p>
                </w:tc>
                <w:tc>
                  <w:tcPr>
                    <w:tcW w:w="4807" w:type="dxa"/>
                  </w:tcPr>
                  <w:p>
                    <w:pPr>
                      <w:widowControl w:val="0"/>
                      <w:suppressAutoHyphens/>
                      <w:ind w:firstLine="13"/>
                      <w:jc w:val="both"/>
                      <w:rPr>
                        <w:szCs w:val="24"/>
                      </w:rPr>
                    </w:pPr>
                    <w:r>
                      <w:rPr>
                        <w:szCs w:val="24"/>
                      </w:rPr>
                      <w:t>Asignavimų valdytojas – Radviliškio rajono savivaldybės administracija, atsakingas – Investicijų ir turto skyrius. Vykdytojas – Investicijų ir turto skyrius. Vykdymo pradžia – 2026 m. II ketv., pabaiga – 2026 m. IV ketv. (Dotacija UAB „Radviliškio vanduo“.)</w:t>
                    </w:r>
                  </w:p>
                </w:tc>
                <w:tc>
                  <w:tcPr>
                    <w:tcW w:w="1360" w:type="dxa"/>
                  </w:tcPr>
                  <w:p>
                    <w:pPr>
                      <w:widowControl w:val="0"/>
                      <w:suppressAutoHyphens/>
                      <w:jc w:val="center"/>
                      <w:rPr>
                        <w:szCs w:val="24"/>
                      </w:rPr>
                    </w:pPr>
                    <w:r>
                      <w:rPr>
                        <w:szCs w:val="24"/>
                      </w:rPr>
                      <w:t>15 000</w:t>
                    </w:r>
                  </w:p>
                  <w:p>
                    <w:pPr>
                      <w:widowControl w:val="0"/>
                      <w:suppressAutoHyphens/>
                      <w:jc w:val="center"/>
                      <w:rPr>
                        <w:color w:val="00B050"/>
                        <w:szCs w:val="24"/>
                      </w:rPr>
                    </w:pP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tc>
              </w:tr>
            </w:tbl>
            <w:p>
              <w:pPr>
                <w:rPr>
                  <w:szCs w:val="24"/>
                </w:rPr>
              </w:pPr>
            </w:p>
            <w:p>
              <w:pPr>
                <w:rPr>
                  <w:szCs w:val="24"/>
                </w:rPr>
              </w:pPr>
            </w:p>
            <w:p>
              <w:pPr>
                <w:rPr>
                  <w:szCs w:val="24"/>
                </w:rPr>
              </w:pPr>
            </w:p>
            <w:p>
              <w:pPr>
                <w:rPr>
                  <w:szCs w:val="24"/>
                </w:rPr>
              </w:pPr>
              <w:r>
                <w:rPr>
                  <w:szCs w:val="24"/>
                </w:rPr>
                <w:t xml:space="preserve">Savivaldybės meras                                                                                        </w:t>
              </w: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sdtContent>
        </w:sdt>
        <w:sdt>
          <w:sdtPr>
            <w:alias w:val="skirsnis"/>
            <w:tag w:val="part_71cc145f15a24b44bfcee7fee77ca475"/>
            <w:lock w:val="sdtLocked"/>
            <w:richText/>
          </w:sdtPr>
          <w:sdtContent>
            <w:sdt>
              <w:sdtPr>
                <w:alias w:val="Pavadinimas"/>
                <w:tag w:val="title_71cc145f15a24b44bfcee7fee77ca475"/>
                <w:lock w:val="sdtLocked"/>
                <w:richText/>
              </w:sdtPr>
              <w:sdtContent>
                <w:p>
                  <w:pPr>
                    <w:jc w:val="center"/>
                    <w:rPr>
                      <w:b/>
                      <w:position w:val="6"/>
                      <w:szCs w:val="24"/>
                      <w:lang w:eastAsia="lt-LT"/>
                      <w14:cntxtAlts/>
                    </w:rPr>
                  </w:pPr>
                  <w:r>
                    <w:rPr>
                      <w:b/>
                      <w:position w:val="6"/>
                      <w:szCs w:val="24"/>
                      <w:lang w:eastAsia="lt-LT"/>
                      <w14:cntxtAlts/>
                    </w:rPr>
                    <w:t>RADVILIŠKIO RAJONO SAVIVALDYBĖS TARYBOS SPRENDIMO PROJEKTO</w:t>
                  </w:r>
                </w:p>
                <w:p>
                  <w:pPr>
                    <w:jc w:val="center"/>
                    <w:rPr>
                      <w:b/>
                      <w:szCs w:val="24"/>
                    </w:rPr>
                  </w:pPr>
                  <w:r>
                    <w:rPr>
                      <w:b/>
                      <w:position w:val="6"/>
                      <w:szCs w:val="24"/>
                      <w:lang w:eastAsia="lt-LT"/>
                      <w14:cntxtAlts/>
                    </w:rPr>
                    <w:t xml:space="preserve">„DĖL RADVILIŠKIO RAJONO SAVIVALDYBĖS TARYBOS 2026 M. VASARIO 12 D. SPRENDIMO NR. T-891 „DĖL RADVILIŠKIO RAJONO SAVIVALDYBĖS APLINKOS APSAUGOS RĖMIMO SPECIALIOSIOS PROGRAMOS 2026 METŲ PRIEMONIŲ VYKDYMO SĄMATOS PATVIRTINIMO“ PAKEITIMO“ </w:t>
                  </w:r>
                </w:p>
                <w:p>
                  <w:pPr>
                    <w:keepNext/>
                    <w:jc w:val="center"/>
                    <w:outlineLvl w:val="1"/>
                    <w:rPr>
                      <w:b/>
                      <w:bCs/>
                      <w:caps/>
                      <w:szCs w:val="24"/>
                    </w:rPr>
                  </w:pPr>
                  <w:r>
                    <w:rPr>
                      <w:b/>
                      <w:bCs/>
                      <w:caps/>
                      <w:szCs w:val="24"/>
                    </w:rPr>
                    <w:t>AIŠKINAMASIS RAŠTAS</w:t>
                  </w:r>
                </w:p>
              </w:sdtContent>
            </w:sdt>
            <w:tbl>
              <w:tblPr>
                <w:tblW w:w="9793" w:type="dxa"/>
                <w:tblInd w:w="-12" w:type="dxa"/>
                <w:tblLayout w:type="fixed"/>
                <w:tblLook w:val="0000" w:firstRow="0" w:lastRow="0" w:firstColumn="0" w:lastColumn="0" w:noHBand="0" w:noVBand="0"/>
              </w:tblPr>
              <w:tblGrid>
                <w:gridCol w:w="12"/>
                <w:gridCol w:w="9781"/>
              </w:tblGrid>
              <w:tr>
                <w:tc>
                  <w:tcPr>
                    <w:tcW w:w="9793" w:type="dxa"/>
                    <w:gridSpan w:val="2"/>
                  </w:tcPr>
                  <w:p>
                    <w:pPr>
                      <w:widowControl w:val="0"/>
                      <w:tabs>
                        <w:tab w:val="left" w:pos="567"/>
                        <w:tab w:val="left" w:pos="1134"/>
                      </w:tabs>
                      <w:suppressAutoHyphens/>
                      <w:spacing w:line="360" w:lineRule="auto"/>
                      <w:ind w:firstLine="709"/>
                      <w:jc w:val="center"/>
                      <w:rPr>
                        <w:szCs w:val="24"/>
                      </w:rPr>
                    </w:pPr>
                  </w:p>
                  <w:p>
                    <w:pPr>
                      <w:widowControl w:val="0"/>
                      <w:tabs>
                        <w:tab w:val="left" w:pos="567"/>
                        <w:tab w:val="left" w:pos="1134"/>
                      </w:tabs>
                      <w:suppressAutoHyphens/>
                      <w:spacing w:line="360" w:lineRule="auto"/>
                      <w:jc w:val="center"/>
                      <w:rPr>
                        <w:szCs w:val="24"/>
                      </w:rPr>
                    </w:pPr>
                    <w:r>
                      <w:rPr>
                        <w:szCs w:val="24"/>
                      </w:rPr>
                      <w:t>2026 m. gegužės 11 d.</w:t>
                    </w:r>
                  </w:p>
                  <w:p>
                    <w:pPr>
                      <w:widowControl w:val="0"/>
                      <w:tabs>
                        <w:tab w:val="left" w:pos="567"/>
                        <w:tab w:val="left" w:pos="1134"/>
                      </w:tabs>
                      <w:suppressAutoHyphens/>
                      <w:spacing w:line="360" w:lineRule="auto"/>
                      <w:jc w:val="center"/>
                      <w:rPr>
                        <w:szCs w:val="24"/>
                      </w:rPr>
                    </w:pPr>
                    <w:r>
                      <w:rPr>
                        <w:szCs w:val="24"/>
                      </w:rPr>
                      <w:t>Radviliškis</w:t>
                    </w:r>
                  </w:p>
                  <w:p>
                    <w:pPr>
                      <w:widowControl w:val="0"/>
                      <w:tabs>
                        <w:tab w:val="left" w:pos="567"/>
                        <w:tab w:val="left" w:pos="1134"/>
                      </w:tabs>
                      <w:suppressAutoHyphens/>
                      <w:spacing w:line="360" w:lineRule="auto"/>
                      <w:ind w:firstLine="709"/>
                      <w:jc w:val="center"/>
                      <w:rPr>
                        <w:szCs w:val="24"/>
                      </w:rPr>
                    </w:pPr>
                  </w:p>
                  <w:p>
                    <w:pPr>
                      <w:widowControl w:val="0"/>
                      <w:tabs>
                        <w:tab w:val="left" w:pos="1034"/>
                      </w:tabs>
                      <w:suppressAutoHyphens/>
                      <w:spacing w:line="360" w:lineRule="auto"/>
                      <w:ind w:firstLine="709"/>
                      <w:jc w:val="both"/>
                      <w:rPr>
                        <w:rFonts w:ascii="Thorndale" w:hAnsi="Thorndale" w:cs="Tahoma"/>
                        <w:b/>
                        <w:szCs w:val="24"/>
                        <w:lang w:val="pt-BR" w:bidi="he-IL"/>
                      </w:rPr>
                    </w:pPr>
                    <w:r>
                      <w:rPr>
                        <w:b/>
                        <w:szCs w:val="24"/>
                        <w:lang w:val="pt-BR" w:bidi="he-IL"/>
                      </w:rPr>
                      <w:t>1.</w:t>
                      <w:tab/>
                    </w:r>
                    <w:r>
                      <w:rPr>
                        <w:rFonts w:ascii="Thorndale" w:hAnsi="Thorndale" w:cs="Tahoma"/>
                        <w:b/>
                        <w:szCs w:val="24"/>
                        <w:lang w:val="pt-BR" w:bidi="he-IL"/>
                      </w:rPr>
                      <w:t>Projekto rengimą paskatinusios priežastys, parengto projekto tikslai ir uždaviniai</w:t>
                    </w:r>
                  </w:p>
                  <w:p>
                    <w:pPr>
                      <w:tabs>
                        <w:tab w:val="left" w:pos="1134"/>
                      </w:tabs>
                      <w:spacing w:line="360" w:lineRule="auto"/>
                      <w:ind w:firstLine="709"/>
                      <w:jc w:val="both"/>
                      <w:rPr>
                        <w:rFonts w:ascii="Thorndale" w:hAnsi="Thorndale" w:cs="Tahoma"/>
                        <w:bCs/>
                        <w:szCs w:val="24"/>
                      </w:rPr>
                    </w:pPr>
                    <w:r>
                      <w:rPr>
                        <w:rFonts w:ascii="Thorndale" w:hAnsi="Thorndale" w:cs="Tahoma"/>
                        <w:szCs w:val="24"/>
                      </w:rPr>
                      <w:t>Pakeisti Radviliškio rajono savivaldybės 2026 m. aplinkos apsaugos rėmimo specialiosios programos priemonių vykdymo sąmatą patvirtintą R</w:t>
                    </w:r>
                    <w:r>
                      <w:rPr>
                        <w:rFonts w:ascii="Thorndale" w:hAnsi="Thorndale" w:cs="Tahoma"/>
                        <w:bCs/>
                        <w:szCs w:val="24"/>
                      </w:rPr>
                      <w:t xml:space="preserve">adviliškio rajono savivaldybės tarybos 2026 m. vasario 12 d. sprendimu Nr. T-891 „Dėl Radviliškio rajono savivaldybės aplinkos apsaugos rėmimo specialiosios programos 2026 metų priemonių vykdymo sąmatos patvirtinimo“. </w:t>
                    </w:r>
                  </w:p>
                  <w:p>
                    <w:pPr>
                      <w:widowControl w:val="0"/>
                      <w:tabs>
                        <w:tab w:val="left" w:pos="993"/>
                        <w:tab w:val="left" w:pos="1134"/>
                      </w:tabs>
                      <w:suppressAutoHyphens/>
                      <w:spacing w:line="360" w:lineRule="auto"/>
                      <w:ind w:firstLine="709"/>
                      <w:jc w:val="both"/>
                      <w:rPr>
                        <w:rFonts w:ascii="Thorndale" w:hAnsi="Thorndale" w:cs="Tahoma"/>
                        <w:b/>
                        <w:bCs/>
                        <w:szCs w:val="24"/>
                        <w:lang w:val="pt-BR"/>
                      </w:rPr>
                    </w:pPr>
                    <w:r>
                      <w:rPr>
                        <w:b/>
                        <w:szCs w:val="24"/>
                        <w:lang w:val="pt-BR"/>
                      </w:rPr>
                      <w:t>2.</w:t>
                      <w:tab/>
                    </w:r>
                    <w:r>
                      <w:rPr>
                        <w:rFonts w:ascii="Thorndale" w:hAnsi="Thorndale" w:cs="Tahoma"/>
                        <w:b/>
                        <w:bCs/>
                        <w:szCs w:val="24"/>
                        <w:lang w:val="pt-BR"/>
                      </w:rPr>
                      <w:t>Projekto iniciatoriai (institucija, asmenys ar piliečių atstovai) ir rengėjai.</w:t>
                    </w:r>
                  </w:p>
                  <w:p>
                    <w:pPr>
                      <w:widowControl w:val="0"/>
                      <w:tabs>
                        <w:tab w:val="left" w:pos="1134"/>
                      </w:tabs>
                      <w:suppressAutoHyphens/>
                      <w:spacing w:line="360" w:lineRule="auto"/>
                      <w:ind w:firstLine="709"/>
                      <w:jc w:val="both"/>
                      <w:rPr>
                        <w:rFonts w:ascii="Thorndale" w:hAnsi="Thorndale" w:cs="Tahoma"/>
                        <w:szCs w:val="24"/>
                      </w:rPr>
                    </w:pPr>
                    <w:r>
                      <w:rPr>
                        <w:szCs w:val="24"/>
                      </w:rPr>
                      <w:t>Žemės ūkio skyriaus vyriausioji specialistė Valentina Grinienė.</w:t>
                    </w:r>
                  </w:p>
                  <w:p>
                    <w:pPr>
                      <w:widowControl w:val="0"/>
                      <w:tabs>
                        <w:tab w:val="left" w:pos="993"/>
                        <w:tab w:val="left" w:pos="1134"/>
                      </w:tabs>
                      <w:suppressAutoHyphens/>
                      <w:spacing w:line="360" w:lineRule="auto"/>
                      <w:ind w:firstLine="709"/>
                      <w:jc w:val="both"/>
                      <w:rPr>
                        <w:rFonts w:ascii="Thorndale" w:hAnsi="Thorndale" w:cs="Tahoma"/>
                        <w:b/>
                        <w:szCs w:val="24"/>
                      </w:rPr>
                    </w:pPr>
                    <w:r>
                      <w:rPr>
                        <w:b/>
                        <w:szCs w:val="24"/>
                      </w:rPr>
                      <w:t>3.</w:t>
                      <w:tab/>
                    </w:r>
                    <w:r>
                      <w:rPr>
                        <w:rFonts w:ascii="Thorndale" w:hAnsi="Thorndale" w:cs="Tahoma"/>
                        <w:b/>
                        <w:szCs w:val="24"/>
                      </w:rPr>
                      <w:t>Kaip šiuo metu yra reguliuojami sprendimo projekte aptarti teisiniai santykiai.</w:t>
                    </w:r>
                  </w:p>
                  <w:p>
                    <w:pPr>
                      <w:widowControl w:val="0"/>
                      <w:tabs>
                        <w:tab w:val="left" w:pos="0"/>
                        <w:tab w:val="left" w:pos="1134"/>
                      </w:tabs>
                      <w:suppressAutoHyphens/>
                      <w:spacing w:line="360" w:lineRule="auto"/>
                      <w:ind w:firstLine="709"/>
                      <w:jc w:val="both"/>
                      <w:rPr>
                        <w:szCs w:val="24"/>
                      </w:rPr>
                    </w:pPr>
                    <w:r>
                      <w:rPr>
                        <w:szCs w:val="24"/>
                      </w:rPr>
                      <w:t>-</w:t>
                    </w:r>
                  </w:p>
                  <w:p>
                    <w:pPr>
                      <w:widowControl w:val="0"/>
                      <w:tabs>
                        <w:tab w:val="left" w:pos="993"/>
                        <w:tab w:val="left" w:pos="1134"/>
                      </w:tabs>
                      <w:suppressAutoHyphens/>
                      <w:spacing w:line="360" w:lineRule="auto"/>
                      <w:ind w:firstLine="709"/>
                      <w:jc w:val="both"/>
                      <w:rPr>
                        <w:rFonts w:ascii="Thorndale" w:hAnsi="Thorndale" w:cs="Tahoma"/>
                        <w:szCs w:val="24"/>
                        <w:shd w:val="clear" w:color="auto" w:fill="FFFFFF"/>
                      </w:rPr>
                    </w:pPr>
                    <w:r>
                      <w:rPr>
                        <w:b/>
                        <w:szCs w:val="24"/>
                      </w:rPr>
                      <w:t>4.</w:t>
                      <w:tab/>
                    </w:r>
                    <w:r>
                      <w:rPr>
                        <w:rFonts w:ascii="Thorndale" w:hAnsi="Thorndale" w:cs="Tahoma"/>
                        <w:b/>
                        <w:bCs/>
                        <w:szCs w:val="24"/>
                      </w:rPr>
                      <w:t>Kokios siūlomos naujos teisinio reguliavimo nuostatos, kokių teigiamų rezultatų laukiama.</w:t>
                    </w:r>
                  </w:p>
                  <w:p>
                    <w:pPr>
                      <w:widowControl w:val="0"/>
                      <w:tabs>
                        <w:tab w:val="left" w:pos="993"/>
                        <w:tab w:val="left" w:pos="1134"/>
                      </w:tabs>
                      <w:suppressAutoHyphens/>
                      <w:spacing w:line="360" w:lineRule="auto"/>
                      <w:ind w:firstLine="761"/>
                      <w:jc w:val="both"/>
                      <w:rPr>
                        <w:rFonts w:ascii="Thorndale" w:hAnsi="Thorndale" w:cs="Tahoma"/>
                        <w:b/>
                        <w:bCs/>
                        <w:szCs w:val="24"/>
                      </w:rPr>
                    </w:pPr>
                    <w:r>
                      <w:rPr>
                        <w:rFonts w:ascii="Thorndale" w:hAnsi="Thorndale" w:cs="Tahoma"/>
                        <w:szCs w:val="24"/>
                      </w:rPr>
                      <w:t>Bus pakeista Radviliškio rajono savivaldybės 2026 m. aplinkos apsaugos rėmimo specialiosios programos priemonių vykdymo sąmata, papildant ją papildomai gautomis Programos lėšomis.</w:t>
                    </w:r>
                  </w:p>
                  <w:p>
                    <w:pPr>
                      <w:widowControl w:val="0"/>
                      <w:tabs>
                        <w:tab w:val="left" w:pos="993"/>
                        <w:tab w:val="left" w:pos="1134"/>
                      </w:tabs>
                      <w:suppressAutoHyphens/>
                      <w:spacing w:line="360" w:lineRule="auto"/>
                      <w:ind w:firstLine="709"/>
                      <w:jc w:val="both"/>
                      <w:rPr>
                        <w:rFonts w:ascii="Thorndale" w:hAnsi="Thorndale" w:cs="Tahoma"/>
                        <w:b/>
                        <w:bCs/>
                        <w:szCs w:val="24"/>
                      </w:rPr>
                    </w:pPr>
                    <w:r>
                      <w:rPr>
                        <w:b/>
                        <w:szCs w:val="24"/>
                      </w:rPr>
                      <w:t>5.</w:t>
                      <w:tab/>
                    </w:r>
                    <w:r>
                      <w:rPr>
                        <w:rFonts w:ascii="Thorndale" w:hAnsi="Thorndale" w:cs="Tahoma"/>
                        <w:b/>
                        <w:bCs/>
                        <w:szCs w:val="24"/>
                      </w:rPr>
                      <w:t>Galimos neigiamos priimto sprendimo projekto pasekmės ir kokių priemonių reikėtų imtis, kad tokių pasekmių būtų išvengta.</w:t>
                    </w:r>
                  </w:p>
                  <w:p>
                    <w:pPr>
                      <w:widowControl w:val="0"/>
                      <w:tabs>
                        <w:tab w:val="left" w:pos="1134"/>
                      </w:tabs>
                      <w:suppressAutoHyphens/>
                      <w:spacing w:line="360" w:lineRule="auto"/>
                      <w:ind w:firstLine="709"/>
                      <w:jc w:val="both"/>
                      <w:rPr>
                        <w:rFonts w:ascii="Thorndale" w:hAnsi="Thorndale" w:cs="Tahoma"/>
                        <w:szCs w:val="24"/>
                      </w:rPr>
                    </w:pPr>
                    <w:r>
                      <w:rPr>
                        <w:rFonts w:ascii="Thorndale" w:hAnsi="Thorndale" w:cs="Tahoma"/>
                        <w:szCs w:val="24"/>
                      </w:rPr>
                      <w:t xml:space="preserve">Reikšmingų neigiamų pasekmių nenumatoma. </w:t>
                    </w:r>
                  </w:p>
                  <w:p>
                    <w:pPr>
                      <w:widowControl w:val="0"/>
                      <w:tabs>
                        <w:tab w:val="left" w:pos="993"/>
                        <w:tab w:val="left" w:pos="1134"/>
                      </w:tabs>
                      <w:suppressAutoHyphens/>
                      <w:spacing w:line="360" w:lineRule="auto"/>
                      <w:ind w:firstLine="709"/>
                      <w:jc w:val="both"/>
                      <w:rPr>
                        <w:rFonts w:ascii="Thorndale" w:hAnsi="Thorndale" w:cs="Tahoma"/>
                        <w:b/>
                        <w:bCs/>
                        <w:szCs w:val="24"/>
                      </w:rPr>
                    </w:pPr>
                    <w:r>
                      <w:rPr>
                        <w:b/>
                        <w:szCs w:val="24"/>
                      </w:rPr>
                      <w:t>6.</w:t>
                      <w:tab/>
                    </w:r>
                    <w:r>
                      <w:rPr>
                        <w:rFonts w:ascii="Thorndale" w:hAnsi="Thorndale" w:cs="Tahoma"/>
                        <w:b/>
                        <w:bCs/>
                        <w:szCs w:val="24"/>
                      </w:rPr>
                      <w:t>Kokius teisės aktus būtina priimti, kokius galiojančius teisės aktus būtina pakeisti ar pripažinti netekusiais galios priėmus sprendimo projektą.</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Cs/>
                        <w:szCs w:val="24"/>
                        <w:lang w:val="pt-BR"/>
                      </w:rPr>
                    </w:pPr>
                    <w:r>
                      <w:rPr>
                        <w:szCs w:val="24"/>
                      </w:rPr>
                      <w:t xml:space="preserve">Reikės patikslinti </w:t>
                    </w:r>
                    <w:r>
                      <w:rPr>
                        <w:szCs w:val="24"/>
                        <w:lang w:val="pt-BR"/>
                      </w:rPr>
                      <w:t>R</w:t>
                    </w:r>
                    <w:r>
                      <w:rPr>
                        <w:bCs/>
                        <w:szCs w:val="24"/>
                        <w:lang w:val="pt-BR"/>
                      </w:rPr>
                      <w:t xml:space="preserve">adviliškio </w:t>
                    </w:r>
                    <w:r>
                      <w:rPr>
                        <w:bCs/>
                        <w:szCs w:val="24"/>
                      </w:rPr>
                      <w:t>rajono savivaldybės tarybos 2026 m. vasario 12 d. sprendimą Nr. T-891 „ Dėl Radviliškio rajono savivaldybės aplinkos apsaugos rėmimo specialiosios programos 2026 metų priemonių vykdymo sąmatos patvirtinimo“.</w:t>
                    </w:r>
                    <w:r>
                      <w:rPr>
                        <w:bCs/>
                        <w:szCs w:val="24"/>
                        <w:lang w:val="pt-BR"/>
                      </w:rPr>
                      <w:t xml:space="preserve"> </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ascii="Thorndale" w:hAnsi="Thorndale" w:cs="Tahoma"/>
                        <w:b/>
                        <w:szCs w:val="24"/>
                      </w:rPr>
                    </w:pPr>
                    <w:r>
                      <w:rPr>
                        <w:b/>
                        <w:szCs w:val="24"/>
                      </w:rPr>
                      <w:t>7.</w:t>
                      <w:tab/>
                    </w:r>
                    <w:r>
                      <w:rPr>
                        <w:rFonts w:ascii="Thorndale" w:hAnsi="Thorndale" w:cs="Tahoma"/>
                        <w:b/>
                        <w:szCs w:val="24"/>
                      </w:rPr>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Cs/>
                        <w:szCs w:val="24"/>
                      </w:rPr>
                    </w:pPr>
                    <w:r>
                      <w:rPr>
                        <w:bCs/>
                        <w:szCs w:val="24"/>
                      </w:rPr>
                      <w:t>Nėra.</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ascii="Thorndale" w:hAnsi="Thorndale" w:cs="Tahoma"/>
                        <w:b/>
                        <w:szCs w:val="24"/>
                      </w:rPr>
                    </w:pPr>
                    <w:r>
                      <w:rPr>
                        <w:b/>
                        <w:szCs w:val="24"/>
                      </w:rPr>
                      <w:t>8.</w:t>
                      <w:tab/>
                    </w:r>
                    <w:r>
                      <w:rPr>
                        <w:rFonts w:ascii="Thorndale" w:hAnsi="Thorndale" w:cs="Tahoma"/>
                        <w:b/>
                        <w:szCs w:val="24"/>
                      </w:rPr>
                      <w:t xml:space="preserve">Sprendimo projekto rengimo metu gauti specialistų vertinimai ir išvados. </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ascii="Thorndale" w:hAnsi="Thorndale" w:cs="Tahoma"/>
                        <w:bCs/>
                        <w:szCs w:val="24"/>
                      </w:rPr>
                    </w:pPr>
                    <w:r>
                      <w:rPr>
                        <w:rFonts w:ascii="Thorndale" w:hAnsi="Thorndale" w:cs="Tahoma"/>
                        <w:bCs/>
                        <w:szCs w:val="24"/>
                      </w:rPr>
                      <w:t>Nėra.</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ascii="Thorndale" w:hAnsi="Thorndale" w:cs="Tahoma"/>
                        <w:bCs/>
                        <w:szCs w:val="24"/>
                      </w:rPr>
                    </w:pPr>
                    <w:r>
                      <w:rPr>
                        <w:b/>
                        <w:szCs w:val="24"/>
                      </w:rPr>
                      <w:t>9.</w:t>
                      <w:tab/>
                    </w:r>
                    <w:r>
                      <w:rPr>
                        <w:rFonts w:ascii="Thorndale" w:hAnsi="Thorndale" w:cs="Tahoma"/>
                        <w:b/>
                        <w:szCs w:val="24"/>
                      </w:rPr>
                      <w:t>Numatomo teisinio reguliavimo poveikio vertinimo rezultatai.</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ascii="Thorndale" w:hAnsi="Thorndale" w:cs="Tahoma"/>
                        <w:bCs/>
                        <w:szCs w:val="24"/>
                      </w:rPr>
                    </w:pPr>
                    <w:r>
                      <w:rPr>
                        <w:rFonts w:ascii="Thorndale" w:hAnsi="Thorndale" w:cs="Tahoma"/>
                        <w:bCs/>
                        <w:szCs w:val="24"/>
                      </w:rPr>
                      <w:t>-</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ascii="Thorndale" w:hAnsi="Thorndale" w:cs="Tahoma"/>
                        <w:bCs/>
                        <w:szCs w:val="24"/>
                      </w:rPr>
                    </w:pPr>
                    <w:r>
                      <w:rPr>
                        <w:b/>
                        <w:szCs w:val="24"/>
                      </w:rPr>
                      <w:t>10.</w:t>
                      <w:tab/>
                    </w:r>
                    <w:r>
                      <w:rPr>
                        <w:rFonts w:ascii="Thorndale" w:eastAsia="Calibri" w:hAnsi="Thorndale" w:cs="Tahoma"/>
                        <w:b/>
                        <w:szCs w:val="24"/>
                        <w:lang w:eastAsia="ar-SA"/>
                      </w:rPr>
                      <w:t>Sprendimo projekto antikorupcinis vertinimas.</w:t>
                    </w:r>
                  </w:p>
                  <w:p>
                    <w:pPr>
                      <w:widowControl w:val="0"/>
                      <w:tabs>
                        <w:tab w:val="left" w:pos="1134"/>
                      </w:tabs>
                      <w:suppressAutoHyphens/>
                      <w:spacing w:line="360" w:lineRule="auto"/>
                      <w:ind w:firstLine="709"/>
                      <w:rPr>
                        <w:rFonts w:ascii="Thorndale" w:eastAsia="Calibri" w:hAnsi="Thorndale" w:cs="Tahoma"/>
                        <w:szCs w:val="24"/>
                      </w:rPr>
                    </w:pPr>
                    <w:r>
                      <w:rPr>
                        <w:rFonts w:ascii="Thorndale" w:eastAsia="Calibri" w:hAnsi="Thorndale" w:cs="Tahoma"/>
                        <w:szCs w:val="24"/>
                      </w:rPr>
                      <w:t>Teisės akto projektas antikorupciniam vertinimui neteikiamas.</w:t>
                    </w:r>
                  </w:p>
                  <w:p>
                    <w:pPr>
                      <w:widowControl w:val="0"/>
                      <w:tabs>
                        <w:tab w:val="left" w:pos="1134"/>
                      </w:tabs>
                      <w:suppressAutoHyphens/>
                      <w:spacing w:line="360" w:lineRule="auto"/>
                      <w:ind w:firstLine="709"/>
                      <w:rPr>
                        <w:rFonts w:ascii="Thorndale" w:eastAsia="Calibri" w:hAnsi="Thorndale" w:cs="Tahoma"/>
                        <w:b/>
                        <w:bCs/>
                        <w:szCs w:val="24"/>
                      </w:rPr>
                    </w:pPr>
                    <w:r>
                      <w:rPr>
                        <w:rFonts w:eastAsia="Calibri"/>
                        <w:b/>
                        <w:szCs w:val="24"/>
                      </w:rPr>
                      <w:t>11.</w:t>
                      <w:tab/>
                    </w:r>
                    <w:r>
                      <w:rPr>
                        <w:rFonts w:ascii="Thorndale" w:eastAsia="Calibri" w:hAnsi="Thorndale" w:cs="Tahoma"/>
                        <w:b/>
                        <w:bCs/>
                        <w:szCs w:val="24"/>
                      </w:rPr>
                      <w:t xml:space="preserve">Kiti, iniciatoriaus nuomone, reikalingi pagrindimai ir paaiškinimai. </w:t>
                    </w:r>
                  </w:p>
                  <w:p>
                    <w:pPr>
                      <w:tabs>
                        <w:tab w:val="left" w:pos="1134"/>
                      </w:tabs>
                      <w:spacing w:line="360" w:lineRule="auto"/>
                      <w:ind w:firstLine="709"/>
                      <w:rPr>
                        <w:rFonts w:eastAsia="Calibri"/>
                        <w:szCs w:val="24"/>
                      </w:rPr>
                    </w:pPr>
                    <w:r>
                      <w:rPr>
                        <w:rFonts w:eastAsia="Calibri"/>
                        <w:szCs w:val="24"/>
                      </w:rPr>
                      <w:t xml:space="preserve">Nėra. </w:t>
                    </w:r>
                  </w:p>
                  <w:p>
                    <w:pPr>
                      <w:widowControl w:val="0"/>
                      <w:tabs>
                        <w:tab w:val="left" w:pos="1134"/>
                      </w:tabs>
                      <w:suppressAutoHyphens/>
                      <w:spacing w:line="360" w:lineRule="auto"/>
                      <w:ind w:firstLine="709"/>
                      <w:rPr>
                        <w:rFonts w:ascii="Thorndale" w:eastAsia="Calibri" w:hAnsi="Thorndale" w:cs="Tahoma"/>
                        <w:b/>
                        <w:bCs/>
                        <w:szCs w:val="24"/>
                      </w:rPr>
                    </w:pPr>
                    <w:r>
                      <w:rPr>
                        <w:rFonts w:eastAsia="Calibri"/>
                        <w:b/>
                        <w:szCs w:val="24"/>
                      </w:rPr>
                      <w:t>12.</w:t>
                      <w:tab/>
                    </w:r>
                    <w:r>
                      <w:rPr>
                        <w:rFonts w:ascii="Thorndale" w:eastAsia="Calibri" w:hAnsi="Thorndale" w:cs="Tahoma"/>
                        <w:b/>
                        <w:bCs/>
                        <w:szCs w:val="24"/>
                      </w:rPr>
                      <w:t xml:space="preserve">Pridedami dokumentai. </w:t>
                    </w:r>
                  </w:p>
                  <w:p>
                    <w:pPr>
                      <w:widowControl w:val="0"/>
                      <w:tabs>
                        <w:tab w:val="left" w:pos="1134"/>
                      </w:tabs>
                      <w:suppressAutoHyphens/>
                      <w:spacing w:line="360" w:lineRule="auto"/>
                      <w:ind w:firstLine="709"/>
                      <w:jc w:val="both"/>
                      <w:rPr>
                        <w:rFonts w:ascii="Thorndale" w:hAnsi="Thorndale" w:cs="Tahoma"/>
                        <w:b/>
                        <w:szCs w:val="24"/>
                      </w:rPr>
                    </w:pPr>
                    <w:r>
                      <w:rPr>
                        <w:szCs w:val="24"/>
                      </w:rPr>
                      <w:t>-</w:t>
                    </w:r>
                  </w:p>
                </w:tc>
              </w:tr>
              <w:tr>
                <w:trPr>
                  <w:gridBefore w:val="1"/>
                  <w:wBefore w:w="12" w:type="dxa"/>
                  <w:cantSplit/>
                </w:trPr>
                <w:tc>
                  <w:tcPr>
                    <w:tcW w:w="9781" w:type="dxa"/>
                  </w:tcPr>
                  <w:p>
                    <w:pPr>
                      <w:widowControl w:val="0"/>
                      <w:tabs>
                        <w:tab w:val="left" w:pos="0"/>
                        <w:tab w:val="left" w:pos="1134"/>
                      </w:tabs>
                      <w:suppressAutoHyphens/>
                      <w:ind w:firstLine="709"/>
                      <w:jc w:val="both"/>
                      <w:rPr>
                        <w:szCs w:val="24"/>
                      </w:rPr>
                    </w:pPr>
                  </w:p>
                </w:tc>
              </w:tr>
            </w:tbl>
            <w:p>
              <w:pPr>
                <w:widowControl w:val="0"/>
                <w:tabs>
                  <w:tab w:val="left" w:pos="1134"/>
                </w:tabs>
                <w:suppressAutoHyphens/>
                <w:ind w:firstLine="709"/>
                <w:rPr>
                  <w:szCs w:val="24"/>
                </w:rPr>
              </w:pPr>
            </w:p>
            <w:p>
              <w:pPr>
                <w:widowControl w:val="0"/>
                <w:tabs>
                  <w:tab w:val="left" w:pos="1134"/>
                </w:tabs>
                <w:suppressAutoHyphens/>
                <w:ind w:firstLine="709"/>
                <w:rPr>
                  <w:szCs w:val="24"/>
                </w:rPr>
              </w:pPr>
            </w:p>
            <w:p>
              <w:pPr>
                <w:widowControl w:val="0"/>
                <w:tabs>
                  <w:tab w:val="left" w:pos="1134"/>
                </w:tabs>
                <w:suppressAutoHyphens/>
                <w:rPr>
                  <w:szCs w:val="24"/>
                </w:rPr>
              </w:pPr>
              <w:r>
                <w:rPr>
                  <w:szCs w:val="24"/>
                </w:rPr>
                <w:t xml:space="preserve">Žemės ūkio skyriaus vyriausioji specialistė         </w:t>
                <w:tab/>
                <w:t xml:space="preserve">                                           Valentina Grinienė</w:t>
              </w:r>
            </w:p>
            <w:p>
              <w:pPr>
                <w:widowControl w:val="0"/>
                <w:tabs>
                  <w:tab w:val="left" w:pos="1134"/>
                </w:tabs>
                <w:suppressAutoHyphens/>
                <w:ind w:firstLine="709"/>
                <w:rPr>
                  <w:szCs w:val="24"/>
                </w:rPr>
              </w:pPr>
            </w:p>
            <w:p>
              <w:pPr>
                <w:tabs>
                  <w:tab w:val="left" w:pos="1134"/>
                </w:tabs>
                <w:ind w:firstLine="709"/>
                <w:jc w:val="both"/>
                <w:rPr>
                  <w:szCs w:val="24"/>
                  <w:lang w:eastAsia="lt-LT"/>
                </w:rPr>
              </w:pPr>
            </w:p>
            <w:p>
              <w:pPr>
                <w:jc w:val="both"/>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rPr>
                  <w:szCs w:val="24"/>
                  <w:lang w:eastAsia="lt-LT"/>
                </w:rPr>
              </w:pPr>
            </w:p>
          </w:sdtContent>
        </w:sdt>
        <w:sdt>
          <w:sdtPr>
            <w:alias w:val="skirsnis"/>
            <w:tag w:val="part_13e7e2fcbe9e4e0eb0f31c9001e3384d"/>
            <w:lock w:val="sdtLocked"/>
            <w:richText/>
          </w:sdtPr>
          <w:sdtContent>
            <w:p>
              <w:pPr>
                <w:jc w:val="center"/>
                <w:rPr>
                  <w:b/>
                  <w:bCs/>
                  <w:szCs w:val="24"/>
                </w:rPr>
              </w:pPr>
              <w:sdt>
                <w:sdtPr>
                  <w:alias w:val="Pavadinimas"/>
                  <w:tag w:val="title_13e7e2fcbe9e4e0eb0f31c9001e3384d"/>
                  <w:lock w:val="sdtLocked"/>
                  <w:richText/>
                </w:sdtPr>
                <w:sdtContent>
                  <w:r>
                    <w:rPr>
                      <w:b/>
                      <w:bCs/>
                      <w:szCs w:val="24"/>
                    </w:rPr>
                    <w:t>LYGINAMASIS SPRENDIMO PROJEKTO VARIANTAS</w:t>
                  </w:r>
                </w:sdtContent>
              </w:sdt>
            </w:p>
            <w:p>
              <w:pPr>
                <w:jc w:val="center"/>
                <w:rPr>
                  <w:rFonts w:ascii="Thorndale" w:hAnsi="Thorndale" w:cs="Tahoma"/>
                  <w:sz w:val="22"/>
                  <w:szCs w:val="22"/>
                </w:rPr>
              </w:pPr>
            </w:p>
            <w:p>
              <w:pPr>
                <w:jc w:val="center"/>
                <w:rPr>
                  <w:rFonts w:ascii="Thorndale" w:hAnsi="Thorndale" w:cs="Tahoma"/>
                  <w:sz w:val="22"/>
                  <w:szCs w:val="22"/>
                </w:rPr>
              </w:pPr>
              <w:r>
                <w:rPr>
                  <w:rFonts w:ascii="Thorndale" w:hAnsi="Thorndale" w:cs="Tahoma"/>
                  <w:sz w:val="22"/>
                  <w:szCs w:val="22"/>
                </w:rPr>
                <w:object w:dxaOrig="705" w:dyaOrig="840" w14:anchorId="79C161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7" o:title=""/>
                  </v:shape>
                  <o:OLEObject Type="Embed" ProgID="CorelDraw.Graphic.8" ShapeID="_x0000_i1025" DrawAspect="Content" ObjectID="_1840771612" r:id="rId8"/>
                </w:object>
              </w:r>
            </w:p>
            <w:p>
              <w:pPr>
                <w:jc w:val="center"/>
                <w:rPr>
                  <w:b/>
                  <w:bCs/>
                  <w:szCs w:val="24"/>
                </w:rPr>
              </w:pPr>
            </w:p>
          </w:sdtContent>
        </w:sdt>
        <w:sdt>
          <w:sdtPr>
            <w:alias w:val="skirsnis"/>
            <w:tag w:val="part_25e6e5f25c7a4e5eab9ee306ab06fafc"/>
            <w:lock w:val="sdtLocked"/>
            <w:richText/>
          </w:sdtPr>
          <w:sdtContent>
            <w:p>
              <w:pPr>
                <w:jc w:val="center"/>
                <w:rPr>
                  <w:b/>
                  <w:bCs/>
                  <w:szCs w:val="24"/>
                </w:rPr>
              </w:pPr>
              <w:sdt>
                <w:sdtPr>
                  <w:alias w:val="Pavadinimas"/>
                  <w:tag w:val="title_25e6e5f25c7a4e5eab9ee306ab06fafc"/>
                  <w:lock w:val="sdtLocked"/>
                  <w:richText/>
                </w:sdtPr>
                <w:sdtContent>
                  <w:r>
                    <w:rPr>
                      <w:b/>
                      <w:bCs/>
                      <w:szCs w:val="24"/>
                    </w:rPr>
                    <w:t>RADVILIŠKIO RAJONO SAVIVALDYBĖS TARYBA</w:t>
                  </w:r>
                </w:sdtContent>
              </w:sdt>
            </w:p>
            <w:p>
              <w:pPr>
                <w:tabs>
                  <w:tab w:val="left" w:pos="2010"/>
                </w:tabs>
                <w:ind w:firstLine="2010"/>
                <w:rPr>
                  <w:b/>
                  <w:bCs/>
                  <w:sz w:val="16"/>
                  <w:szCs w:val="16"/>
                </w:rPr>
              </w:pPr>
            </w:p>
          </w:sdtContent>
        </w:sdt>
        <w:sdt>
          <w:sdtPr>
            <w:alias w:val="skirsnis"/>
            <w:tag w:val="part_1f212c9c45994da3920dfb3c33d8434d"/>
            <w:lock w:val="sdtLocked"/>
            <w:richText/>
          </w:sdtPr>
          <w:sdtContent>
            <w:sdt>
              <w:sdtPr>
                <w:alias w:val="Pavadinimas"/>
                <w:tag w:val="title_1f212c9c45994da3920dfb3c33d8434d"/>
                <w:lock w:val="sdtLocked"/>
                <w:richText/>
              </w:sdtPr>
              <w:sdtContent>
                <w:p>
                  <w:pPr>
                    <w:jc w:val="center"/>
                    <w:rPr>
                      <w:b/>
                      <w:bCs/>
                      <w:szCs w:val="24"/>
                    </w:rPr>
                  </w:pPr>
                  <w:r>
                    <w:rPr>
                      <w:b/>
                      <w:bCs/>
                      <w:szCs w:val="24"/>
                    </w:rPr>
                    <w:t>SPRENDIMAS</w:t>
                  </w:r>
                </w:p>
                <w:p>
                  <w:pPr>
                    <w:jc w:val="center"/>
                    <w:rPr>
                      <w:b/>
                      <w:szCs w:val="24"/>
                    </w:rPr>
                  </w:pPr>
                  <w:r>
                    <w:rPr>
                      <w:b/>
                      <w:szCs w:val="24"/>
                    </w:rPr>
                    <w:t xml:space="preserve">DĖL RADVILIŠKIO RAJONO SAVIVALDYBĖS APLINKOS APSAUGOS RĖMIMO SPECIALIOSIOS PROGRAMOS 2026 METŲ PRIEMONIŲ VYKDYMO SĄMATOS PATVIRTINIMO </w:t>
                  </w:r>
                </w:p>
              </w:sdtContent>
            </w:sdt>
            <w:p>
              <w:pPr>
                <w:jc w:val="center"/>
                <w:rPr>
                  <w:b/>
                  <w:szCs w:val="24"/>
                </w:rPr>
              </w:pPr>
            </w:p>
            <w:p>
              <w:pPr>
                <w:jc w:val="center"/>
                <w:rPr>
                  <w:szCs w:val="24"/>
                </w:rPr>
              </w:pPr>
              <w:r>
                <w:rPr>
                  <w:szCs w:val="24"/>
                </w:rPr>
                <w:t>2026 m. vasario 12 d. Nr. T-891</w:t>
              </w:r>
            </w:p>
            <w:p>
              <w:pPr>
                <w:jc w:val="center"/>
                <w:rPr>
                  <w:szCs w:val="24"/>
                </w:rPr>
              </w:pPr>
              <w:r>
                <w:rPr>
                  <w:szCs w:val="24"/>
                </w:rPr>
                <w:t>Radviliškis</w:t>
              </w:r>
            </w:p>
            <w:p>
              <w:pPr>
                <w:tabs>
                  <w:tab w:val="left" w:pos="7680"/>
                </w:tabs>
                <w:jc w:val="both"/>
                <w:rPr>
                  <w:sz w:val="22"/>
                  <w:szCs w:val="24"/>
                </w:rPr>
              </w:pPr>
            </w:p>
            <w:p>
              <w:pPr>
                <w:tabs>
                  <w:tab w:val="left" w:pos="8222"/>
                  <w:tab w:val="left" w:pos="8505"/>
                  <w:tab w:val="left" w:pos="9639"/>
                </w:tabs>
                <w:spacing w:line="276" w:lineRule="auto"/>
                <w:ind w:firstLine="851"/>
                <w:jc w:val="both"/>
                <w:rPr>
                  <w:lang w:bidi="he-IL"/>
                </w:rPr>
              </w:pPr>
              <w:r>
                <w:rPr>
                  <w:lang w:bidi="he-IL"/>
                </w:rPr>
                <w:t>Vadovaudamasi Lietuvos Respublikos vietos savivaldos įstatymo 15 straipsnio 4 dalimi ir Lietuvos Respublikos savivaldybių aplinkos apsaugos rėmimo specialiosios programos įstatymo 2 straipsnio 3 dalimi,</w:t>
              </w:r>
              <w:r>
                <w:rPr>
                  <w:szCs w:val="24"/>
                </w:rPr>
                <w:t xml:space="preserve"> </w:t>
              </w:r>
              <w:r>
                <w:rPr>
                  <w:szCs w:val="24"/>
                  <w:lang w:eastAsia="lt-LT"/>
                </w:rPr>
                <w:t xml:space="preserve">Radviliškio rajono savivaldybės taryba </w:t>
              </w:r>
              <w:r>
                <w:rPr>
                  <w:spacing w:val="50"/>
                  <w:szCs w:val="24"/>
                  <w:lang w:eastAsia="lt-LT"/>
                </w:rPr>
                <w:t>nusprendži</w:t>
              </w:r>
              <w:r>
                <w:rPr>
                  <w:szCs w:val="24"/>
                  <w:lang w:eastAsia="lt-LT"/>
                </w:rPr>
                <w:t>a</w:t>
              </w:r>
              <w:r>
                <w:rPr>
                  <w:lang w:bidi="he-IL"/>
                </w:rPr>
                <w:t xml:space="preserve">: </w:t>
              </w:r>
            </w:p>
            <w:p>
              <w:pPr>
                <w:tabs>
                  <w:tab w:val="left" w:pos="969"/>
                  <w:tab w:val="left" w:pos="1482"/>
                </w:tabs>
                <w:spacing w:line="276" w:lineRule="auto"/>
                <w:ind w:right="5" w:firstLine="851"/>
                <w:jc w:val="both"/>
                <w:rPr>
                  <w:szCs w:val="24"/>
                  <w:lang w:eastAsia="lt-LT"/>
                </w:rPr>
              </w:pPr>
              <w:r>
                <w:rPr>
                  <w:szCs w:val="24"/>
                  <w:lang w:eastAsia="lt-LT"/>
                </w:rPr>
                <w:t>Patvirtinti</w:t>
              </w:r>
              <w:r>
                <w:rPr>
                  <w:spacing w:val="42"/>
                  <w:szCs w:val="24"/>
                  <w:lang w:eastAsia="lt-LT"/>
                </w:rPr>
                <w:t xml:space="preserve"> </w:t>
              </w:r>
              <w:r>
                <w:rPr>
                  <w:szCs w:val="24"/>
                  <w:lang w:eastAsia="lt-LT"/>
                </w:rPr>
                <w:t>Radviliškio rajono savivaldybės aplinkos apsaugos rėmimo specialiosios programos 2026 metų priemonių vykdymo sąmatą (pridedama).</w:t>
              </w:r>
            </w:p>
            <w:p>
              <w:pPr>
                <w:suppressAutoHyphens/>
                <w:spacing w:line="276" w:lineRule="auto"/>
                <w:ind w:firstLine="851"/>
                <w:jc w:val="both"/>
                <w:textAlignment w:val="baseline"/>
                <w:rPr>
                  <w:szCs w:val="24"/>
                </w:rPr>
              </w:pPr>
            </w:p>
            <w:p>
              <w:pPr>
                <w:suppressAutoHyphens/>
                <w:ind w:firstLine="709"/>
                <w:jc w:val="both"/>
                <w:textAlignment w:val="baseline"/>
                <w:rPr>
                  <w:szCs w:val="24"/>
                </w:rPr>
              </w:pPr>
            </w:p>
            <w:p>
              <w:pPr>
                <w:rPr>
                  <w:szCs w:val="24"/>
                </w:rPr>
              </w:pPr>
            </w:p>
          </w:sdtContent>
        </w:sdt>
        <w:sdt>
          <w:sdtPr>
            <w:alias w:val="signatura"/>
            <w:tag w:val="part_7eb311210b54418e99fbdd7a66ffbbeb"/>
            <w:lock w:val="sdtLocked"/>
            <w:richText/>
          </w:sdtPr>
          <w:sdtContent>
            <w:p>
              <w:pPr>
                <w:rPr>
                  <w:szCs w:val="24"/>
                </w:rPr>
              </w:pPr>
              <w:r>
                <w:rPr>
                  <w:szCs w:val="24"/>
                </w:rPr>
                <w:t xml:space="preserve">Savivaldybės meras                                                                                           Kazimieras Račkauskis                                                    </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tabs>
                  <w:tab w:val="left" w:pos="1304"/>
                  <w:tab w:val="left" w:pos="1457"/>
                  <w:tab w:val="left" w:pos="1604"/>
                  <w:tab w:val="left" w:pos="1757"/>
                </w:tabs>
                <w:rPr>
                  <w:szCs w:val="24"/>
                </w:rPr>
              </w:pPr>
            </w:p>
          </w:sdtContent>
        </w:sdt>
      </w:sdtContent>
    </w:sdt>
    <w:sdt>
      <w:sdtPr>
        <w:alias w:val="frm."/>
        <w:tag w:val="part_6f074bbd67f24d3399a02a2eba9340fa"/>
        <w:lock w:val="sdtLocked"/>
        <w:richText/>
      </w:sdtPr>
      <w:sdtContent>
        <w:p>
          <w:pPr>
            <w:tabs>
              <w:tab w:val="left" w:pos="1304"/>
              <w:tab w:val="left" w:pos="1457"/>
              <w:tab w:val="left" w:pos="1604"/>
              <w:tab w:val="left" w:pos="1757"/>
            </w:tabs>
            <w:ind w:firstLine="3600"/>
            <w:rPr>
              <w:szCs w:val="24"/>
            </w:rPr>
          </w:pPr>
          <w:r>
            <w:rPr>
              <w:szCs w:val="24"/>
            </w:rPr>
            <w:t>PATVIRTINTA</w:t>
          </w:r>
        </w:p>
        <w:p>
          <w:pPr>
            <w:tabs>
              <w:tab w:val="left" w:pos="1304"/>
              <w:tab w:val="left" w:pos="1457"/>
              <w:tab w:val="left" w:pos="1604"/>
              <w:tab w:val="left" w:pos="1757"/>
            </w:tabs>
            <w:ind w:firstLine="3600"/>
            <w:rPr>
              <w:szCs w:val="24"/>
            </w:rPr>
          </w:pPr>
          <w:r>
            <w:rPr>
              <w:szCs w:val="24"/>
            </w:rPr>
            <w:t xml:space="preserve">Radviliškio rajono savivaldybės tarybos </w:t>
          </w:r>
        </w:p>
        <w:p>
          <w:pPr>
            <w:tabs>
              <w:tab w:val="left" w:pos="1304"/>
              <w:tab w:val="left" w:pos="1457"/>
              <w:tab w:val="left" w:pos="1604"/>
              <w:tab w:val="left" w:pos="1757"/>
            </w:tabs>
            <w:ind w:firstLine="3600"/>
            <w:rPr>
              <w:szCs w:val="24"/>
            </w:rPr>
          </w:pPr>
          <w:r>
            <w:rPr>
              <w:szCs w:val="24"/>
            </w:rPr>
            <w:t xml:space="preserve">2026 m. vasario 12 d. sprendimu Nr. </w:t>
          </w:r>
          <w:r>
            <w:rPr>
              <w:szCs w:val="24"/>
              <w:lang w:val="en-US"/>
            </w:rPr>
            <w:t xml:space="preserve">T-891  </w:t>
          </w:r>
        </w:p>
        <w:p>
          <w:pPr>
            <w:tabs>
              <w:tab w:val="left" w:pos="1304"/>
              <w:tab w:val="left" w:pos="1457"/>
              <w:tab w:val="left" w:pos="1604"/>
              <w:tab w:val="left" w:pos="1757"/>
              <w:tab w:val="left" w:pos="5529"/>
            </w:tabs>
            <w:rPr>
              <w:szCs w:val="24"/>
            </w:rPr>
          </w:pPr>
        </w:p>
        <w:p>
          <w:pPr>
            <w:tabs>
              <w:tab w:val="left" w:pos="1304"/>
              <w:tab w:val="left" w:pos="1457"/>
              <w:tab w:val="left" w:pos="1604"/>
              <w:tab w:val="left" w:pos="1757"/>
              <w:tab w:val="left" w:pos="5245"/>
            </w:tabs>
            <w:ind w:firstLine="5245"/>
            <w:rPr>
              <w:szCs w:val="24"/>
            </w:rPr>
          </w:pPr>
          <w:r>
            <w:rPr>
              <w:szCs w:val="24"/>
            </w:rPr>
            <w:t>Forma patvirtinta</w:t>
          </w:r>
        </w:p>
        <w:p>
          <w:pPr>
            <w:tabs>
              <w:tab w:val="left" w:pos="1304"/>
              <w:tab w:val="left" w:pos="1457"/>
              <w:tab w:val="left" w:pos="1604"/>
              <w:tab w:val="left" w:pos="1757"/>
              <w:tab w:val="left" w:pos="5245"/>
            </w:tabs>
            <w:ind w:firstLine="5245"/>
            <w:rPr>
              <w:szCs w:val="24"/>
            </w:rPr>
          </w:pPr>
          <w:r>
            <w:rPr>
              <w:szCs w:val="24"/>
            </w:rPr>
            <w:t>Lietuvos Respublikos aplinkos ministro</w:t>
          </w:r>
        </w:p>
        <w:p>
          <w:pPr>
            <w:tabs>
              <w:tab w:val="left" w:pos="1304"/>
              <w:tab w:val="left" w:pos="1457"/>
              <w:tab w:val="left" w:pos="1604"/>
              <w:tab w:val="left" w:pos="1757"/>
              <w:tab w:val="left" w:pos="5245"/>
            </w:tabs>
            <w:ind w:firstLine="5245"/>
            <w:rPr>
              <w:szCs w:val="24"/>
            </w:rPr>
          </w:pPr>
          <w:r>
            <w:rPr>
              <w:szCs w:val="24"/>
            </w:rPr>
            <w:t>2011 m. kovo 4 d. įsakymu Nr. D1-201</w:t>
          </w:r>
        </w:p>
        <w:p>
          <w:pPr>
            <w:tabs>
              <w:tab w:val="left" w:pos="1304"/>
              <w:tab w:val="left" w:pos="1457"/>
              <w:tab w:val="left" w:pos="1604"/>
              <w:tab w:val="left" w:pos="1757"/>
            </w:tabs>
            <w:rPr>
              <w:szCs w:val="24"/>
            </w:rPr>
          </w:pPr>
        </w:p>
        <w:p>
          <w:pPr>
            <w:widowControl w:val="0"/>
            <w:suppressAutoHyphens/>
            <w:jc w:val="center"/>
            <w:rPr>
              <w:b/>
              <w:szCs w:val="24"/>
              <w:u w:val="single"/>
            </w:rPr>
          </w:pPr>
          <w:sdt>
            <w:sdtPr>
              <w:alias w:val="Pavadinimas"/>
              <w:tag w:val="title_6f074bbd67f24d3399a02a2eba9340fa"/>
              <w:lock w:val="sdtLocked"/>
              <w:richText/>
            </w:sdtPr>
            <w:sdtContent>
              <w:r>
                <w:rPr>
                  <w:b/>
                  <w:szCs w:val="24"/>
                  <w:u w:val="single"/>
                </w:rPr>
                <w:t>RADVILIŠKIO RAJONO SAVIVALDYBĖS ADMINISTRACIJA</w:t>
              </w:r>
            </w:sdtContent>
          </w:sdt>
        </w:p>
        <w:p>
          <w:pPr>
            <w:widowControl w:val="0"/>
            <w:suppressAutoHyphens/>
            <w:ind w:firstLine="2976"/>
            <w:jc w:val="center"/>
            <w:rPr>
              <w:szCs w:val="24"/>
            </w:rPr>
          </w:pPr>
          <w:r>
            <w:rPr>
              <w:szCs w:val="24"/>
            </w:rPr>
            <w:t xml:space="preserve">(savivaldybės pavadinimas)    </w:t>
            <w:tab/>
            <w:t xml:space="preserve">  </w:t>
            <w:tab/>
            <w:tab/>
            <w:tab/>
            <w:t xml:space="preserve">     </w:t>
          </w:r>
        </w:p>
        <w:sdt>
          <w:sdtPr>
            <w:alias w:val="skirsnis"/>
            <w:tag w:val="part_a7466a0eb6884d84995712d187ac9361"/>
            <w:lock w:val="sdtLocked"/>
            <w:richText/>
          </w:sdtPr>
          <w:sdtContent>
            <w:p>
              <w:pPr>
                <w:widowControl w:val="0"/>
                <w:suppressAutoHyphens/>
                <w:jc w:val="center"/>
                <w:rPr>
                  <w:b/>
                  <w:szCs w:val="24"/>
                </w:rPr>
              </w:pPr>
              <w:sdt>
                <w:sdtPr>
                  <w:alias w:val="Pavadinimas"/>
                  <w:tag w:val="title_a7466a0eb6884d84995712d187ac9361"/>
                  <w:lock w:val="sdtLocked"/>
                  <w:richText/>
                </w:sdtPr>
                <w:sdtContent>
                  <w:r>
                    <w:rPr>
                      <w:b/>
                      <w:szCs w:val="24"/>
                    </w:rPr>
                    <w:t>RADVILIŠKIO RAJONO SAVIVALDYBĖS APLINKOS APSAUGOS RĖMIMO SPECIALIOSIOS PROGRAMOS 2026 METŲ SĄMATA</w:t>
                  </w:r>
                </w:sdtContent>
              </w:sdt>
            </w:p>
            <w:p>
              <w:pPr>
                <w:jc w:val="both"/>
                <w:rPr>
                  <w:b/>
                  <w:szCs w:val="24"/>
                </w:rPr>
              </w:pPr>
            </w:p>
            <w:sdt>
              <w:sdtPr>
                <w:alias w:val="frm. 80 p."/>
                <w:tag w:val="part_6156bde21b6e47be9b1d962205b4d0de"/>
                <w:lock w:val="sdtLocked"/>
                <w:richText/>
              </w:sdtPr>
              <w:sdtContent>
                <w:p>
                  <w:pPr>
                    <w:ind w:left="672" w:hanging="360"/>
                    <w:jc w:val="both"/>
                    <w:rPr>
                      <w:b/>
                      <w:szCs w:val="24"/>
                    </w:rPr>
                  </w:pPr>
                  <w:sdt>
                    <w:sdtPr>
                      <w:alias w:val="Numeris"/>
                      <w:tag w:val="nr_6156bde21b6e47be9b1d962205b4d0de"/>
                      <w:lock w:val="sdtLocked"/>
                      <w:richText/>
                    </w:sdtPr>
                    <w:sdtContent>
                      <w:r>
                        <w:rPr>
                          <w:szCs w:val="24"/>
                        </w:rPr>
                        <w:t>80</w:t>
                      </w:r>
                    </w:sdtContent>
                  </w:sdt>
                  <w:r>
                    <w:rPr>
                      <w:szCs w:val="24"/>
                    </w:rPr>
                    <w:t>.</w:t>
                    <w:tab/>
                  </w:r>
                  <w:r>
                    <w:rPr>
                      <w:b/>
                      <w:szCs w:val="24"/>
                    </w:rPr>
                    <w:t>Informacija apie Savivaldybių aplinkos apsaugos rėmimo specialiosios programos (toliau – Programa) lėšas</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7405"/>
                    <w:gridCol w:w="1416"/>
                  </w:tblGrid>
                  <w:tr>
                    <w:tc>
                      <w:tcPr>
                        <w:tcW w:w="817" w:type="dxa"/>
                      </w:tcPr>
                      <w:p>
                        <w:pPr>
                          <w:jc w:val="center"/>
                          <w:rPr>
                            <w:b/>
                            <w:szCs w:val="24"/>
                          </w:rPr>
                        </w:pPr>
                        <w:r>
                          <w:rPr>
                            <w:b/>
                            <w:szCs w:val="24"/>
                          </w:rPr>
                          <w:t>Eil. Nr.</w:t>
                        </w:r>
                      </w:p>
                    </w:tc>
                    <w:tc>
                      <w:tcPr>
                        <w:tcW w:w="7655" w:type="dxa"/>
                      </w:tcPr>
                      <w:p>
                        <w:pPr>
                          <w:ind w:firstLine="312"/>
                          <w:jc w:val="center"/>
                          <w:rPr>
                            <w:b/>
                            <w:szCs w:val="24"/>
                          </w:rPr>
                        </w:pPr>
                        <w:r>
                          <w:rPr>
                            <w:b/>
                            <w:szCs w:val="24"/>
                          </w:rPr>
                          <w:t>(1) Programos finansavimo šaltiniai</w:t>
                        </w:r>
                      </w:p>
                    </w:tc>
                    <w:tc>
                      <w:tcPr>
                        <w:tcW w:w="1382" w:type="dxa"/>
                      </w:tcPr>
                      <w:p>
                        <w:pPr>
                          <w:jc w:val="center"/>
                          <w:rPr>
                            <w:b/>
                            <w:szCs w:val="24"/>
                          </w:rPr>
                        </w:pPr>
                        <w:r>
                          <w:rPr>
                            <w:b/>
                            <w:szCs w:val="24"/>
                          </w:rPr>
                          <w:t>Lėšos, Eur</w:t>
                        </w:r>
                      </w:p>
                    </w:tc>
                  </w:tr>
                  <w:tr>
                    <w:tc>
                      <w:tcPr>
                        <w:tcW w:w="817" w:type="dxa"/>
                      </w:tcPr>
                      <w:p>
                        <w:pPr>
                          <w:widowControl w:val="0"/>
                          <w:suppressAutoHyphens/>
                          <w:jc w:val="both"/>
                          <w:rPr>
                            <w:szCs w:val="24"/>
                          </w:rPr>
                        </w:pPr>
                        <w:r>
                          <w:rPr>
                            <w:szCs w:val="24"/>
                          </w:rPr>
                          <w:t>1.1.</w:t>
                        </w:r>
                      </w:p>
                    </w:tc>
                    <w:tc>
                      <w:tcPr>
                        <w:tcW w:w="7655" w:type="dxa"/>
                      </w:tcPr>
                      <w:p>
                        <w:pPr>
                          <w:widowControl w:val="0"/>
                          <w:suppressAutoHyphens/>
                          <w:jc w:val="both"/>
                          <w:rPr>
                            <w:szCs w:val="24"/>
                          </w:rPr>
                        </w:pPr>
                        <w:r>
                          <w:rPr>
                            <w:szCs w:val="24"/>
                          </w:rPr>
                          <w:t>Mokesčiai už teršalų išmetimą į aplinką</w:t>
                        </w:r>
                      </w:p>
                    </w:tc>
                    <w:tc>
                      <w:tcPr>
                        <w:tcW w:w="1382" w:type="dxa"/>
                      </w:tcPr>
                      <w:p>
                        <w:pPr>
                          <w:widowControl w:val="0"/>
                          <w:suppressAutoHyphens/>
                          <w:jc w:val="center"/>
                          <w:rPr>
                            <w:szCs w:val="24"/>
                          </w:rPr>
                        </w:pPr>
                        <w:r>
                          <w:rPr>
                            <w:szCs w:val="24"/>
                          </w:rPr>
                          <w:t>100 000</w:t>
                        </w:r>
                      </w:p>
                    </w:tc>
                  </w:tr>
                  <w:tr>
                    <w:tc>
                      <w:tcPr>
                        <w:tcW w:w="817" w:type="dxa"/>
                      </w:tcPr>
                      <w:p>
                        <w:pPr>
                          <w:widowControl w:val="0"/>
                          <w:suppressAutoHyphens/>
                          <w:jc w:val="both"/>
                          <w:rPr>
                            <w:szCs w:val="24"/>
                          </w:rPr>
                        </w:pPr>
                        <w:r>
                          <w:rPr>
                            <w:szCs w:val="24"/>
                          </w:rPr>
                          <w:t>1.2.</w:t>
                        </w:r>
                      </w:p>
                    </w:tc>
                    <w:tc>
                      <w:tcPr>
                        <w:tcW w:w="7655" w:type="dxa"/>
                      </w:tcPr>
                      <w:p>
                        <w:pPr>
                          <w:widowControl w:val="0"/>
                          <w:suppressAutoHyphens/>
                          <w:jc w:val="both"/>
                          <w:rPr>
                            <w:szCs w:val="24"/>
                          </w:rPr>
                        </w:pPr>
                        <w:r>
                          <w:rPr>
                            <w:szCs w:val="24"/>
                          </w:rPr>
                          <w:t>Mokesčiai už valstybinius gamtos išteklius</w:t>
                        </w:r>
                      </w:p>
                    </w:tc>
                    <w:tc>
                      <w:tcPr>
                        <w:tcW w:w="1382" w:type="dxa"/>
                      </w:tcPr>
                      <w:p>
                        <w:pPr>
                          <w:widowControl w:val="0"/>
                          <w:suppressAutoHyphens/>
                          <w:jc w:val="center"/>
                          <w:rPr>
                            <w:strike/>
                            <w:szCs w:val="24"/>
                          </w:rPr>
                        </w:pPr>
                        <w:r>
                          <w:rPr>
                            <w:strike/>
                            <w:szCs w:val="24"/>
                          </w:rPr>
                          <w:t>80 000</w:t>
                        </w:r>
                        <w:r>
                          <w:rPr>
                            <w:szCs w:val="24"/>
                          </w:rPr>
                          <w:t> </w:t>
                        </w:r>
                        <w:r>
                          <w:rPr>
                            <w:b/>
                            <w:bCs/>
                            <w:szCs w:val="24"/>
                          </w:rPr>
                          <w:t>120 000</w:t>
                        </w:r>
                      </w:p>
                    </w:tc>
                  </w:tr>
                  <w:tr>
                    <w:tc>
                      <w:tcPr>
                        <w:tcW w:w="817" w:type="dxa"/>
                      </w:tcPr>
                      <w:p>
                        <w:pPr>
                          <w:widowControl w:val="0"/>
                          <w:suppressAutoHyphens/>
                          <w:jc w:val="both"/>
                          <w:rPr>
                            <w:szCs w:val="24"/>
                          </w:rPr>
                        </w:pPr>
                        <w:r>
                          <w:rPr>
                            <w:szCs w:val="24"/>
                          </w:rPr>
                          <w:t>1.3.</w:t>
                        </w:r>
                      </w:p>
                    </w:tc>
                    <w:tc>
                      <w:tcPr>
                        <w:tcW w:w="7655" w:type="dxa"/>
                      </w:tcPr>
                      <w:p>
                        <w:pPr>
                          <w:widowControl w:val="0"/>
                          <w:suppressAutoHyphens/>
                          <w:jc w:val="both"/>
                          <w:rPr>
                            <w:szCs w:val="24"/>
                          </w:rPr>
                        </w:pPr>
                        <w:r>
                          <w:rPr>
                            <w:szCs w:val="24"/>
                          </w:rPr>
                          <w:t>Lėšos, gautos kaip želdinių atkuriamosios vertės kompensacija</w:t>
                        </w:r>
                      </w:p>
                    </w:tc>
                    <w:tc>
                      <w:tcPr>
                        <w:tcW w:w="1382" w:type="dxa"/>
                      </w:tcPr>
                      <w:p>
                        <w:pPr>
                          <w:widowControl w:val="0"/>
                          <w:suppressAutoHyphens/>
                          <w:jc w:val="center"/>
                          <w:rPr>
                            <w:szCs w:val="24"/>
                          </w:rPr>
                        </w:pPr>
                        <w:r>
                          <w:rPr>
                            <w:szCs w:val="24"/>
                          </w:rPr>
                          <w:t xml:space="preserve">1 000 </w:t>
                        </w:r>
                      </w:p>
                    </w:tc>
                  </w:tr>
                  <w:tr>
                    <w:tc>
                      <w:tcPr>
                        <w:tcW w:w="817" w:type="dxa"/>
                      </w:tcPr>
                      <w:p>
                        <w:pPr>
                          <w:widowControl w:val="0"/>
                          <w:suppressAutoHyphens/>
                          <w:jc w:val="both"/>
                          <w:rPr>
                            <w:szCs w:val="24"/>
                          </w:rPr>
                        </w:pPr>
                        <w:r>
                          <w:rPr>
                            <w:szCs w:val="24"/>
                          </w:rPr>
                          <w:t>1.4.</w:t>
                        </w:r>
                      </w:p>
                    </w:tc>
                    <w:tc>
                      <w:tcPr>
                        <w:tcW w:w="7655" w:type="dxa"/>
                      </w:tcPr>
                      <w:p>
                        <w:pPr>
                          <w:widowControl w:val="0"/>
                          <w:suppressAutoHyphens/>
                          <w:jc w:val="both"/>
                          <w:rPr>
                            <w:szCs w:val="24"/>
                          </w:rPr>
                        </w:pPr>
                        <w:r>
                          <w:rPr>
                            <w:szCs w:val="24"/>
                          </w:rPr>
                          <w:t>Savanoriškos juridinių ir fizinių asmenų įmokos ir kitos teisėtai gautos lėšos</w:t>
                        </w:r>
                      </w:p>
                    </w:tc>
                    <w:tc>
                      <w:tcPr>
                        <w:tcW w:w="1382" w:type="dxa"/>
                      </w:tcPr>
                      <w:p>
                        <w:pPr>
                          <w:widowControl w:val="0"/>
                          <w:suppressAutoHyphens/>
                          <w:jc w:val="center"/>
                          <w:rPr>
                            <w:szCs w:val="24"/>
                          </w:rPr>
                        </w:pPr>
                        <w:r>
                          <w:rPr>
                            <w:szCs w:val="24"/>
                          </w:rPr>
                          <w:t>9 000</w:t>
                        </w:r>
                      </w:p>
                    </w:tc>
                  </w:tr>
                  <w:tr>
                    <w:tc>
                      <w:tcPr>
                        <w:tcW w:w="817" w:type="dxa"/>
                      </w:tcPr>
                      <w:p>
                        <w:pPr>
                          <w:widowControl w:val="0"/>
                          <w:suppressAutoHyphens/>
                          <w:jc w:val="both"/>
                          <w:rPr>
                            <w:szCs w:val="24"/>
                          </w:rPr>
                        </w:pPr>
                        <w:r>
                          <w:rPr>
                            <w:szCs w:val="24"/>
                          </w:rPr>
                          <w:t>1.5.</w:t>
                        </w:r>
                      </w:p>
                    </w:tc>
                    <w:tc>
                      <w:tcPr>
                        <w:tcW w:w="7655" w:type="dxa"/>
                      </w:tcPr>
                      <w:p>
                        <w:pPr>
                          <w:widowControl w:val="0"/>
                          <w:suppressAutoHyphens/>
                          <w:jc w:val="both"/>
                          <w:rPr>
                            <w:szCs w:val="24"/>
                          </w:rPr>
                        </w:pPr>
                        <w:r>
                          <w:rPr>
                            <w:szCs w:val="24"/>
                          </w:rPr>
                          <w:t>Iš viso (1.1 + 1.2 + 1.3 + 1.4):</w:t>
                        </w:r>
                      </w:p>
                    </w:tc>
                    <w:tc>
                      <w:tcPr>
                        <w:tcW w:w="1382" w:type="dxa"/>
                      </w:tcPr>
                      <w:p>
                        <w:pPr>
                          <w:widowControl w:val="0"/>
                          <w:suppressAutoHyphens/>
                          <w:jc w:val="center"/>
                          <w:rPr>
                            <w:szCs w:val="24"/>
                          </w:rPr>
                        </w:pPr>
                        <w:r>
                          <w:rPr>
                            <w:strike/>
                            <w:szCs w:val="24"/>
                          </w:rPr>
                          <w:t>190 000</w:t>
                        </w:r>
                        <w:r>
                          <w:rPr>
                            <w:szCs w:val="24"/>
                          </w:rPr>
                          <w:t> </w:t>
                        </w:r>
                        <w:r>
                          <w:rPr>
                            <w:b/>
                            <w:bCs/>
                            <w:szCs w:val="24"/>
                          </w:rPr>
                          <w:t>240 000</w:t>
                        </w:r>
                      </w:p>
                    </w:tc>
                  </w:tr>
                  <w:tr>
                    <w:tc>
                      <w:tcPr>
                        <w:tcW w:w="817" w:type="dxa"/>
                      </w:tcPr>
                      <w:p>
                        <w:pPr>
                          <w:widowControl w:val="0"/>
                          <w:suppressAutoHyphens/>
                          <w:jc w:val="both"/>
                          <w:rPr>
                            <w:szCs w:val="24"/>
                          </w:rPr>
                        </w:pPr>
                        <w:r>
                          <w:rPr>
                            <w:szCs w:val="24"/>
                          </w:rPr>
                          <w:t>1.6.</w:t>
                        </w:r>
                      </w:p>
                    </w:tc>
                    <w:tc>
                      <w:tcPr>
                        <w:tcW w:w="7655" w:type="dxa"/>
                      </w:tcPr>
                      <w:p>
                        <w:pPr>
                          <w:widowControl w:val="0"/>
                          <w:suppressAutoHyphens/>
                          <w:jc w:val="both"/>
                          <w:rPr>
                            <w:szCs w:val="24"/>
                          </w:rPr>
                        </w:pPr>
                        <w:r>
                          <w:rPr>
                            <w:szCs w:val="24"/>
                          </w:rPr>
                          <w:t>Mokesčiai, sumokėti už medžiojamųjų gyvūnų išteklių naudojimą</w:t>
                        </w:r>
                      </w:p>
                    </w:tc>
                    <w:tc>
                      <w:tcPr>
                        <w:tcW w:w="1382" w:type="dxa"/>
                      </w:tcPr>
                      <w:p>
                        <w:pPr>
                          <w:widowControl w:val="0"/>
                          <w:suppressAutoHyphens/>
                          <w:jc w:val="center"/>
                          <w:rPr>
                            <w:szCs w:val="24"/>
                          </w:rPr>
                        </w:pPr>
                        <w:r>
                          <w:rPr>
                            <w:szCs w:val="24"/>
                          </w:rPr>
                          <w:t>50 000</w:t>
                        </w:r>
                      </w:p>
                    </w:tc>
                  </w:tr>
                  <w:tr>
                    <w:tc>
                      <w:tcPr>
                        <w:tcW w:w="817" w:type="dxa"/>
                      </w:tcPr>
                      <w:p>
                        <w:pPr>
                          <w:widowControl w:val="0"/>
                          <w:suppressAutoHyphens/>
                          <w:jc w:val="both"/>
                          <w:rPr>
                            <w:szCs w:val="24"/>
                          </w:rPr>
                        </w:pPr>
                        <w:r>
                          <w:rPr>
                            <w:szCs w:val="24"/>
                          </w:rPr>
                          <w:t>1.7.</w:t>
                        </w:r>
                      </w:p>
                    </w:tc>
                    <w:tc>
                      <w:tcPr>
                        <w:tcW w:w="7655" w:type="dxa"/>
                      </w:tcPr>
                      <w:p>
                        <w:pPr>
                          <w:widowControl w:val="0"/>
                          <w:suppressAutoHyphens/>
                          <w:jc w:val="both"/>
                          <w:rPr>
                            <w:szCs w:val="24"/>
                          </w:rPr>
                        </w:pPr>
                        <w:r>
                          <w:rPr>
                            <w:szCs w:val="24"/>
                          </w:rPr>
                          <w:t xml:space="preserve">Ankstesnio ataskaitinio laikotarpio ataskaitos atitinkamų lėšų likutis </w:t>
                        </w:r>
                      </w:p>
                    </w:tc>
                    <w:tc>
                      <w:tcPr>
                        <w:tcW w:w="1382" w:type="dxa"/>
                      </w:tcPr>
                      <w:p>
                        <w:pPr>
                          <w:widowControl w:val="0"/>
                          <w:suppressAutoHyphens/>
                          <w:jc w:val="center"/>
                          <w:rPr>
                            <w:szCs w:val="24"/>
                          </w:rPr>
                        </w:pPr>
                        <w:r>
                          <w:rPr>
                            <w:szCs w:val="24"/>
                          </w:rPr>
                          <w:t>28 896</w:t>
                        </w:r>
                      </w:p>
                    </w:tc>
                  </w:tr>
                  <w:tr>
                    <w:tc>
                      <w:tcPr>
                        <w:tcW w:w="817" w:type="dxa"/>
                      </w:tcPr>
                      <w:p>
                        <w:pPr>
                          <w:widowControl w:val="0"/>
                          <w:suppressAutoHyphens/>
                          <w:jc w:val="both"/>
                          <w:rPr>
                            <w:szCs w:val="24"/>
                          </w:rPr>
                        </w:pPr>
                        <w:r>
                          <w:rPr>
                            <w:szCs w:val="24"/>
                          </w:rPr>
                          <w:t>1.8.</w:t>
                        </w:r>
                      </w:p>
                    </w:tc>
                    <w:tc>
                      <w:tcPr>
                        <w:tcW w:w="7655" w:type="dxa"/>
                      </w:tcPr>
                      <w:p>
                        <w:pPr>
                          <w:widowControl w:val="0"/>
                          <w:suppressAutoHyphens/>
                          <w:jc w:val="both"/>
                          <w:rPr>
                            <w:szCs w:val="24"/>
                          </w:rPr>
                        </w:pPr>
                        <w:r>
                          <w:rPr>
                            <w:szCs w:val="24"/>
                          </w:rPr>
                          <w:t>Iš viso (1.6 + 1.7):</w:t>
                        </w:r>
                      </w:p>
                    </w:tc>
                    <w:tc>
                      <w:tcPr>
                        <w:tcW w:w="1382" w:type="dxa"/>
                      </w:tcPr>
                      <w:p>
                        <w:pPr>
                          <w:widowControl w:val="0"/>
                          <w:suppressAutoHyphens/>
                          <w:jc w:val="center"/>
                          <w:rPr>
                            <w:szCs w:val="24"/>
                          </w:rPr>
                        </w:pPr>
                        <w:r>
                          <w:rPr>
                            <w:szCs w:val="24"/>
                          </w:rPr>
                          <w:t>78 896</w:t>
                        </w:r>
                      </w:p>
                    </w:tc>
                  </w:tr>
                  <w:tr>
                    <w:tc>
                      <w:tcPr>
                        <w:tcW w:w="817" w:type="dxa"/>
                      </w:tcPr>
                      <w:p>
                        <w:pPr>
                          <w:widowControl w:val="0"/>
                          <w:suppressAutoHyphens/>
                          <w:jc w:val="both"/>
                          <w:rPr>
                            <w:szCs w:val="24"/>
                          </w:rPr>
                        </w:pPr>
                        <w:r>
                          <w:rPr>
                            <w:szCs w:val="24"/>
                          </w:rPr>
                          <w:t>1.9.</w:t>
                        </w:r>
                      </w:p>
                    </w:tc>
                    <w:tc>
                      <w:tcPr>
                        <w:tcW w:w="7655" w:type="dxa"/>
                      </w:tcPr>
                      <w:p>
                        <w:pPr>
                          <w:widowControl w:val="0"/>
                          <w:suppressAutoHyphens/>
                          <w:jc w:val="both"/>
                          <w:rPr>
                            <w:szCs w:val="24"/>
                          </w:rPr>
                        </w:pPr>
                        <w:r>
                          <w:rPr>
                            <w:szCs w:val="24"/>
                          </w:rPr>
                          <w:t>Faktinės ataskaitinio laikotarpio Programos lėšos (1.5 + 1.8)</w:t>
                        </w:r>
                      </w:p>
                    </w:tc>
                    <w:tc>
                      <w:tcPr>
                        <w:tcW w:w="1382" w:type="dxa"/>
                      </w:tcPr>
                      <w:p>
                        <w:pPr>
                          <w:widowControl w:val="0"/>
                          <w:suppressAutoHyphens/>
                          <w:jc w:val="center"/>
                          <w:rPr>
                            <w:strike/>
                            <w:szCs w:val="24"/>
                          </w:rPr>
                        </w:pPr>
                        <w:r>
                          <w:rPr>
                            <w:strike/>
                            <w:szCs w:val="24"/>
                          </w:rPr>
                          <w:t>268 896</w:t>
                        </w:r>
                        <w:r>
                          <w:rPr>
                            <w:szCs w:val="24"/>
                          </w:rPr>
                          <w:t> </w:t>
                        </w:r>
                        <w:r>
                          <w:rPr>
                            <w:b/>
                            <w:bCs/>
                            <w:szCs w:val="24"/>
                          </w:rPr>
                          <w:t>308 896</w:t>
                        </w:r>
                      </w:p>
                    </w:tc>
                  </w:tr>
                </w:tbl>
                <w:p>
                  <w:pPr>
                    <w:jc w:val="both"/>
                    <w:rPr>
                      <w:b/>
                      <w:szCs w:val="24"/>
                    </w:rPr>
                  </w:pP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7516"/>
                    <w:gridCol w:w="1416"/>
                  </w:tblGrid>
                  <w:tr>
                    <w:tc>
                      <w:tcPr>
                        <w:tcW w:w="696" w:type="dxa"/>
                      </w:tcPr>
                      <w:p>
                        <w:pPr>
                          <w:jc w:val="center"/>
                          <w:rPr>
                            <w:b/>
                            <w:szCs w:val="24"/>
                          </w:rPr>
                        </w:pPr>
                        <w:r>
                          <w:rPr>
                            <w:b/>
                            <w:szCs w:val="24"/>
                          </w:rPr>
                          <w:t>Eil. Nr.</w:t>
                        </w:r>
                      </w:p>
                    </w:tc>
                    <w:tc>
                      <w:tcPr>
                        <w:tcW w:w="7568" w:type="dxa"/>
                      </w:tcPr>
                      <w:p>
                        <w:pPr>
                          <w:ind w:firstLine="312"/>
                          <w:jc w:val="center"/>
                          <w:rPr>
                            <w:b/>
                            <w:szCs w:val="24"/>
                          </w:rPr>
                        </w:pPr>
                        <w:r>
                          <w:rPr>
                            <w:b/>
                            <w:szCs w:val="24"/>
                          </w:rPr>
                          <w:t>(2) Savivaldybės visuomenės sveikatos rėmimo specialiajai programai skirtinos lėšos</w:t>
                        </w:r>
                      </w:p>
                    </w:tc>
                    <w:tc>
                      <w:tcPr>
                        <w:tcW w:w="1364" w:type="dxa"/>
                      </w:tcPr>
                      <w:p>
                        <w:pPr>
                          <w:jc w:val="center"/>
                          <w:rPr>
                            <w:b/>
                            <w:szCs w:val="24"/>
                          </w:rPr>
                        </w:pPr>
                        <w:r>
                          <w:rPr>
                            <w:b/>
                            <w:szCs w:val="24"/>
                          </w:rPr>
                          <w:t>Lėšos, Eur</w:t>
                        </w:r>
                      </w:p>
                    </w:tc>
                  </w:tr>
                  <w:tr>
                    <w:tc>
                      <w:tcPr>
                        <w:tcW w:w="696" w:type="dxa"/>
                      </w:tcPr>
                      <w:p>
                        <w:pPr>
                          <w:widowControl w:val="0"/>
                          <w:suppressAutoHyphens/>
                          <w:jc w:val="both"/>
                          <w:rPr>
                            <w:szCs w:val="24"/>
                          </w:rPr>
                        </w:pPr>
                        <w:r>
                          <w:rPr>
                            <w:szCs w:val="24"/>
                          </w:rPr>
                          <w:t>1.10.</w:t>
                        </w:r>
                      </w:p>
                    </w:tc>
                    <w:tc>
                      <w:tcPr>
                        <w:tcW w:w="7568" w:type="dxa"/>
                      </w:tcPr>
                      <w:p>
                        <w:pPr>
                          <w:widowControl w:val="0"/>
                          <w:suppressAutoHyphens/>
                          <w:jc w:val="both"/>
                          <w:rPr>
                            <w:szCs w:val="24"/>
                          </w:rPr>
                        </w:pPr>
                        <w:r>
                          <w:rPr>
                            <w:szCs w:val="24"/>
                          </w:rPr>
                          <w:t>20 procentų Savivaldybių aplinkos apsaugos rėmimo specialiosios programos lėšų, neįskaitant įplaukų už medžioklės plotų naudotojų mokesčius, mokamus įstatymų nustatytomis proporcijomis ir tvarka už medžiojamųjų gyvūnų išteklių naudojimą</w:t>
                        </w:r>
                      </w:p>
                    </w:tc>
                    <w:tc>
                      <w:tcPr>
                        <w:tcW w:w="1364" w:type="dxa"/>
                      </w:tcPr>
                      <w:p>
                        <w:pPr>
                          <w:widowControl w:val="0"/>
                          <w:suppressAutoHyphens/>
                          <w:jc w:val="center"/>
                          <w:rPr>
                            <w:szCs w:val="24"/>
                          </w:rPr>
                        </w:pPr>
                        <w:r>
                          <w:rPr>
                            <w:strike/>
                            <w:szCs w:val="24"/>
                          </w:rPr>
                          <w:t>38 000</w:t>
                        </w:r>
                        <w:r>
                          <w:rPr>
                            <w:szCs w:val="24"/>
                          </w:rPr>
                          <w:t xml:space="preserve"> </w:t>
                        </w:r>
                        <w:r>
                          <w:rPr>
                            <w:b/>
                            <w:bCs/>
                            <w:szCs w:val="24"/>
                          </w:rPr>
                          <w:t>46 000</w:t>
                        </w:r>
                      </w:p>
                    </w:tc>
                  </w:tr>
                  <w:tr>
                    <w:tc>
                      <w:tcPr>
                        <w:tcW w:w="696" w:type="dxa"/>
                      </w:tcPr>
                      <w:p>
                        <w:pPr>
                          <w:widowControl w:val="0"/>
                          <w:suppressAutoHyphens/>
                          <w:jc w:val="both"/>
                          <w:rPr>
                            <w:szCs w:val="24"/>
                          </w:rPr>
                        </w:pPr>
                        <w:r>
                          <w:rPr>
                            <w:szCs w:val="24"/>
                          </w:rPr>
                          <w:t>1.11.</w:t>
                        </w:r>
                      </w:p>
                    </w:tc>
                    <w:tc>
                      <w:tcPr>
                        <w:tcW w:w="7568" w:type="dxa"/>
                      </w:tcPr>
                      <w:p>
                        <w:pPr>
                          <w:widowControl w:val="0"/>
                          <w:suppressAutoHyphens/>
                          <w:jc w:val="both"/>
                          <w:rPr>
                            <w:szCs w:val="24"/>
                          </w:rPr>
                        </w:pPr>
                        <w:r>
                          <w:rPr>
                            <w:szCs w:val="24"/>
                          </w:rPr>
                          <w:t xml:space="preserve">Ankstesnio ataskaitinio laikotarpio ataskaitos atitinkamų lėšų likutis </w:t>
                        </w:r>
                      </w:p>
                    </w:tc>
                    <w:tc>
                      <w:tcPr>
                        <w:tcW w:w="1364" w:type="dxa"/>
                      </w:tcPr>
                      <w:p>
                        <w:pPr>
                          <w:widowControl w:val="0"/>
                          <w:suppressAutoHyphens/>
                          <w:jc w:val="center"/>
                          <w:rPr>
                            <w:szCs w:val="24"/>
                          </w:rPr>
                        </w:pPr>
                        <w:r>
                          <w:rPr>
                            <w:szCs w:val="24"/>
                          </w:rPr>
                          <w:t>22 776</w:t>
                        </w:r>
                      </w:p>
                    </w:tc>
                  </w:tr>
                  <w:tr>
                    <w:tc>
                      <w:tcPr>
                        <w:tcW w:w="696" w:type="dxa"/>
                      </w:tcPr>
                      <w:p>
                        <w:pPr>
                          <w:widowControl w:val="0"/>
                          <w:suppressAutoHyphens/>
                          <w:jc w:val="both"/>
                          <w:rPr>
                            <w:szCs w:val="24"/>
                          </w:rPr>
                        </w:pPr>
                        <w:r>
                          <w:rPr>
                            <w:szCs w:val="24"/>
                          </w:rPr>
                          <w:t>1.12.</w:t>
                        </w:r>
                      </w:p>
                    </w:tc>
                    <w:tc>
                      <w:tcPr>
                        <w:tcW w:w="7568" w:type="dxa"/>
                      </w:tcPr>
                      <w:p>
                        <w:pPr>
                          <w:widowControl w:val="0"/>
                          <w:suppressAutoHyphens/>
                          <w:jc w:val="both"/>
                          <w:rPr>
                            <w:szCs w:val="24"/>
                          </w:rPr>
                        </w:pPr>
                        <w:r>
                          <w:rPr>
                            <w:szCs w:val="24"/>
                          </w:rPr>
                          <w:t>Iš viso (1.10 + 1.11):</w:t>
                        </w:r>
                      </w:p>
                    </w:tc>
                    <w:tc>
                      <w:tcPr>
                        <w:tcW w:w="1364" w:type="dxa"/>
                      </w:tcPr>
                      <w:p>
                        <w:pPr>
                          <w:widowControl w:val="0"/>
                          <w:suppressAutoHyphens/>
                          <w:jc w:val="center"/>
                          <w:rPr>
                            <w:strike/>
                            <w:szCs w:val="24"/>
                            <w:lang w:val="en-US"/>
                          </w:rPr>
                        </w:pPr>
                        <w:r>
                          <w:rPr>
                            <w:strike/>
                            <w:szCs w:val="24"/>
                            <w:lang w:val="en-US"/>
                          </w:rPr>
                          <w:t>60 776</w:t>
                        </w:r>
                        <w:r>
                          <w:rPr>
                            <w:szCs w:val="24"/>
                            <w:lang w:val="en-US"/>
                          </w:rPr>
                          <w:t xml:space="preserve"> </w:t>
                        </w:r>
                        <w:r>
                          <w:rPr>
                            <w:b/>
                            <w:bCs/>
                            <w:szCs w:val="24"/>
                            <w:lang w:val="en-US"/>
                          </w:rPr>
                          <w:t>68 776</w:t>
                        </w:r>
                      </w:p>
                    </w:tc>
                  </w:tr>
                  <w:tr>
                    <w:tc>
                      <w:tcPr>
                        <w:tcW w:w="696" w:type="dxa"/>
                      </w:tcPr>
                      <w:p>
                        <w:pPr>
                          <w:widowControl w:val="0"/>
                          <w:suppressAutoHyphens/>
                          <w:jc w:val="both"/>
                          <w:rPr>
                            <w:b/>
                            <w:szCs w:val="24"/>
                          </w:rPr>
                        </w:pPr>
                        <w:r>
                          <w:rPr>
                            <w:b/>
                            <w:szCs w:val="24"/>
                          </w:rPr>
                          <w:t>Eil. Nr.</w:t>
                        </w:r>
                      </w:p>
                    </w:tc>
                    <w:tc>
                      <w:tcPr>
                        <w:tcW w:w="7568" w:type="dxa"/>
                      </w:tcPr>
                      <w:p>
                        <w:pPr>
                          <w:ind w:firstLine="312"/>
                          <w:jc w:val="center"/>
                          <w:rPr>
                            <w:b/>
                            <w:szCs w:val="24"/>
                          </w:rPr>
                        </w:pPr>
                        <w:r>
                          <w:rPr>
                            <w:b/>
                            <w:szCs w:val="24"/>
                          </w:rPr>
                          <w:t>(3) Kitoms Programos priemonėms skirtinos lėšos</w:t>
                        </w:r>
                      </w:p>
                    </w:tc>
                    <w:tc>
                      <w:tcPr>
                        <w:tcW w:w="1364" w:type="dxa"/>
                      </w:tcPr>
                      <w:p>
                        <w:pPr>
                          <w:jc w:val="center"/>
                          <w:rPr>
                            <w:b/>
                            <w:szCs w:val="24"/>
                          </w:rPr>
                        </w:pPr>
                        <w:r>
                          <w:rPr>
                            <w:b/>
                            <w:szCs w:val="24"/>
                          </w:rPr>
                          <w:t>Lėšos, Eur</w:t>
                        </w:r>
                      </w:p>
                    </w:tc>
                  </w:tr>
                  <w:tr>
                    <w:tc>
                      <w:tcPr>
                        <w:tcW w:w="696" w:type="dxa"/>
                      </w:tcPr>
                      <w:p>
                        <w:pPr>
                          <w:widowControl w:val="0"/>
                          <w:suppressAutoHyphens/>
                          <w:jc w:val="both"/>
                          <w:rPr>
                            <w:szCs w:val="24"/>
                          </w:rPr>
                        </w:pPr>
                        <w:r>
                          <w:rPr>
                            <w:szCs w:val="24"/>
                          </w:rPr>
                          <w:t>1.13.</w:t>
                        </w:r>
                      </w:p>
                    </w:tc>
                    <w:tc>
                      <w:tcPr>
                        <w:tcW w:w="7568" w:type="dxa"/>
                      </w:tcPr>
                      <w:p>
                        <w:pPr>
                          <w:widowControl w:val="0"/>
                          <w:suppressAutoHyphens/>
                          <w:jc w:val="both"/>
                          <w:rPr>
                            <w:szCs w:val="24"/>
                          </w:rPr>
                        </w:pPr>
                        <w:r>
                          <w:rPr>
                            <w:szCs w:val="24"/>
                          </w:rPr>
                          <w:t>80 procentų Savivaldybių aplinkos apsaugos rėmimo specialiosios programos lėšų, neįskaitant įplaukų už medžioklės plotų naudotojų mokesčius, mokamus įstatymų nustatytomis proporcijomis ir tvarka už medžiojamųjų gyvūnų išteklių naudojimą</w:t>
                        </w:r>
                      </w:p>
                    </w:tc>
                    <w:tc>
                      <w:tcPr>
                        <w:tcW w:w="1364" w:type="dxa"/>
                      </w:tcPr>
                      <w:p>
                        <w:pPr>
                          <w:widowControl w:val="0"/>
                          <w:suppressAutoHyphens/>
                          <w:jc w:val="center"/>
                          <w:rPr>
                            <w:szCs w:val="24"/>
                            <w:lang w:val="en-US"/>
                          </w:rPr>
                        </w:pPr>
                        <w:r>
                          <w:rPr>
                            <w:strike/>
                            <w:szCs w:val="24"/>
                            <w:lang w:val="en-US"/>
                          </w:rPr>
                          <w:t>152 000</w:t>
                        </w:r>
                        <w:r>
                          <w:rPr>
                            <w:szCs w:val="24"/>
                            <w:lang w:val="en-US"/>
                          </w:rPr>
                          <w:t> </w:t>
                        </w:r>
                        <w:r>
                          <w:rPr>
                            <w:b/>
                            <w:bCs/>
                            <w:szCs w:val="24"/>
                            <w:lang w:val="en-US"/>
                          </w:rPr>
                          <w:t>184 000</w:t>
                        </w:r>
                      </w:p>
                    </w:tc>
                  </w:tr>
                  <w:tr>
                    <w:tc>
                      <w:tcPr>
                        <w:tcW w:w="696" w:type="dxa"/>
                      </w:tcPr>
                      <w:p>
                        <w:pPr>
                          <w:widowControl w:val="0"/>
                          <w:suppressAutoHyphens/>
                          <w:jc w:val="both"/>
                          <w:rPr>
                            <w:szCs w:val="24"/>
                          </w:rPr>
                        </w:pPr>
                        <w:r>
                          <w:rPr>
                            <w:szCs w:val="24"/>
                          </w:rPr>
                          <w:t>1.14.</w:t>
                        </w:r>
                      </w:p>
                    </w:tc>
                    <w:tc>
                      <w:tcPr>
                        <w:tcW w:w="7568" w:type="dxa"/>
                      </w:tcPr>
                      <w:p>
                        <w:pPr>
                          <w:widowControl w:val="0"/>
                          <w:suppressAutoHyphens/>
                          <w:jc w:val="both"/>
                          <w:rPr>
                            <w:szCs w:val="24"/>
                          </w:rPr>
                        </w:pPr>
                        <w:r>
                          <w:rPr>
                            <w:szCs w:val="24"/>
                          </w:rPr>
                          <w:t xml:space="preserve">Ankstesnio ataskaitinio laikotarpio ataskaitos atitinkamų lėšų likutis </w:t>
                        </w:r>
                      </w:p>
                    </w:tc>
                    <w:tc>
                      <w:tcPr>
                        <w:tcW w:w="1364" w:type="dxa"/>
                      </w:tcPr>
                      <w:p>
                        <w:pPr>
                          <w:widowControl w:val="0"/>
                          <w:suppressAutoHyphens/>
                          <w:jc w:val="center"/>
                          <w:rPr>
                            <w:szCs w:val="24"/>
                          </w:rPr>
                        </w:pPr>
                        <w:r>
                          <w:rPr>
                            <w:szCs w:val="24"/>
                          </w:rPr>
                          <w:t>89 460</w:t>
                        </w:r>
                      </w:p>
                    </w:tc>
                  </w:tr>
                  <w:tr>
                    <w:tc>
                      <w:tcPr>
                        <w:tcW w:w="696" w:type="dxa"/>
                      </w:tcPr>
                      <w:p>
                        <w:pPr>
                          <w:widowControl w:val="0"/>
                          <w:suppressAutoHyphens/>
                          <w:jc w:val="both"/>
                          <w:rPr>
                            <w:szCs w:val="24"/>
                          </w:rPr>
                        </w:pPr>
                        <w:r>
                          <w:rPr>
                            <w:szCs w:val="24"/>
                          </w:rPr>
                          <w:t>1.15.</w:t>
                        </w:r>
                      </w:p>
                    </w:tc>
                    <w:tc>
                      <w:tcPr>
                        <w:tcW w:w="7568" w:type="dxa"/>
                      </w:tcPr>
                      <w:p>
                        <w:pPr>
                          <w:widowControl w:val="0"/>
                          <w:suppressAutoHyphens/>
                          <w:jc w:val="both"/>
                          <w:rPr>
                            <w:szCs w:val="24"/>
                          </w:rPr>
                        </w:pPr>
                        <w:r>
                          <w:rPr>
                            <w:szCs w:val="24"/>
                          </w:rPr>
                          <w:t>Iš viso (1.13 + 1.14):</w:t>
                        </w:r>
                      </w:p>
                    </w:tc>
                    <w:tc>
                      <w:tcPr>
                        <w:tcW w:w="1364" w:type="dxa"/>
                      </w:tcPr>
                      <w:p>
                        <w:pPr>
                          <w:widowControl w:val="0"/>
                          <w:suppressAutoHyphens/>
                          <w:jc w:val="center"/>
                          <w:rPr>
                            <w:szCs w:val="24"/>
                          </w:rPr>
                        </w:pPr>
                        <w:r>
                          <w:rPr>
                            <w:strike/>
                            <w:szCs w:val="24"/>
                          </w:rPr>
                          <w:t>241 460</w:t>
                        </w:r>
                        <w:r>
                          <w:rPr>
                            <w:szCs w:val="24"/>
                          </w:rPr>
                          <w:t> </w:t>
                        </w:r>
                        <w:r>
                          <w:rPr>
                            <w:b/>
                            <w:bCs/>
                            <w:szCs w:val="24"/>
                          </w:rPr>
                          <w:t>273 460</w:t>
                        </w:r>
                      </w:p>
                    </w:tc>
                  </w:tr>
                </w:tbl>
                <w:p>
                  <w:pPr>
                    <w:widowControl w:val="0"/>
                    <w:suppressAutoHyphens/>
                    <w:rPr>
                      <w:rFonts w:ascii="Thorndale" w:hAnsi="Thorndale" w:cs="Tahoma"/>
                      <w:b/>
                      <w:szCs w:val="24"/>
                    </w:rPr>
                  </w:pPr>
                </w:p>
                <w:p>
                  <w:pPr>
                    <w:rPr>
                      <w:sz w:val="10"/>
                      <w:szCs w:val="10"/>
                    </w:rPr>
                  </w:pPr>
                </w:p>
              </w:sdtContent>
            </w:sdt>
            <w:sdt>
              <w:sdtPr>
                <w:alias w:val="frm. 2 p."/>
                <w:tag w:val="part_2f9f05804c8240f396dd94cb51790972"/>
                <w:lock w:val="sdtLocked"/>
                <w:richText/>
              </w:sdtPr>
              <w:sdtContent>
                <w:p>
                  <w:pPr>
                    <w:widowControl w:val="0"/>
                    <w:suppressAutoHyphens/>
                    <w:jc w:val="both"/>
                    <w:rPr>
                      <w:rFonts w:cs="Tahoma"/>
                      <w:b/>
                      <w:szCs w:val="24"/>
                    </w:rPr>
                  </w:pPr>
                  <w:sdt>
                    <w:sdtPr>
                      <w:alias w:val="Numeris"/>
                      <w:tag w:val="nr_2f9f05804c8240f396dd94cb51790972"/>
                      <w:lock w:val="sdtLocked"/>
                      <w:richText/>
                    </w:sdtPr>
                    <w:sdtContent>
                      <w:r>
                        <w:rPr>
                          <w:rFonts w:ascii="Thorndale" w:hAnsi="Thorndale" w:cs="Tahoma"/>
                          <w:b/>
                          <w:szCs w:val="24"/>
                        </w:rPr>
                        <w:t>2</w:t>
                      </w:r>
                    </w:sdtContent>
                  </w:sdt>
                  <w:r>
                    <w:rPr>
                      <w:rFonts w:ascii="Thorndale" w:hAnsi="Thorndale" w:cs="Tahoma"/>
                      <w:b/>
                      <w:szCs w:val="24"/>
                    </w:rPr>
                    <w:t xml:space="preserve">. </w:t>
                  </w:r>
                  <w:r>
                    <w:rPr>
                      <w:rFonts w:cs="Tahoma"/>
                      <w:b/>
                      <w:szCs w:val="24"/>
                    </w:rPr>
                    <w:t>Priemonės, kurioms finansuoti naudojamos lėšos, surinktos už medžiojamųjų gyvūnų išteklių naudojimą</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2604"/>
                    <w:gridCol w:w="4900"/>
                    <w:gridCol w:w="1368"/>
                  </w:tblGrid>
                  <w:tr>
                    <w:tc>
                      <w:tcPr>
                        <w:tcW w:w="756" w:type="dxa"/>
                      </w:tcPr>
                      <w:p>
                        <w:pPr>
                          <w:widowControl w:val="0"/>
                          <w:suppressAutoHyphens/>
                          <w:jc w:val="both"/>
                          <w:rPr>
                            <w:b/>
                            <w:szCs w:val="24"/>
                          </w:rPr>
                        </w:pPr>
                        <w:r>
                          <w:rPr>
                            <w:b/>
                            <w:szCs w:val="24"/>
                          </w:rPr>
                          <w:t>Eil. Nr.</w:t>
                        </w:r>
                      </w:p>
                    </w:tc>
                    <w:tc>
                      <w:tcPr>
                        <w:tcW w:w="2604" w:type="dxa"/>
                      </w:tcPr>
                      <w:p>
                        <w:pPr>
                          <w:widowControl w:val="0"/>
                          <w:suppressAutoHyphens/>
                          <w:rPr>
                            <w:szCs w:val="24"/>
                          </w:rPr>
                        </w:pPr>
                        <w:r>
                          <w:rPr>
                            <w:b/>
                            <w:szCs w:val="24"/>
                          </w:rPr>
                          <w:t>Priemonės pavadinimas</w:t>
                        </w:r>
                      </w:p>
                    </w:tc>
                    <w:tc>
                      <w:tcPr>
                        <w:tcW w:w="4900" w:type="dxa"/>
                      </w:tcPr>
                      <w:p>
                        <w:pPr>
                          <w:widowControl w:val="0"/>
                          <w:suppressAutoHyphens/>
                          <w:ind w:firstLine="312"/>
                          <w:jc w:val="both"/>
                          <w:rPr>
                            <w:b/>
                            <w:szCs w:val="24"/>
                          </w:rPr>
                        </w:pPr>
                        <w:r>
                          <w:rPr>
                            <w:b/>
                            <w:szCs w:val="24"/>
                          </w:rPr>
                          <w:t>Detalus priemonės vykdymo aprašymas</w:t>
                        </w:r>
                      </w:p>
                    </w:tc>
                    <w:tc>
                      <w:tcPr>
                        <w:tcW w:w="1368" w:type="dxa"/>
                      </w:tcPr>
                      <w:p>
                        <w:pPr>
                          <w:widowControl w:val="0"/>
                          <w:suppressAutoHyphens/>
                          <w:jc w:val="both"/>
                          <w:rPr>
                            <w:b/>
                            <w:szCs w:val="24"/>
                          </w:rPr>
                        </w:pPr>
                        <w:r>
                          <w:rPr>
                            <w:b/>
                            <w:szCs w:val="24"/>
                          </w:rPr>
                          <w:t>Pagal sąmatą lėšų poreikis, Eur</w:t>
                        </w:r>
                      </w:p>
                    </w:tc>
                  </w:tr>
                  <w:tr>
                    <w:tc>
                      <w:tcPr>
                        <w:tcW w:w="756" w:type="dxa"/>
                      </w:tcPr>
                      <w:p>
                        <w:pPr>
                          <w:widowControl w:val="0"/>
                          <w:suppressAutoHyphens/>
                          <w:jc w:val="both"/>
                          <w:rPr>
                            <w:szCs w:val="24"/>
                          </w:rPr>
                        </w:pPr>
                        <w:r>
                          <w:rPr>
                            <w:szCs w:val="24"/>
                          </w:rPr>
                          <w:t>2.1.</w:t>
                        </w:r>
                      </w:p>
                    </w:tc>
                    <w:tc>
                      <w:tcPr>
                        <w:tcW w:w="7504" w:type="dxa"/>
                        <w:gridSpan w:val="2"/>
                      </w:tcPr>
                      <w:p>
                        <w:pPr>
                          <w:widowControl w:val="0"/>
                          <w:suppressAutoHyphens/>
                          <w:ind w:firstLine="312"/>
                          <w:jc w:val="both"/>
                          <w:rPr>
                            <w:szCs w:val="24"/>
                          </w:rPr>
                        </w:pPr>
                        <w:r>
                          <w:rPr>
                            <w:szCs w:val="24"/>
                          </w:rPr>
                          <w:t>Miško sklypų, kuriuose medžioklė nėra uždrausta, savininkų, valdytojų ir naudotojų, įgyvendinamos žalos prevencijos priemonės, kuriomis jie siekia išvengti medžiojamųjų gyvūnų daromos žalos miškui</w:t>
                        </w:r>
                      </w:p>
                    </w:tc>
                    <w:tc>
                      <w:tcPr>
                        <w:tcW w:w="1368" w:type="dxa"/>
                      </w:tcPr>
                      <w:p>
                        <w:pPr>
                          <w:widowControl w:val="0"/>
                          <w:suppressAutoHyphens/>
                          <w:jc w:val="center"/>
                          <w:rPr>
                            <w:szCs w:val="24"/>
                          </w:rPr>
                        </w:pPr>
                      </w:p>
                    </w:tc>
                  </w:tr>
                  <w:tr>
                    <w:tc>
                      <w:tcPr>
                        <w:tcW w:w="756" w:type="dxa"/>
                      </w:tcPr>
                      <w:p>
                        <w:pPr>
                          <w:widowControl w:val="0"/>
                          <w:suppressAutoHyphens/>
                          <w:jc w:val="both"/>
                          <w:rPr>
                            <w:szCs w:val="24"/>
                          </w:rPr>
                        </w:pPr>
                        <w:r>
                          <w:rPr>
                            <w:szCs w:val="24"/>
                          </w:rPr>
                          <w:t>2.1.1.</w:t>
                        </w:r>
                      </w:p>
                    </w:tc>
                    <w:tc>
                      <w:tcPr>
                        <w:tcW w:w="2604" w:type="dxa"/>
                      </w:tcPr>
                      <w:p>
                        <w:pPr>
                          <w:widowControl w:val="0"/>
                          <w:suppressAutoHyphens/>
                          <w:ind w:firstLine="312"/>
                          <w:jc w:val="both"/>
                          <w:rPr>
                            <w:szCs w:val="24"/>
                          </w:rPr>
                        </w:pPr>
                        <w:r>
                          <w:rPr>
                            <w:szCs w:val="24"/>
                          </w:rPr>
                          <w:t xml:space="preserve">Miškų valdytojų ir savininkų repelentų įsigijimas, miške esančių želdinių ir žėlinių apdorojimo repelentais darbai, miškų aptvėrimo tvoromis darbai ir šiems darbams atlikti reikalingų medžiagų įsigijimas  </w:t>
                        </w:r>
                      </w:p>
                    </w:tc>
                    <w:tc>
                      <w:tcPr>
                        <w:tcW w:w="4900" w:type="dxa"/>
                      </w:tcPr>
                      <w:p>
                        <w:pPr>
                          <w:widowControl w:val="0"/>
                          <w:suppressAutoHyphens/>
                          <w:ind w:firstLine="312"/>
                          <w:jc w:val="both"/>
                          <w:rPr>
                            <w:szCs w:val="24"/>
                          </w:rPr>
                        </w:pPr>
                        <w:r>
                          <w:rPr>
                            <w:szCs w:val="24"/>
                          </w:rPr>
                          <w:t>Asignavimų valdytojas – Radviliškio rajono savivaldybės administracija, atsakingas – Žemės ūkio skyrius. Vykdytojas – VĮ Valstybinių miškų urėdija Radviliškio regioninis padalinys. Vykdymo pradžia – 2026 m. I ketv., pabaiga – 2026 m. IV ketv.</w:t>
                        </w:r>
                      </w:p>
                    </w:tc>
                    <w:tc>
                      <w:tcPr>
                        <w:tcW w:w="1368" w:type="dxa"/>
                      </w:tcPr>
                      <w:p>
                        <w:pPr>
                          <w:widowControl w:val="0"/>
                          <w:suppressAutoHyphens/>
                          <w:jc w:val="center"/>
                          <w:rPr>
                            <w:szCs w:val="24"/>
                          </w:rPr>
                        </w:pPr>
                        <w:r>
                          <w:rPr>
                            <w:szCs w:val="24"/>
                          </w:rPr>
                          <w:t>70 000</w:t>
                        </w: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tc>
                  </w:tr>
                  <w:tr>
                    <w:tc>
                      <w:tcPr>
                        <w:tcW w:w="756" w:type="dxa"/>
                      </w:tcPr>
                      <w:p>
                        <w:pPr>
                          <w:widowControl w:val="0"/>
                          <w:suppressAutoHyphens/>
                          <w:jc w:val="both"/>
                          <w:rPr>
                            <w:szCs w:val="24"/>
                          </w:rPr>
                        </w:pPr>
                        <w:r>
                          <w:rPr>
                            <w:szCs w:val="24"/>
                          </w:rPr>
                          <w:t>2.1.2.</w:t>
                        </w:r>
                      </w:p>
                    </w:tc>
                    <w:tc>
                      <w:tcPr>
                        <w:tcW w:w="2604" w:type="dxa"/>
                      </w:tcPr>
                      <w:p>
                        <w:pPr>
                          <w:widowControl w:val="0"/>
                          <w:suppressAutoHyphens/>
                          <w:ind w:firstLine="312"/>
                          <w:jc w:val="both"/>
                          <w:rPr>
                            <w:szCs w:val="24"/>
                          </w:rPr>
                        </w:pPr>
                        <w:r>
                          <w:rPr>
                            <w:szCs w:val="24"/>
                          </w:rPr>
                          <w:t xml:space="preserve">Miškų valdytojų ir savininkų repelentų įsigijimas, miške esančių želdinių ir žėlinių apdorojimo repelentais darbai, miškų aptvėrimo tvoromis darbai ir šiems darbams atlikti reikalingų medžiagų įsigijimas  </w:t>
                        </w:r>
                      </w:p>
                    </w:tc>
                    <w:tc>
                      <w:tcPr>
                        <w:tcW w:w="4900" w:type="dxa"/>
                      </w:tcPr>
                      <w:p>
                        <w:pPr>
                          <w:widowControl w:val="0"/>
                          <w:suppressAutoHyphens/>
                          <w:ind w:firstLine="312"/>
                          <w:jc w:val="both"/>
                          <w:rPr>
                            <w:szCs w:val="24"/>
                          </w:rPr>
                        </w:pPr>
                        <w:r>
                          <w:rPr>
                            <w:szCs w:val="24"/>
                          </w:rPr>
                          <w:t>Asignavimų valdytojas – Radviliškio rajono savivaldybės administracija, atsakingas – Žemės ūkio skyrius. Vykdytojas – .................... Vykdymo pradžia – 2026 m. I ketv., pabaiga – 2026 m. IV ketv.</w:t>
                        </w:r>
                      </w:p>
                      <w:p>
                        <w:pPr>
                          <w:widowControl w:val="0"/>
                          <w:suppressAutoHyphens/>
                          <w:jc w:val="both"/>
                          <w:rPr>
                            <w:szCs w:val="24"/>
                          </w:rPr>
                        </w:pPr>
                        <w:r>
                          <w:rPr>
                            <w:szCs w:val="24"/>
                          </w:rPr>
                          <w:t>(Vykdoma esant poreikiui, pateikus paraišką)</w:t>
                        </w:r>
                      </w:p>
                    </w:tc>
                    <w:tc>
                      <w:tcPr>
                        <w:tcW w:w="1368" w:type="dxa"/>
                      </w:tcPr>
                      <w:p>
                        <w:pPr>
                          <w:widowControl w:val="0"/>
                          <w:suppressAutoHyphens/>
                          <w:jc w:val="center"/>
                          <w:rPr>
                            <w:szCs w:val="24"/>
                          </w:rPr>
                        </w:pPr>
                        <w:r>
                          <w:rPr>
                            <w:szCs w:val="24"/>
                          </w:rPr>
                          <w:t>8 896</w:t>
                        </w:r>
                      </w:p>
                    </w:tc>
                  </w:tr>
                  <w:tr>
                    <w:tc>
                      <w:tcPr>
                        <w:tcW w:w="756" w:type="dxa"/>
                      </w:tcPr>
                      <w:p>
                        <w:pPr>
                          <w:widowControl w:val="0"/>
                          <w:suppressAutoHyphens/>
                          <w:jc w:val="both"/>
                          <w:rPr>
                            <w:szCs w:val="24"/>
                          </w:rPr>
                        </w:pPr>
                        <w:r>
                          <w:rPr>
                            <w:szCs w:val="24"/>
                          </w:rPr>
                          <w:t>2.2.</w:t>
                        </w:r>
                      </w:p>
                    </w:tc>
                    <w:tc>
                      <w:tcPr>
                        <w:tcW w:w="7504" w:type="dxa"/>
                        <w:gridSpan w:val="2"/>
                      </w:tcPr>
                      <w:p>
                        <w:pPr>
                          <w:widowControl w:val="0"/>
                          <w:suppressAutoHyphens/>
                          <w:ind w:firstLine="312"/>
                          <w:jc w:val="both"/>
                          <w:rPr>
                            <w:szCs w:val="24"/>
                          </w:rPr>
                        </w:pPr>
                        <w:r>
                          <w:rPr>
                            <w:szCs w:val="24"/>
                          </w:rPr>
                          <w:t>Kartografinės ir kitos medžiagos, reikalingos pagal Medžioklės įstatymo reikalavimus rengiamiems medžioklės plotų vienetų sudarymo ar jų ribų pakeitimo projektų parengimo priemonės</w:t>
                        </w:r>
                      </w:p>
                    </w:tc>
                    <w:tc>
                      <w:tcPr>
                        <w:tcW w:w="1368" w:type="dxa"/>
                      </w:tcPr>
                      <w:p>
                        <w:pPr>
                          <w:widowControl w:val="0"/>
                          <w:suppressAutoHyphens/>
                          <w:jc w:val="center"/>
                          <w:rPr>
                            <w:szCs w:val="24"/>
                          </w:rPr>
                        </w:pPr>
                      </w:p>
                    </w:tc>
                  </w:tr>
                  <w:tr>
                    <w:tc>
                      <w:tcPr>
                        <w:tcW w:w="756" w:type="dxa"/>
                      </w:tcPr>
                      <w:p>
                        <w:pPr>
                          <w:widowControl w:val="0"/>
                          <w:suppressAutoHyphens/>
                          <w:jc w:val="both"/>
                          <w:rPr>
                            <w:szCs w:val="24"/>
                          </w:rPr>
                        </w:pPr>
                        <w:r>
                          <w:rPr>
                            <w:szCs w:val="24"/>
                          </w:rPr>
                          <w:t>2.2.1.</w:t>
                        </w:r>
                      </w:p>
                    </w:tc>
                    <w:tc>
                      <w:tcPr>
                        <w:tcW w:w="2604" w:type="dxa"/>
                      </w:tcPr>
                      <w:p>
                        <w:pPr>
                          <w:widowControl w:val="0"/>
                          <w:suppressAutoHyphens/>
                          <w:ind w:firstLine="312"/>
                          <w:jc w:val="both"/>
                          <w:rPr>
                            <w:szCs w:val="24"/>
                          </w:rPr>
                        </w:pPr>
                        <w:r>
                          <w:rPr>
                            <w:szCs w:val="24"/>
                          </w:rPr>
                          <w:t>Kartografinės ir kitos medžiagos, reikalingos pagal Medžioklės įstatymo reikalavimus rengiamiems medžioklės plotų vienetų sudarymo ar jų ribų pakeitimo projektams parengti, pirkimas</w:t>
                        </w:r>
                      </w:p>
                    </w:tc>
                    <w:tc>
                      <w:tcPr>
                        <w:tcW w:w="4900" w:type="dxa"/>
                      </w:tcPr>
                      <w:p>
                        <w:pPr>
                          <w:widowControl w:val="0"/>
                          <w:suppressAutoHyphens/>
                          <w:ind w:firstLine="312"/>
                          <w:jc w:val="both"/>
                          <w:rPr>
                            <w:szCs w:val="24"/>
                          </w:rPr>
                        </w:pPr>
                        <w:r>
                          <w:rPr>
                            <w:szCs w:val="24"/>
                          </w:rPr>
                          <w:t>Asignavimų valdytojas – Radviliškio rajono savivaldybės administracija, atsakingas – Žemės ūkio skyrius. Vykdytojas – .................... Vykdymo pradžia – 2026 m. I ketv., pabaiga – 2026 m. IV ketv.</w:t>
                        </w:r>
                      </w:p>
                      <w:p>
                        <w:pPr>
                          <w:widowControl w:val="0"/>
                          <w:suppressAutoHyphens/>
                          <w:jc w:val="both"/>
                          <w:rPr>
                            <w:szCs w:val="24"/>
                          </w:rPr>
                        </w:pPr>
                        <w:r>
                          <w:rPr>
                            <w:szCs w:val="24"/>
                          </w:rPr>
                          <w:t>(Vykdoma esant poreikiui, pateikus paraišką)</w:t>
                        </w:r>
                      </w:p>
                    </w:tc>
                    <w:tc>
                      <w:tcPr>
                        <w:tcW w:w="1368" w:type="dxa"/>
                      </w:tcPr>
                      <w:p>
                        <w:pPr>
                          <w:widowControl w:val="0"/>
                          <w:suppressAutoHyphens/>
                          <w:jc w:val="center"/>
                          <w:rPr>
                            <w:szCs w:val="24"/>
                          </w:rPr>
                        </w:pPr>
                        <w:r>
                          <w:rPr>
                            <w:szCs w:val="24"/>
                          </w:rPr>
                          <w:t>0</w:t>
                        </w:r>
                      </w:p>
                    </w:tc>
                  </w:tr>
                  <w:tr>
                    <w:tc>
                      <w:tcPr>
                        <w:tcW w:w="756" w:type="dxa"/>
                      </w:tcPr>
                      <w:p>
                        <w:pPr>
                          <w:widowControl w:val="0"/>
                          <w:suppressAutoHyphens/>
                          <w:jc w:val="both"/>
                          <w:rPr>
                            <w:szCs w:val="24"/>
                          </w:rPr>
                        </w:pPr>
                        <w:r>
                          <w:rPr>
                            <w:szCs w:val="24"/>
                          </w:rPr>
                          <w:t>...</w:t>
                        </w:r>
                      </w:p>
                    </w:tc>
                    <w:tc>
                      <w:tcPr>
                        <w:tcW w:w="2604" w:type="dxa"/>
                      </w:tcPr>
                      <w:p>
                        <w:pPr>
                          <w:widowControl w:val="0"/>
                          <w:suppressAutoHyphens/>
                          <w:ind w:firstLine="312"/>
                          <w:jc w:val="both"/>
                          <w:rPr>
                            <w:szCs w:val="24"/>
                          </w:rPr>
                        </w:pPr>
                      </w:p>
                    </w:tc>
                    <w:tc>
                      <w:tcPr>
                        <w:tcW w:w="4900" w:type="dxa"/>
                      </w:tcPr>
                      <w:p>
                        <w:pPr>
                          <w:widowControl w:val="0"/>
                          <w:suppressAutoHyphens/>
                          <w:ind w:firstLine="312"/>
                          <w:jc w:val="both"/>
                          <w:rPr>
                            <w:szCs w:val="24"/>
                          </w:rPr>
                        </w:pPr>
                      </w:p>
                    </w:tc>
                    <w:tc>
                      <w:tcPr>
                        <w:tcW w:w="1368" w:type="dxa"/>
                      </w:tcPr>
                      <w:p>
                        <w:pPr>
                          <w:widowControl w:val="0"/>
                          <w:suppressAutoHyphens/>
                          <w:jc w:val="center"/>
                          <w:rPr>
                            <w:szCs w:val="24"/>
                          </w:rPr>
                        </w:pPr>
                      </w:p>
                    </w:tc>
                  </w:tr>
                  <w:tr>
                    <w:tc>
                      <w:tcPr>
                        <w:tcW w:w="756" w:type="dxa"/>
                      </w:tcPr>
                      <w:p>
                        <w:pPr>
                          <w:widowControl w:val="0"/>
                          <w:suppressAutoHyphens/>
                          <w:jc w:val="both"/>
                          <w:rPr>
                            <w:szCs w:val="24"/>
                          </w:rPr>
                        </w:pPr>
                      </w:p>
                    </w:tc>
                    <w:tc>
                      <w:tcPr>
                        <w:tcW w:w="7504" w:type="dxa"/>
                        <w:gridSpan w:val="2"/>
                      </w:tcPr>
                      <w:p>
                        <w:pPr>
                          <w:widowControl w:val="0"/>
                          <w:suppressAutoHyphens/>
                          <w:jc w:val="both"/>
                          <w:rPr>
                            <w:szCs w:val="24"/>
                          </w:rPr>
                        </w:pPr>
                        <w:r>
                          <w:rPr>
                            <w:szCs w:val="24"/>
                          </w:rPr>
                          <w:t xml:space="preserve">Iš viso: </w:t>
                        </w:r>
                      </w:p>
                    </w:tc>
                    <w:tc>
                      <w:tcPr>
                        <w:tcW w:w="1368" w:type="dxa"/>
                      </w:tcPr>
                      <w:p>
                        <w:pPr>
                          <w:widowControl w:val="0"/>
                          <w:suppressAutoHyphens/>
                          <w:jc w:val="center"/>
                          <w:rPr>
                            <w:szCs w:val="24"/>
                          </w:rPr>
                        </w:pPr>
                        <w:r>
                          <w:rPr>
                            <w:szCs w:val="24"/>
                          </w:rPr>
                          <w:t>78 896</w:t>
                        </w:r>
                      </w:p>
                    </w:tc>
                  </w:tr>
                </w:tbl>
                <w:p>
                  <w:pPr>
                    <w:jc w:val="both"/>
                    <w:rPr>
                      <w:b/>
                      <w:szCs w:val="24"/>
                    </w:rPr>
                  </w:pPr>
                </w:p>
              </w:sdtContent>
            </w:sdt>
            <w:sdt>
              <w:sdtPr>
                <w:alias w:val="frm. 3 p."/>
                <w:tag w:val="part_67ecf022f7e2432e859de71f5cc5cb04"/>
                <w:lock w:val="sdtLocked"/>
                <w:richText/>
              </w:sdtPr>
              <w:sdtContent>
                <w:p>
                  <w:pPr>
                    <w:jc w:val="both"/>
                    <w:rPr>
                      <w:b/>
                      <w:szCs w:val="24"/>
                    </w:rPr>
                  </w:pPr>
                  <w:sdt>
                    <w:sdtPr>
                      <w:alias w:val="Numeris"/>
                      <w:tag w:val="nr_67ecf022f7e2432e859de71f5cc5cb04"/>
                      <w:lock w:val="sdtLocked"/>
                      <w:richText/>
                    </w:sdtPr>
                    <w:sdtContent>
                      <w:r>
                        <w:rPr>
                          <w:b/>
                          <w:szCs w:val="24"/>
                        </w:rPr>
                        <w:t>3</w:t>
                      </w:r>
                    </w:sdtContent>
                  </w:sdt>
                  <w:r>
                    <w:rPr>
                      <w:b/>
                      <w:szCs w:val="24"/>
                    </w:rPr>
                    <w:t>. Programos lėšos, skirtos Savivaldybės visuomenės sveikatos rėmimo specialiajai programai</w:t>
                  </w:r>
                </w:p>
                <w:p>
                  <w:pPr>
                    <w:jc w:val="both"/>
                    <w:rPr>
                      <w:b/>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21"/>
                    <w:gridCol w:w="2268"/>
                  </w:tblGrid>
                  <w:tr>
                    <w:tc>
                      <w:tcPr>
                        <w:tcW w:w="7621" w:type="dxa"/>
                      </w:tcPr>
                      <w:p>
                        <w:pPr>
                          <w:widowControl w:val="0"/>
                          <w:suppressAutoHyphens/>
                          <w:jc w:val="both"/>
                          <w:rPr>
                            <w:b/>
                            <w:szCs w:val="24"/>
                          </w:rPr>
                        </w:pPr>
                        <w:r>
                          <w:rPr>
                            <w:b/>
                            <w:szCs w:val="24"/>
                          </w:rPr>
                          <w:t>Programos pavadinimas</w:t>
                        </w:r>
                      </w:p>
                    </w:tc>
                    <w:tc>
                      <w:tcPr>
                        <w:tcW w:w="2268" w:type="dxa"/>
                      </w:tcPr>
                      <w:p>
                        <w:pPr>
                          <w:widowControl w:val="0"/>
                          <w:suppressAutoHyphens/>
                          <w:jc w:val="both"/>
                          <w:rPr>
                            <w:b/>
                            <w:szCs w:val="24"/>
                          </w:rPr>
                        </w:pPr>
                        <w:r>
                          <w:rPr>
                            <w:b/>
                            <w:szCs w:val="24"/>
                          </w:rPr>
                          <w:t>Pagal sąmatą lėšų poreikis, Eur</w:t>
                        </w:r>
                      </w:p>
                    </w:tc>
                  </w:tr>
                  <w:tr>
                    <w:tc>
                      <w:tcPr>
                        <w:tcW w:w="7621" w:type="dxa"/>
                      </w:tcPr>
                      <w:p>
                        <w:pPr>
                          <w:widowControl w:val="0"/>
                          <w:suppressAutoHyphens/>
                          <w:jc w:val="both"/>
                          <w:rPr>
                            <w:b/>
                            <w:szCs w:val="24"/>
                          </w:rPr>
                        </w:pPr>
                        <w:r>
                          <w:rPr>
                            <w:b/>
                            <w:szCs w:val="24"/>
                          </w:rPr>
                          <w:t>Savivaldybės visuomenės sveikatos rėmimo specialioji programa</w:t>
                        </w:r>
                      </w:p>
                    </w:tc>
                    <w:tc>
                      <w:tcPr>
                        <w:tcW w:w="2268" w:type="dxa"/>
                      </w:tcPr>
                      <w:p>
                        <w:pPr>
                          <w:widowControl w:val="0"/>
                          <w:suppressAutoHyphens/>
                          <w:jc w:val="center"/>
                          <w:rPr>
                            <w:szCs w:val="24"/>
                          </w:rPr>
                        </w:pPr>
                        <w:r>
                          <w:rPr>
                            <w:szCs w:val="24"/>
                          </w:rPr>
                          <w:t>60 776</w:t>
                        </w:r>
                      </w:p>
                      <w:p>
                        <w:pPr>
                          <w:widowControl w:val="0"/>
                          <w:suppressAutoHyphens/>
                          <w:jc w:val="center"/>
                          <w:rPr>
                            <w:szCs w:val="24"/>
                          </w:rPr>
                        </w:pPr>
                      </w:p>
                    </w:tc>
                  </w:tr>
                </w:tbl>
                <w:p>
                  <w:pPr>
                    <w:jc w:val="both"/>
                    <w:rPr>
                      <w:b/>
                      <w:szCs w:val="24"/>
                    </w:rPr>
                  </w:pPr>
                </w:p>
              </w:sdtContent>
            </w:sdt>
            <w:sdt>
              <w:sdtPr>
                <w:alias w:val="frm. 4 p."/>
                <w:tag w:val="part_1bfe114c088a4695be561aa17135dd2f"/>
                <w:lock w:val="sdtLocked"/>
                <w:richText/>
              </w:sdtPr>
              <w:sdtContent>
                <w:p>
                  <w:pPr>
                    <w:jc w:val="both"/>
                    <w:rPr>
                      <w:b/>
                      <w:szCs w:val="24"/>
                    </w:rPr>
                  </w:pPr>
                  <w:sdt>
                    <w:sdtPr>
                      <w:alias w:val="Numeris"/>
                      <w:tag w:val="nr_1bfe114c088a4695be561aa17135dd2f"/>
                      <w:lock w:val="sdtLocked"/>
                      <w:richText/>
                    </w:sdtPr>
                    <w:sdtContent>
                      <w:r>
                        <w:rPr>
                          <w:b/>
                          <w:szCs w:val="24"/>
                        </w:rPr>
                        <w:t>4</w:t>
                      </w:r>
                    </w:sdtContent>
                  </w:sdt>
                  <w:r>
                    <w:rPr>
                      <w:b/>
                      <w:szCs w:val="24"/>
                    </w:rPr>
                    <w:t>. Kitos aplinkosaugos priemonės, kurioms įgyvendinti panaudotos Programos lėšos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2592"/>
                    <w:gridCol w:w="4801"/>
                    <w:gridCol w:w="6"/>
                    <w:gridCol w:w="1360"/>
                  </w:tblGrid>
                  <w:tr>
                    <w:trPr>
                      <w:tblHeader/>
                    </w:trPr>
                    <w:tc>
                      <w:tcPr>
                        <w:tcW w:w="869" w:type="dxa"/>
                      </w:tcPr>
                      <w:p>
                        <w:pPr>
                          <w:widowControl w:val="0"/>
                          <w:suppressAutoHyphens/>
                          <w:jc w:val="both"/>
                          <w:rPr>
                            <w:b/>
                            <w:szCs w:val="24"/>
                          </w:rPr>
                        </w:pPr>
                        <w:r>
                          <w:rPr>
                            <w:b/>
                            <w:szCs w:val="24"/>
                          </w:rPr>
                          <w:t>Eil. Nr.</w:t>
                        </w:r>
                      </w:p>
                    </w:tc>
                    <w:tc>
                      <w:tcPr>
                        <w:tcW w:w="2592" w:type="dxa"/>
                      </w:tcPr>
                      <w:p>
                        <w:pPr>
                          <w:widowControl w:val="0"/>
                          <w:suppressAutoHyphens/>
                          <w:rPr>
                            <w:szCs w:val="24"/>
                          </w:rPr>
                        </w:pPr>
                        <w:r>
                          <w:rPr>
                            <w:b/>
                            <w:szCs w:val="24"/>
                          </w:rPr>
                          <w:t>Priemonės pavadinimas</w:t>
                        </w:r>
                      </w:p>
                    </w:tc>
                    <w:tc>
                      <w:tcPr>
                        <w:tcW w:w="4807" w:type="dxa"/>
                        <w:gridSpan w:val="2"/>
                      </w:tcPr>
                      <w:p>
                        <w:pPr>
                          <w:widowControl w:val="0"/>
                          <w:suppressAutoHyphens/>
                          <w:ind w:firstLine="312"/>
                          <w:jc w:val="both"/>
                          <w:rPr>
                            <w:b/>
                            <w:szCs w:val="24"/>
                          </w:rPr>
                        </w:pPr>
                        <w:r>
                          <w:rPr>
                            <w:b/>
                            <w:szCs w:val="24"/>
                          </w:rPr>
                          <w:t>Detalus priemonės vykdymo aprašymas</w:t>
                        </w:r>
                      </w:p>
                    </w:tc>
                    <w:tc>
                      <w:tcPr>
                        <w:tcW w:w="1360" w:type="dxa"/>
                      </w:tcPr>
                      <w:p>
                        <w:pPr>
                          <w:widowControl w:val="0"/>
                          <w:suppressAutoHyphens/>
                          <w:jc w:val="both"/>
                          <w:rPr>
                            <w:b/>
                            <w:szCs w:val="24"/>
                          </w:rPr>
                        </w:pPr>
                        <w:r>
                          <w:rPr>
                            <w:b/>
                            <w:szCs w:val="24"/>
                          </w:rPr>
                          <w:t>Pagal sąmatą lėšų poreikis, Eur</w:t>
                        </w:r>
                      </w:p>
                    </w:tc>
                  </w:tr>
                  <w:tr>
                    <w:tc>
                      <w:tcPr>
                        <w:tcW w:w="869" w:type="dxa"/>
                      </w:tcPr>
                      <w:p>
                        <w:pPr>
                          <w:widowControl w:val="0"/>
                          <w:suppressAutoHyphens/>
                          <w:jc w:val="both"/>
                          <w:rPr>
                            <w:szCs w:val="24"/>
                          </w:rPr>
                        </w:pPr>
                        <w:r>
                          <w:rPr>
                            <w:szCs w:val="24"/>
                          </w:rPr>
                          <w:t>4.1.</w:t>
                        </w:r>
                      </w:p>
                    </w:tc>
                    <w:tc>
                      <w:tcPr>
                        <w:tcW w:w="7399" w:type="dxa"/>
                        <w:gridSpan w:val="3"/>
                      </w:tcPr>
                      <w:p>
                        <w:pPr>
                          <w:widowControl w:val="0"/>
                          <w:suppressAutoHyphens/>
                          <w:ind w:firstLine="13"/>
                          <w:rPr>
                            <w:b/>
                            <w:szCs w:val="24"/>
                          </w:rPr>
                        </w:pPr>
                        <w:r>
                          <w:rPr>
                            <w:b/>
                            <w:szCs w:val="24"/>
                          </w:rPr>
                          <w:t>Aplinkos kokybės gerinimo ir apsaugos priemonės</w:t>
                        </w:r>
                      </w:p>
                    </w:tc>
                    <w:tc>
                      <w:tcPr>
                        <w:tcW w:w="1360" w:type="dxa"/>
                      </w:tcPr>
                      <w:p>
                        <w:pPr>
                          <w:widowControl w:val="0"/>
                          <w:suppressAutoHyphens/>
                          <w:jc w:val="both"/>
                          <w:rPr>
                            <w:szCs w:val="24"/>
                          </w:rPr>
                        </w:pPr>
                      </w:p>
                    </w:tc>
                  </w:tr>
                  <w:tr>
                    <w:tc>
                      <w:tcPr>
                        <w:tcW w:w="869" w:type="dxa"/>
                      </w:tcPr>
                      <w:p>
                        <w:pPr>
                          <w:widowControl w:val="0"/>
                          <w:suppressAutoHyphens/>
                          <w:jc w:val="both"/>
                          <w:rPr>
                            <w:szCs w:val="24"/>
                          </w:rPr>
                        </w:pPr>
                        <w:r>
                          <w:rPr>
                            <w:szCs w:val="24"/>
                          </w:rPr>
                          <w:t>4.1.1.</w:t>
                        </w:r>
                      </w:p>
                    </w:tc>
                    <w:tc>
                      <w:tcPr>
                        <w:tcW w:w="2592" w:type="dxa"/>
                      </w:tcPr>
                      <w:p>
                        <w:pPr>
                          <w:widowControl w:val="0"/>
                          <w:suppressAutoHyphens/>
                          <w:ind w:firstLine="13"/>
                          <w:jc w:val="both"/>
                          <w:rPr>
                            <w:szCs w:val="24"/>
                          </w:rPr>
                        </w:pPr>
                        <w:r>
                          <w:rPr>
                            <w:szCs w:val="24"/>
                          </w:rPr>
                          <w:t xml:space="preserve">Teršalų, išmetamų į atmosferą, vandenį, žemės paviršių ir gilesnius jo sluoksnius, mažinimo įrenginių (pvz., nuotekų ir lietaus surinkimo, valymo, vandens tiekimo sistemos ir jų elementai) įsigijimo, projektavimo, statybos, remonto, rekonstravimo darbų finansavimas </w:t>
                        </w:r>
                        <w:r>
                          <w:rPr>
                            <w:b/>
                            <w:i/>
                            <w:szCs w:val="24"/>
                          </w:rPr>
                          <w:t>(B</w:t>
                        </w:r>
                        <w:r>
                          <w:rPr>
                            <w:b/>
                            <w:bCs/>
                            <w:i/>
                            <w:szCs w:val="24"/>
                          </w:rPr>
                          <w:t>aisogalos mstl. Taikos g.</w:t>
                        </w:r>
                        <w:r>
                          <w:rPr>
                            <w:b/>
                            <w:i/>
                            <w:szCs w:val="24"/>
                          </w:rPr>
                          <w:t xml:space="preserve"> – nuotekų siurblinės rekonstrukcija)</w:t>
                        </w: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Investicijų ir turto skyrius. Vykdytojas – Investicijų ir turto skyrius. Vykdymo pradžia – 2026 m. I ketv., pabaiga – 2026 m. IV ketv. (Dotacija UAB „Radviliškio vanduo“.)</w:t>
                        </w:r>
                      </w:p>
                    </w:tc>
                    <w:tc>
                      <w:tcPr>
                        <w:tcW w:w="1360" w:type="dxa"/>
                      </w:tcPr>
                      <w:p>
                        <w:pPr>
                          <w:widowControl w:val="0"/>
                          <w:suppressAutoHyphens/>
                          <w:jc w:val="center"/>
                          <w:rPr>
                            <w:strike/>
                            <w:szCs w:val="24"/>
                          </w:rPr>
                        </w:pPr>
                        <w:r>
                          <w:rPr>
                            <w:strike/>
                            <w:szCs w:val="24"/>
                          </w:rPr>
                          <w:t>45 000</w:t>
                        </w:r>
                      </w:p>
                      <w:p>
                        <w:pPr>
                          <w:widowControl w:val="0"/>
                          <w:suppressAutoHyphens/>
                          <w:jc w:val="center"/>
                          <w:rPr>
                            <w:b/>
                            <w:bCs/>
                            <w:szCs w:val="24"/>
                          </w:rPr>
                        </w:pPr>
                        <w:r>
                          <w:rPr>
                            <w:b/>
                            <w:bCs/>
                            <w:szCs w:val="24"/>
                          </w:rPr>
                          <w:t>60 400</w:t>
                        </w: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tc>
                  </w:tr>
                  <w:tr>
                    <w:tc>
                      <w:tcPr>
                        <w:tcW w:w="869" w:type="dxa"/>
                      </w:tcPr>
                      <w:p>
                        <w:pPr>
                          <w:widowControl w:val="0"/>
                          <w:suppressAutoHyphens/>
                          <w:jc w:val="both"/>
                          <w:rPr>
                            <w:szCs w:val="24"/>
                          </w:rPr>
                        </w:pPr>
                        <w:r>
                          <w:rPr>
                            <w:szCs w:val="24"/>
                          </w:rPr>
                          <w:t>4.1.2.</w:t>
                        </w:r>
                      </w:p>
                    </w:tc>
                    <w:tc>
                      <w:tcPr>
                        <w:tcW w:w="2592" w:type="dxa"/>
                      </w:tcPr>
                      <w:p>
                        <w:pPr>
                          <w:widowControl w:val="0"/>
                          <w:suppressAutoHyphens/>
                          <w:ind w:firstLine="13"/>
                          <w:jc w:val="both"/>
                          <w:rPr>
                            <w:szCs w:val="24"/>
                          </w:rPr>
                        </w:pPr>
                        <w:r>
                          <w:rPr>
                            <w:szCs w:val="24"/>
                          </w:rPr>
                          <w:t xml:space="preserve">Teršalų, išmetamų į atmosferą, vandenį, žemės paviršių ir gilesnius jo sluoksnius, mažinimo įrenginių (pvz., nuotekų ir lietaus surinkimo, valymo, vandens tiekimo sistemos ir jų elementai) įsigijimo, projektavimo, statybos, remonto, rekonstravimo darbų finansavimas </w:t>
                        </w:r>
                        <w:r>
                          <w:rPr>
                            <w:b/>
                            <w:szCs w:val="24"/>
                          </w:rPr>
                          <w:t>(</w:t>
                        </w:r>
                        <w:r>
                          <w:rPr>
                            <w:b/>
                            <w:i/>
                            <w:szCs w:val="24"/>
                          </w:rPr>
                          <w:t xml:space="preserve">Radviliškio rajono savivaldybės teritorijoje –  nuotekų surinkimo, valymo ir vandens tiekimo sistemos ir jų elementai, naujų tinklų tiesimas – prisidėjimas prie socialinių būstų</w:t>
                        </w:r>
                        <w:r>
                          <w:rPr>
                            <w:b/>
                            <w:szCs w:val="24"/>
                          </w:rPr>
                          <w:t>)</w:t>
                        </w: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Investicijų ir turto skyrius. Vykdytojas – Investicijų ir turto skyrius. Vykdymo pradžia – 2026 m. I ketv., pabaiga – 2026 m. IV ketv. (Dotacija UAB „Radviliškio vanduo“.)</w:t>
                        </w:r>
                      </w:p>
                    </w:tc>
                    <w:tc>
                      <w:tcPr>
                        <w:tcW w:w="1360" w:type="dxa"/>
                      </w:tcPr>
                      <w:p>
                        <w:pPr>
                          <w:widowControl w:val="0"/>
                          <w:suppressAutoHyphens/>
                          <w:ind w:firstLine="62"/>
                          <w:jc w:val="center"/>
                          <w:rPr>
                            <w:szCs w:val="24"/>
                          </w:rPr>
                        </w:pPr>
                        <w:r>
                          <w:rPr>
                            <w:szCs w:val="24"/>
                          </w:rPr>
                          <w:t>7 000</w:t>
                        </w: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tc>
                  </w:tr>
                  <w:tr>
                    <w:trPr>
                      <w:trHeight w:val="2156"/>
                    </w:trPr>
                    <w:tc>
                      <w:tcPr>
                        <w:tcW w:w="869" w:type="dxa"/>
                      </w:tcPr>
                      <w:p>
                        <w:pPr>
                          <w:widowControl w:val="0"/>
                          <w:suppressAutoHyphens/>
                          <w:jc w:val="both"/>
                          <w:rPr>
                            <w:szCs w:val="24"/>
                          </w:rPr>
                        </w:pPr>
                        <w:r>
                          <w:rPr>
                            <w:szCs w:val="24"/>
                          </w:rPr>
                          <w:t>4.1.3.</w:t>
                        </w:r>
                      </w:p>
                    </w:tc>
                    <w:tc>
                      <w:tcPr>
                        <w:tcW w:w="2592" w:type="dxa"/>
                      </w:tcPr>
                      <w:p>
                        <w:pPr>
                          <w:widowControl w:val="0"/>
                          <w:suppressAutoHyphens/>
                          <w:ind w:firstLine="13"/>
                          <w:jc w:val="both"/>
                          <w:rPr>
                            <w:szCs w:val="24"/>
                          </w:rPr>
                        </w:pPr>
                        <w:r>
                          <w:rPr>
                            <w:szCs w:val="24"/>
                          </w:rPr>
                          <w:t>Teritorijoje esančių valstybės saugomų teritorijų apsaugos ir tvarkymo darbai (tako nuo Šiaulės bokšto iki automobilių sustojimo aikštelės ir pažintinių stendų atnaujinimui)</w:t>
                        </w: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Žemaitijos saugomų teritorijų direkcija (Tytuvėnų regioninis parkas). Vykdymo pradžia – 2026 m. I ketv., pabaiga – 2026 m. III ketv.</w:t>
                        </w:r>
                      </w:p>
                    </w:tc>
                    <w:tc>
                      <w:tcPr>
                        <w:tcW w:w="1360" w:type="dxa"/>
                      </w:tcPr>
                      <w:p>
                        <w:pPr>
                          <w:widowControl w:val="0"/>
                          <w:suppressAutoHyphens/>
                          <w:ind w:firstLine="62"/>
                          <w:jc w:val="center"/>
                          <w:rPr>
                            <w:szCs w:val="24"/>
                          </w:rPr>
                        </w:pPr>
                        <w:r>
                          <w:rPr>
                            <w:szCs w:val="24"/>
                          </w:rPr>
                          <w:t xml:space="preserve">5 000 </w:t>
                        </w:r>
                      </w:p>
                    </w:tc>
                  </w:tr>
                  <w:tr>
                    <w:trPr>
                      <w:trHeight w:val="1635"/>
                    </w:trPr>
                    <w:tc>
                      <w:tcPr>
                        <w:tcW w:w="869" w:type="dxa"/>
                        <w:vMerge w:val="restart"/>
                      </w:tcPr>
                      <w:p>
                        <w:pPr>
                          <w:widowControl w:val="0"/>
                          <w:suppressAutoHyphens/>
                          <w:jc w:val="both"/>
                          <w:rPr>
                            <w:szCs w:val="24"/>
                          </w:rPr>
                        </w:pPr>
                        <w:r>
                          <w:rPr>
                            <w:szCs w:val="24"/>
                          </w:rPr>
                          <w:t>4.1.4.</w:t>
                        </w:r>
                      </w:p>
                    </w:tc>
                    <w:tc>
                      <w:tcPr>
                        <w:tcW w:w="2592" w:type="dxa"/>
                        <w:vMerge w:val="restart"/>
                      </w:tcPr>
                      <w:p>
                        <w:pPr>
                          <w:snapToGrid w:val="0"/>
                          <w:jc w:val="both"/>
                          <w:rPr>
                            <w:szCs w:val="24"/>
                            <w:lang w:eastAsia="lt-LT"/>
                          </w:rPr>
                        </w:pPr>
                        <w:r>
                          <w:rPr>
                            <w:szCs w:val="24"/>
                            <w:lang w:eastAsia="lt-LT"/>
                          </w:rPr>
                          <w:t>Teritorijoje esančių valstybės saugomų teritorijų apsaugos ir tvarkymo darbai (šienavimas, menkaverčių krūmų iškirtimas)</w:t>
                        </w:r>
                      </w:p>
                    </w:tc>
                    <w:tc>
                      <w:tcPr>
                        <w:tcW w:w="4807" w:type="dxa"/>
                        <w:gridSpan w:val="2"/>
                      </w:tcPr>
                      <w:p>
                        <w:pPr>
                          <w:widowControl w:val="0"/>
                          <w:suppressAutoHyphens/>
                          <w:ind w:firstLine="13"/>
                          <w:jc w:val="both"/>
                          <w:rPr>
                            <w:szCs w:val="24"/>
                          </w:rPr>
                        </w:pPr>
                        <w:r>
                          <w:rPr>
                            <w:szCs w:val="24"/>
                            <w:lang w:val="en-US"/>
                          </w:rPr>
                          <w:t>Asignavimų valdytojas – Radviliškio rajono savivaldybės administracija, atsakingas – Šaukoto seniūnija. Vykdytojas – Šaukoto seniūnija. Vykdymo pradžia – 2026 m. I ketv., pabaiga – 2026 m. IV ketv.</w:t>
                        </w:r>
                      </w:p>
                    </w:tc>
                    <w:tc>
                      <w:tcPr>
                        <w:tcW w:w="1360" w:type="dxa"/>
                      </w:tcPr>
                      <w:p>
                        <w:pPr>
                          <w:widowControl w:val="0"/>
                          <w:suppressAutoHyphens/>
                          <w:jc w:val="center"/>
                          <w:rPr>
                            <w:szCs w:val="24"/>
                          </w:rPr>
                        </w:pPr>
                        <w:r>
                          <w:rPr>
                            <w:szCs w:val="24"/>
                          </w:rPr>
                          <w:t>2 500</w:t>
                        </w:r>
                      </w:p>
                      <w:p>
                        <w:pPr>
                          <w:widowControl w:val="0"/>
                          <w:suppressAutoHyphens/>
                          <w:jc w:val="center"/>
                          <w:rPr>
                            <w:szCs w:val="24"/>
                          </w:rPr>
                        </w:pPr>
                      </w:p>
                    </w:tc>
                  </w:tr>
                  <w:tr>
                    <w:trPr>
                      <w:trHeight w:val="1436"/>
                    </w:trPr>
                    <w:tc>
                      <w:tcPr>
                        <w:tcW w:w="869" w:type="dxa"/>
                        <w:vMerge/>
                      </w:tcPr>
                      <w:p>
                        <w:pPr>
                          <w:widowControl w:val="0"/>
                          <w:suppressAutoHyphens/>
                          <w:jc w:val="both"/>
                          <w:rPr>
                            <w:szCs w:val="24"/>
                          </w:rPr>
                        </w:pPr>
                      </w:p>
                    </w:tc>
                    <w:tc>
                      <w:tcPr>
                        <w:tcW w:w="2592" w:type="dxa"/>
                        <w:vMerge/>
                      </w:tcPr>
                      <w:p>
                        <w:pPr>
                          <w:snapToGrid w:val="0"/>
                          <w:jc w:val="both"/>
                          <w:rPr>
                            <w:szCs w:val="24"/>
                            <w:lang w:eastAsia="lt-LT"/>
                          </w:rPr>
                        </w:pPr>
                      </w:p>
                    </w:tc>
                    <w:tc>
                      <w:tcPr>
                        <w:tcW w:w="4807" w:type="dxa"/>
                        <w:gridSpan w:val="2"/>
                      </w:tcPr>
                      <w:p>
                        <w:pPr>
                          <w:widowControl w:val="0"/>
                          <w:suppressAutoHyphens/>
                          <w:ind w:firstLine="13"/>
                          <w:jc w:val="both"/>
                          <w:rPr>
                            <w:szCs w:val="24"/>
                            <w:lang w:val="en-US"/>
                          </w:rPr>
                        </w:pPr>
                        <w:r>
                          <w:rPr>
                            <w:szCs w:val="24"/>
                            <w:lang w:val="en-US"/>
                          </w:rPr>
                          <w:t>Asignavimų valdytojas – Radviliškio rajono savivaldybės administracija, atsakingas – Šiaulėnų seniūnija. Vykdytojas – Šiaulėnų seniūnija. Vykdymo pradžia – 2026 m. I ketv., pabaiga – 2026 m. IV ketv.</w:t>
                        </w:r>
                      </w:p>
                      <w:p>
                        <w:pPr>
                          <w:widowControl w:val="0"/>
                          <w:suppressAutoHyphens/>
                          <w:ind w:firstLine="13"/>
                          <w:jc w:val="both"/>
                          <w:rPr>
                            <w:szCs w:val="24"/>
                            <w:lang w:val="en-US"/>
                          </w:rPr>
                        </w:pPr>
                      </w:p>
                    </w:tc>
                    <w:tc>
                      <w:tcPr>
                        <w:tcW w:w="1360" w:type="dxa"/>
                      </w:tcPr>
                      <w:p>
                        <w:pPr>
                          <w:widowControl w:val="0"/>
                          <w:suppressAutoHyphens/>
                          <w:jc w:val="center"/>
                          <w:rPr>
                            <w:szCs w:val="24"/>
                          </w:rPr>
                        </w:pPr>
                        <w:r>
                          <w:rPr>
                            <w:szCs w:val="24"/>
                          </w:rPr>
                          <w:t>500</w:t>
                        </w:r>
                      </w:p>
                      <w:p>
                        <w:pPr>
                          <w:widowControl w:val="0"/>
                          <w:suppressAutoHyphens/>
                          <w:jc w:val="center"/>
                          <w:rPr>
                            <w:szCs w:val="24"/>
                          </w:rPr>
                        </w:pPr>
                      </w:p>
                      <w:p>
                        <w:pPr>
                          <w:widowControl w:val="0"/>
                          <w:suppressAutoHyphens/>
                          <w:jc w:val="center"/>
                          <w:rPr>
                            <w:szCs w:val="24"/>
                          </w:rPr>
                        </w:pPr>
                      </w:p>
                    </w:tc>
                  </w:tr>
                  <w:tr>
                    <w:trPr>
                      <w:trHeight w:val="780"/>
                    </w:trPr>
                    <w:tc>
                      <w:tcPr>
                        <w:tcW w:w="869" w:type="dxa"/>
                        <w:vMerge w:val="restart"/>
                        <w:tcBorders>
                          <w:top w:val="single" w:sz="4" w:space="0" w:color="auto"/>
                          <w:left w:val="single" w:sz="4" w:space="0" w:color="auto"/>
                          <w:right w:val="single" w:sz="4" w:space="0" w:color="auto"/>
                        </w:tcBorders>
                      </w:tcPr>
                      <w:p>
                        <w:pPr>
                          <w:widowControl w:val="0"/>
                          <w:suppressAutoHyphens/>
                          <w:jc w:val="both"/>
                          <w:rPr>
                            <w:szCs w:val="24"/>
                          </w:rPr>
                        </w:pPr>
                        <w:r>
                          <w:rPr>
                            <w:szCs w:val="24"/>
                          </w:rPr>
                          <w:t>4.1.5.</w:t>
                        </w:r>
                      </w:p>
                    </w:tc>
                    <w:tc>
                      <w:tcPr>
                        <w:tcW w:w="2592" w:type="dxa"/>
                        <w:vMerge w:val="restart"/>
                        <w:tcBorders>
                          <w:top w:val="single" w:sz="4" w:space="0" w:color="auto"/>
                          <w:left w:val="single" w:sz="4" w:space="0" w:color="auto"/>
                          <w:right w:val="single" w:sz="4" w:space="0" w:color="auto"/>
                        </w:tcBorders>
                      </w:tcPr>
                      <w:p>
                        <w:pPr>
                          <w:widowControl w:val="0"/>
                          <w:suppressAutoHyphens/>
                          <w:ind w:firstLine="13"/>
                          <w:jc w:val="both"/>
                          <w:rPr>
                            <w:szCs w:val="24"/>
                          </w:rPr>
                        </w:pPr>
                        <w:r>
                          <w:rPr>
                            <w:szCs w:val="24"/>
                          </w:rPr>
                          <w:t>Invazinių Lietuvoje rūšių sąraše esančių rūšių</w:t>
                        </w:r>
                        <w:r>
                          <w:rPr>
                            <w:szCs w:val="24"/>
                            <w:lang w:val="en-US"/>
                          </w:rPr>
                          <w:t xml:space="preserve"> </w:t>
                        </w:r>
                        <w:r>
                          <w:rPr>
                            <w:szCs w:val="24"/>
                          </w:rPr>
                          <w:t>gausos reguliavimo ir naikinimo darbai</w:t>
                        </w:r>
                      </w:p>
                    </w:tc>
                    <w:tc>
                      <w:tcPr>
                        <w:tcW w:w="4807" w:type="dxa"/>
                        <w:gridSpan w:val="2"/>
                        <w:tcBorders>
                          <w:top w:val="single" w:sz="4" w:space="0" w:color="auto"/>
                          <w:left w:val="single" w:sz="4" w:space="0" w:color="auto"/>
                          <w:right w:val="single" w:sz="4" w:space="0" w:color="auto"/>
                        </w:tcBorders>
                      </w:tcPr>
                      <w:p>
                        <w:pPr>
                          <w:widowControl w:val="0"/>
                          <w:suppressAutoHyphens/>
                          <w:ind w:firstLine="13"/>
                          <w:jc w:val="both"/>
                          <w:rPr>
                            <w:szCs w:val="24"/>
                          </w:rPr>
                        </w:pPr>
                        <w:r>
                          <w:rPr>
                            <w:szCs w:val="24"/>
                          </w:rPr>
                          <w:t>Asignavimų valdytojas – Radviliškio rajono savivaldybės administracija, atsakingas – Radviliškio miesto seniūnija. Vykdytojas – Radviliškio miesto seniūnija. Vykdymo pradžia – 2026 m. I ketv., pabaiga – 2026 m. III ketv.</w:t>
                        </w:r>
                      </w:p>
                    </w:tc>
                    <w:tc>
                      <w:tcPr>
                        <w:tcW w:w="1360" w:type="dxa"/>
                        <w:tcBorders>
                          <w:top w:val="single" w:sz="4" w:space="0" w:color="auto"/>
                          <w:left w:val="single" w:sz="4" w:space="0" w:color="auto"/>
                          <w:right w:val="single" w:sz="4" w:space="0" w:color="auto"/>
                        </w:tcBorders>
                      </w:tcPr>
                      <w:p>
                        <w:pPr>
                          <w:widowControl w:val="0"/>
                          <w:suppressAutoHyphens/>
                          <w:jc w:val="center"/>
                          <w:rPr>
                            <w:szCs w:val="24"/>
                          </w:rPr>
                        </w:pPr>
                        <w:r>
                          <w:rPr>
                            <w:szCs w:val="24"/>
                          </w:rPr>
                          <w:t>3 000</w:t>
                        </w:r>
                      </w:p>
                      <w:p>
                        <w:pPr>
                          <w:widowControl w:val="0"/>
                          <w:suppressAutoHyphens/>
                          <w:jc w:val="center"/>
                          <w:rPr>
                            <w:szCs w:val="24"/>
                          </w:rPr>
                        </w:pPr>
                      </w:p>
                    </w:tc>
                  </w:tr>
                  <w:tr>
                    <w:trPr>
                      <w:trHeight w:val="780"/>
                    </w:trPr>
                    <w:tc>
                      <w:tcPr>
                        <w:tcW w:w="869" w:type="dxa"/>
                        <w:vMerge/>
                        <w:tcBorders>
                          <w:left w:val="single" w:sz="4" w:space="0" w:color="auto"/>
                          <w:right w:val="single" w:sz="4" w:space="0" w:color="auto"/>
                        </w:tcBorders>
                      </w:tcPr>
                      <w:p>
                        <w:pPr>
                          <w:widowControl w:val="0"/>
                          <w:suppressAutoHyphens/>
                          <w:jc w:val="both"/>
                          <w:rPr>
                            <w:szCs w:val="24"/>
                          </w:rPr>
                        </w:pPr>
                      </w:p>
                    </w:tc>
                    <w:tc>
                      <w:tcPr>
                        <w:tcW w:w="2592" w:type="dxa"/>
                        <w:vMerge/>
                        <w:tcBorders>
                          <w:left w:val="single" w:sz="4" w:space="0" w:color="auto"/>
                          <w:right w:val="single" w:sz="4" w:space="0" w:color="auto"/>
                        </w:tcBorders>
                      </w:tcPr>
                      <w:p>
                        <w:pPr>
                          <w:widowControl w:val="0"/>
                          <w:suppressAutoHyphens/>
                          <w:ind w:firstLine="13"/>
                          <w:jc w:val="both"/>
                          <w:rPr>
                            <w:szCs w:val="24"/>
                          </w:rPr>
                        </w:pPr>
                      </w:p>
                    </w:tc>
                    <w:tc>
                      <w:tcPr>
                        <w:tcW w:w="4807" w:type="dxa"/>
                        <w:gridSpan w:val="2"/>
                        <w:tcBorders>
                          <w:top w:val="single" w:sz="4" w:space="0" w:color="auto"/>
                          <w:left w:val="single" w:sz="4" w:space="0" w:color="auto"/>
                          <w:right w:val="single" w:sz="4" w:space="0" w:color="auto"/>
                        </w:tcBorders>
                      </w:tcPr>
                      <w:p>
                        <w:pPr>
                          <w:widowControl w:val="0"/>
                          <w:suppressAutoHyphens/>
                          <w:ind w:firstLine="13"/>
                          <w:jc w:val="both"/>
                          <w:rPr>
                            <w:szCs w:val="24"/>
                          </w:rPr>
                        </w:pPr>
                        <w:r>
                          <w:rPr>
                            <w:szCs w:val="24"/>
                          </w:rPr>
                          <w:t>Asignavimų valdytojas – Radviliškio rajono savivaldybės administracija, atsakingas – Grinkiškio seniūnija. Vykdytojas – Grinkiškio seniūnija. Vykdymo pradžia – 2026 m. I ketv., pabaiga – 2026 m. III ketv.</w:t>
                        </w:r>
                      </w:p>
                    </w:tc>
                    <w:tc>
                      <w:tcPr>
                        <w:tcW w:w="1360" w:type="dxa"/>
                        <w:tcBorders>
                          <w:left w:val="single" w:sz="4" w:space="0" w:color="auto"/>
                          <w:right w:val="single" w:sz="4" w:space="0" w:color="auto"/>
                        </w:tcBorders>
                      </w:tcPr>
                      <w:p>
                        <w:pPr>
                          <w:widowControl w:val="0"/>
                          <w:suppressAutoHyphens/>
                          <w:jc w:val="center"/>
                          <w:rPr>
                            <w:szCs w:val="24"/>
                          </w:rPr>
                        </w:pPr>
                        <w:r>
                          <w:rPr>
                            <w:szCs w:val="24"/>
                          </w:rPr>
                          <w:t>4 500</w:t>
                        </w:r>
                      </w:p>
                      <w:p>
                        <w:pPr>
                          <w:widowControl w:val="0"/>
                          <w:suppressAutoHyphens/>
                          <w:jc w:val="center"/>
                          <w:rPr>
                            <w:szCs w:val="24"/>
                          </w:rPr>
                        </w:pPr>
                      </w:p>
                    </w:tc>
                  </w:tr>
                  <w:tr>
                    <w:trPr>
                      <w:trHeight w:val="278"/>
                    </w:trPr>
                    <w:tc>
                      <w:tcPr>
                        <w:tcW w:w="869" w:type="dxa"/>
                        <w:vMerge w:val="restart"/>
                        <w:tcBorders>
                          <w:left w:val="single" w:sz="4" w:space="0" w:color="auto"/>
                          <w:right w:val="single" w:sz="4" w:space="0" w:color="auto"/>
                        </w:tcBorders>
                      </w:tcPr>
                      <w:p>
                        <w:pPr>
                          <w:widowControl w:val="0"/>
                          <w:suppressAutoHyphens/>
                          <w:jc w:val="both"/>
                          <w:rPr>
                            <w:szCs w:val="24"/>
                          </w:rPr>
                        </w:pPr>
                        <w:r>
                          <w:rPr>
                            <w:szCs w:val="24"/>
                          </w:rPr>
                          <w:t>4.1.6.</w:t>
                        </w:r>
                      </w:p>
                    </w:tc>
                    <w:tc>
                      <w:tcPr>
                        <w:tcW w:w="2592" w:type="dxa"/>
                        <w:vMerge w:val="restart"/>
                        <w:tcBorders>
                          <w:left w:val="single" w:sz="4" w:space="0" w:color="auto"/>
                          <w:right w:val="single" w:sz="4" w:space="0" w:color="auto"/>
                        </w:tcBorders>
                      </w:tcPr>
                      <w:p>
                        <w:pPr>
                          <w:widowControl w:val="0"/>
                          <w:suppressAutoHyphens/>
                          <w:ind w:firstLine="13"/>
                          <w:jc w:val="both"/>
                          <w:rPr>
                            <w:szCs w:val="24"/>
                          </w:rPr>
                        </w:pPr>
                        <w:r>
                          <w:rPr>
                            <w:szCs w:val="24"/>
                          </w:rPr>
                          <w:t xml:space="preserve">Varninių paukščių  gausos reguliavimas</w:t>
                        </w:r>
                      </w:p>
                    </w:tc>
                    <w:tc>
                      <w:tcPr>
                        <w:tcW w:w="4807" w:type="dxa"/>
                        <w:gridSpan w:val="2"/>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 xml:space="preserve">Asignavimų valdytojas – Radviliškio rajono savivaldybės administracija, atsakingas – Radviliškio miesto seniūnija. Vykdytojas – Radviliškio miesto seniūnija. Vykdymo pradžia – 2026 m. I ketv. (iki kovo 1 d.), pabaiga – 2026 m. IV ketv. (nuo liepos 1 d.) </w:t>
                        </w:r>
                      </w:p>
                    </w:tc>
                    <w:tc>
                      <w:tcPr>
                        <w:tcW w:w="1360" w:type="dxa"/>
                        <w:tcBorders>
                          <w:left w:val="single" w:sz="4" w:space="0" w:color="auto"/>
                          <w:right w:val="single" w:sz="4" w:space="0" w:color="auto"/>
                        </w:tcBorders>
                      </w:tcPr>
                      <w:p>
                        <w:pPr>
                          <w:widowControl w:val="0"/>
                          <w:suppressAutoHyphens/>
                          <w:jc w:val="center"/>
                          <w:rPr>
                            <w:szCs w:val="24"/>
                          </w:rPr>
                        </w:pPr>
                        <w:r>
                          <w:rPr>
                            <w:szCs w:val="24"/>
                          </w:rPr>
                          <w:t>2 000</w:t>
                        </w:r>
                      </w:p>
                      <w:p>
                        <w:pPr>
                          <w:widowControl w:val="0"/>
                          <w:suppressAutoHyphens/>
                          <w:jc w:val="center"/>
                          <w:rPr>
                            <w:szCs w:val="24"/>
                          </w:rPr>
                        </w:pPr>
                      </w:p>
                    </w:tc>
                  </w:tr>
                  <w:tr>
                    <w:trPr>
                      <w:trHeight w:val="277"/>
                    </w:trPr>
                    <w:tc>
                      <w:tcPr>
                        <w:tcW w:w="869" w:type="dxa"/>
                        <w:vMerge/>
                        <w:tcBorders>
                          <w:left w:val="single" w:sz="4" w:space="0" w:color="auto"/>
                          <w:bottom w:val="single" w:sz="4" w:space="0" w:color="auto"/>
                          <w:right w:val="single" w:sz="4" w:space="0" w:color="auto"/>
                        </w:tcBorders>
                      </w:tcPr>
                      <w:p>
                        <w:pPr>
                          <w:widowControl w:val="0"/>
                          <w:suppressAutoHyphens/>
                          <w:jc w:val="both"/>
                          <w:rPr>
                            <w:szCs w:val="24"/>
                          </w:rPr>
                        </w:pPr>
                      </w:p>
                    </w:tc>
                    <w:tc>
                      <w:tcPr>
                        <w:tcW w:w="2592" w:type="dxa"/>
                        <w:vMerge/>
                        <w:tcBorders>
                          <w:left w:val="single" w:sz="4" w:space="0" w:color="auto"/>
                          <w:bottom w:val="single" w:sz="4" w:space="0" w:color="auto"/>
                          <w:right w:val="single" w:sz="4" w:space="0" w:color="auto"/>
                        </w:tcBorders>
                      </w:tcPr>
                      <w:p>
                        <w:pPr>
                          <w:widowControl w:val="0"/>
                          <w:suppressAutoHyphens/>
                          <w:ind w:firstLine="13"/>
                          <w:jc w:val="both"/>
                          <w:rPr>
                            <w:szCs w:val="24"/>
                          </w:rPr>
                        </w:pPr>
                      </w:p>
                    </w:tc>
                    <w:tc>
                      <w:tcPr>
                        <w:tcW w:w="4807" w:type="dxa"/>
                        <w:gridSpan w:val="2"/>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 xml:space="preserve">Asignavimų valdytojas – Radviliškio rajono savivaldybės administracija, atsakingas – Šeduvos miesto seniūnija. Vykdytojas – Šeduvos miesto seniūnija. Vykdymo pradžia – 2026 m. I ketv. (iki kovo 1 d.), pabaiga – 2026 m. IV ketv. (nuo liepos 1 d.) </w:t>
                        </w:r>
                      </w:p>
                    </w:tc>
                    <w:tc>
                      <w:tcPr>
                        <w:tcW w:w="1360" w:type="dxa"/>
                        <w:tcBorders>
                          <w:left w:val="single" w:sz="4" w:space="0" w:color="auto"/>
                          <w:bottom w:val="single" w:sz="4" w:space="0" w:color="auto"/>
                          <w:right w:val="single" w:sz="4" w:space="0" w:color="auto"/>
                        </w:tcBorders>
                      </w:tcPr>
                      <w:p>
                        <w:pPr>
                          <w:widowControl w:val="0"/>
                          <w:suppressAutoHyphens/>
                          <w:ind w:firstLine="62"/>
                          <w:jc w:val="center"/>
                          <w:rPr>
                            <w:szCs w:val="24"/>
                          </w:rPr>
                        </w:pPr>
                        <w:r>
                          <w:rPr>
                            <w:szCs w:val="24"/>
                          </w:rPr>
                          <w:t>1 600</w:t>
                        </w:r>
                      </w:p>
                      <w:p>
                        <w:pPr>
                          <w:widowControl w:val="0"/>
                          <w:suppressAutoHyphens/>
                          <w:jc w:val="center"/>
                          <w:rPr>
                            <w:szCs w:val="24"/>
                          </w:rPr>
                        </w:pPr>
                      </w:p>
                    </w:tc>
                  </w:tr>
                  <w:tr>
                    <w:trPr>
                      <w:trHeight w:val="277"/>
                    </w:trPr>
                    <w:tc>
                      <w:tcPr>
                        <w:tcW w:w="869" w:type="dxa"/>
                        <w:tcBorders>
                          <w:left w:val="single" w:sz="4" w:space="0" w:color="auto"/>
                          <w:bottom w:val="single" w:sz="4" w:space="0" w:color="auto"/>
                          <w:right w:val="single" w:sz="4" w:space="0" w:color="auto"/>
                        </w:tcBorders>
                      </w:tcPr>
                      <w:p>
                        <w:pPr>
                          <w:widowControl w:val="0"/>
                          <w:suppressAutoHyphens/>
                          <w:jc w:val="both"/>
                          <w:rPr>
                            <w:szCs w:val="24"/>
                          </w:rPr>
                        </w:pPr>
                        <w:r>
                          <w:rPr>
                            <w:szCs w:val="24"/>
                          </w:rPr>
                          <w:t>4.1.7.</w:t>
                        </w:r>
                      </w:p>
                    </w:tc>
                    <w:tc>
                      <w:tcPr>
                        <w:tcW w:w="2592" w:type="dxa"/>
                        <w:tcBorders>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Savivaldybei patikėjimo teise perleistų vandens telkinių įžuvinimo ir žuvų gelbėjimo, jų dusimo atveju, darbai</w:t>
                        </w:r>
                      </w:p>
                    </w:tc>
                    <w:tc>
                      <w:tcPr>
                        <w:tcW w:w="4807" w:type="dxa"/>
                        <w:gridSpan w:val="2"/>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Asignavimų valdytojas – Radviliškio rajono savivaldybės administracija, atsakingas – Tyrulių seniūnija. Vykdytojas – Tyrulių seniūnija. Vykdymo pradžia – 2026 m. I ketv., pabaiga – 2026 m. IV ketv.</w:t>
                        </w:r>
                      </w:p>
                    </w:tc>
                    <w:tc>
                      <w:tcPr>
                        <w:tcW w:w="1360" w:type="dxa"/>
                        <w:tcBorders>
                          <w:left w:val="single" w:sz="4" w:space="0" w:color="auto"/>
                          <w:bottom w:val="single" w:sz="4" w:space="0" w:color="auto"/>
                          <w:right w:val="single" w:sz="4" w:space="0" w:color="auto"/>
                        </w:tcBorders>
                      </w:tcPr>
                      <w:p>
                        <w:pPr>
                          <w:widowControl w:val="0"/>
                          <w:suppressAutoHyphens/>
                          <w:jc w:val="center"/>
                          <w:rPr>
                            <w:strike/>
                            <w:szCs w:val="24"/>
                          </w:rPr>
                        </w:pPr>
                        <w:r>
                          <w:rPr>
                            <w:strike/>
                            <w:szCs w:val="24"/>
                          </w:rPr>
                          <w:t>1 000</w:t>
                        </w:r>
                      </w:p>
                      <w:p>
                        <w:pPr>
                          <w:widowControl w:val="0"/>
                          <w:suppressAutoHyphens/>
                          <w:jc w:val="center"/>
                          <w:rPr>
                            <w:b/>
                            <w:bCs/>
                            <w:szCs w:val="24"/>
                          </w:rPr>
                        </w:pPr>
                        <w:r>
                          <w:rPr>
                            <w:b/>
                            <w:bCs/>
                            <w:szCs w:val="24"/>
                          </w:rPr>
                          <w:t>1 600</w:t>
                        </w:r>
                      </w:p>
                      <w:p>
                        <w:pPr>
                          <w:widowControl w:val="0"/>
                          <w:suppressAutoHyphens/>
                          <w:jc w:val="center"/>
                          <w:rPr>
                            <w:szCs w:val="24"/>
                          </w:rPr>
                        </w:pPr>
                      </w:p>
                      <w:p>
                        <w:pPr>
                          <w:widowControl w:val="0"/>
                          <w:suppressAutoHyphens/>
                          <w:jc w:val="center"/>
                          <w:rPr>
                            <w:szCs w:val="24"/>
                          </w:rPr>
                        </w:pPr>
                      </w:p>
                    </w:tc>
                  </w:tr>
                  <w:tr>
                    <w:trPr>
                      <w:trHeight w:val="277"/>
                    </w:trPr>
                    <w:tc>
                      <w:tcPr>
                        <w:tcW w:w="869" w:type="dxa"/>
                        <w:tcBorders>
                          <w:left w:val="single" w:sz="4" w:space="0" w:color="auto"/>
                          <w:bottom w:val="single" w:sz="4" w:space="0" w:color="auto"/>
                          <w:right w:val="single" w:sz="4" w:space="0" w:color="auto"/>
                        </w:tcBorders>
                      </w:tcPr>
                      <w:p>
                        <w:pPr>
                          <w:widowControl w:val="0"/>
                          <w:suppressAutoHyphens/>
                          <w:jc w:val="both"/>
                          <w:rPr>
                            <w:szCs w:val="24"/>
                          </w:rPr>
                        </w:pPr>
                        <w:r>
                          <w:rPr>
                            <w:szCs w:val="24"/>
                          </w:rPr>
                          <w:t>4.1.8.</w:t>
                        </w:r>
                      </w:p>
                    </w:tc>
                    <w:tc>
                      <w:tcPr>
                        <w:tcW w:w="2592" w:type="dxa"/>
                        <w:tcBorders>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Teršalų, išmetamų į atmosferą, vandenį, žemės paviršių ir gilesnius jo sluoksnius, mažinimo įrenginių (pvz., nuotekų ir lietaus surinkimo, valymo, vandens tiekimo sistemos ir jų elementai) įsigijimo, projektavimo, statybos, remonto, rekonstravimo darbų finansavimas (Baisogalos ir Pakiršinio vandens gerinimo įrenginių rekonstrukcija)</w:t>
                        </w:r>
                      </w:p>
                    </w:tc>
                    <w:tc>
                      <w:tcPr>
                        <w:tcW w:w="4807" w:type="dxa"/>
                        <w:gridSpan w:val="2"/>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Asignavimų valdytojas – Radviliškio rajono savivaldybės administracija, atsakingas – Investicijų ir turto skyrius. Vykdytojas – Investicijų ir turto skyrius. Vykdymo pradžia – 2026 m. I ketv., pabaiga – 2026 m. IV ketv. (Dotacija UAB „Radviliškio vanduo“.)</w:t>
                        </w:r>
                      </w:p>
                      <w:p>
                        <w:pPr>
                          <w:widowControl w:val="0"/>
                          <w:suppressAutoHyphens/>
                          <w:ind w:firstLine="13"/>
                          <w:jc w:val="both"/>
                          <w:rPr>
                            <w:szCs w:val="24"/>
                          </w:rPr>
                        </w:pPr>
                      </w:p>
                    </w:tc>
                    <w:tc>
                      <w:tcPr>
                        <w:tcW w:w="1360" w:type="dxa"/>
                        <w:tcBorders>
                          <w:left w:val="single" w:sz="4" w:space="0" w:color="auto"/>
                          <w:bottom w:val="single" w:sz="4" w:space="0" w:color="auto"/>
                          <w:right w:val="single" w:sz="4" w:space="0" w:color="auto"/>
                        </w:tcBorders>
                      </w:tcPr>
                      <w:p>
                        <w:pPr>
                          <w:jc w:val="center"/>
                          <w:rPr>
                            <w:szCs w:val="24"/>
                          </w:rPr>
                        </w:pPr>
                        <w:r>
                          <w:rPr>
                            <w:szCs w:val="24"/>
                          </w:rPr>
                          <w:t>10 000</w:t>
                        </w:r>
                      </w:p>
                      <w:p>
                        <w:pPr>
                          <w:ind w:firstLine="312"/>
                          <w:jc w:val="center"/>
                          <w:rPr>
                            <w:szCs w:val="24"/>
                          </w:rPr>
                        </w:pPr>
                      </w:p>
                      <w:p>
                        <w:pPr>
                          <w:ind w:firstLine="312"/>
                          <w:jc w:val="center"/>
                          <w:rPr>
                            <w:szCs w:val="24"/>
                          </w:rPr>
                        </w:pPr>
                      </w:p>
                      <w:p>
                        <w:pPr>
                          <w:ind w:firstLine="312"/>
                          <w:jc w:val="center"/>
                          <w:rPr>
                            <w:szCs w:val="24"/>
                          </w:rPr>
                        </w:pPr>
                      </w:p>
                      <w:p>
                        <w:pPr>
                          <w:widowControl w:val="0"/>
                          <w:suppressAutoHyphens/>
                          <w:jc w:val="center"/>
                          <w:rPr>
                            <w:szCs w:val="24"/>
                          </w:rPr>
                        </w:pPr>
                      </w:p>
                    </w:tc>
                  </w:tr>
                  <w:tr>
                    <w:trPr>
                      <w:trHeight w:val="277"/>
                    </w:trPr>
                    <w:tc>
                      <w:tcPr>
                        <w:tcW w:w="869" w:type="dxa"/>
                        <w:tcBorders>
                          <w:left w:val="single" w:sz="4" w:space="0" w:color="auto"/>
                          <w:bottom w:val="single" w:sz="4" w:space="0" w:color="auto"/>
                          <w:right w:val="single" w:sz="4" w:space="0" w:color="auto"/>
                        </w:tcBorders>
                      </w:tcPr>
                      <w:p>
                        <w:pPr>
                          <w:widowControl w:val="0"/>
                          <w:suppressAutoHyphens/>
                          <w:jc w:val="both"/>
                          <w:rPr>
                            <w:b/>
                            <w:bCs/>
                            <w:szCs w:val="24"/>
                          </w:rPr>
                        </w:pPr>
                        <w:r>
                          <w:rPr>
                            <w:b/>
                            <w:bCs/>
                            <w:szCs w:val="24"/>
                          </w:rPr>
                          <w:t xml:space="preserve">4.1.9. </w:t>
                        </w:r>
                      </w:p>
                    </w:tc>
                    <w:tc>
                      <w:tcPr>
                        <w:tcW w:w="2592" w:type="dxa"/>
                        <w:tcBorders>
                          <w:left w:val="single" w:sz="4" w:space="0" w:color="auto"/>
                          <w:bottom w:val="single" w:sz="4" w:space="0" w:color="auto"/>
                          <w:right w:val="single" w:sz="4" w:space="0" w:color="auto"/>
                        </w:tcBorders>
                      </w:tcPr>
                      <w:p>
                        <w:pPr>
                          <w:widowControl w:val="0"/>
                          <w:suppressAutoHyphens/>
                          <w:ind w:firstLine="13"/>
                          <w:jc w:val="both"/>
                          <w:rPr>
                            <w:b/>
                            <w:bCs/>
                            <w:szCs w:val="24"/>
                          </w:rPr>
                        </w:pPr>
                        <w:r>
                          <w:rPr>
                            <w:b/>
                            <w:bCs/>
                            <w:szCs w:val="24"/>
                          </w:rPr>
                          <w:t>Teršalų, išmetamų į atmosferą, vandenį, žemės paviršių ir gilesnius jo sluoksnius, mažinimo įrenginių (pvz., nuotekų ir lietaus surinkimo, valymo, vandens tiekimo sistemos ir jų elementai) įsigijimo, projektavimo, statybos, remonto, rekonstravimo darbų finansavimas (Pociūnėlių, Skėmių, Pašušvio, Vaitiekūnų vandenvietėse – filtrų įkrovų keitimo darbai)</w:t>
                        </w:r>
                      </w:p>
                    </w:tc>
                    <w:tc>
                      <w:tcPr>
                        <w:tcW w:w="4807" w:type="dxa"/>
                        <w:gridSpan w:val="2"/>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b/>
                            <w:bCs/>
                            <w:szCs w:val="24"/>
                          </w:rPr>
                        </w:pPr>
                        <w:r>
                          <w:rPr>
                            <w:b/>
                            <w:bCs/>
                            <w:szCs w:val="24"/>
                          </w:rPr>
                          <w:t>Asignavimų valdytojas – Radviliškio rajono savivaldybės administracija, atsakingas – Investicijų ir turto skyrius. Vykdytojas – Investicijų ir turto skyrius. Vykdymo pradžia – 2026 m. II ketv., pabaiga – 2026 m. IV ketv. (Dotacija UAB „Radviliškio vanduo“.)</w:t>
                        </w:r>
                      </w:p>
                      <w:p>
                        <w:pPr>
                          <w:widowControl w:val="0"/>
                          <w:suppressAutoHyphens/>
                          <w:ind w:firstLine="13"/>
                          <w:jc w:val="both"/>
                          <w:rPr>
                            <w:b/>
                            <w:bCs/>
                            <w:szCs w:val="24"/>
                          </w:rPr>
                        </w:pPr>
                      </w:p>
                    </w:tc>
                    <w:tc>
                      <w:tcPr>
                        <w:tcW w:w="1360" w:type="dxa"/>
                        <w:tcBorders>
                          <w:left w:val="single" w:sz="4" w:space="0" w:color="auto"/>
                          <w:bottom w:val="single" w:sz="4" w:space="0" w:color="auto"/>
                          <w:right w:val="single" w:sz="4" w:space="0" w:color="auto"/>
                        </w:tcBorders>
                      </w:tcPr>
                      <w:p>
                        <w:pPr>
                          <w:jc w:val="center"/>
                          <w:rPr>
                            <w:b/>
                            <w:bCs/>
                            <w:szCs w:val="24"/>
                          </w:rPr>
                        </w:pPr>
                        <w:r>
                          <w:rPr>
                            <w:b/>
                            <w:bCs/>
                            <w:szCs w:val="24"/>
                          </w:rPr>
                          <w:t>15 000</w:t>
                        </w:r>
                      </w:p>
                    </w:tc>
                  </w:tr>
                  <w:tr>
                    <w:trPr>
                      <w:trHeight w:val="70"/>
                    </w:trPr>
                    <w:tc>
                      <w:tcPr>
                        <w:tcW w:w="869" w:type="dxa"/>
                      </w:tcPr>
                      <w:p>
                        <w:pPr>
                          <w:widowControl w:val="0"/>
                          <w:suppressAutoHyphens/>
                          <w:jc w:val="both"/>
                          <w:rPr>
                            <w:szCs w:val="24"/>
                          </w:rPr>
                        </w:pPr>
                        <w:r>
                          <w:rPr>
                            <w:szCs w:val="24"/>
                          </w:rPr>
                          <w:t>4.2.</w:t>
                        </w:r>
                      </w:p>
                    </w:tc>
                    <w:tc>
                      <w:tcPr>
                        <w:tcW w:w="7399" w:type="dxa"/>
                        <w:gridSpan w:val="3"/>
                      </w:tcPr>
                      <w:p>
                        <w:pPr>
                          <w:widowControl w:val="0"/>
                          <w:suppressAutoHyphens/>
                          <w:ind w:firstLine="13"/>
                          <w:jc w:val="both"/>
                          <w:rPr>
                            <w:b/>
                            <w:szCs w:val="24"/>
                          </w:rPr>
                        </w:pPr>
                        <w:r>
                          <w:rPr>
                            <w:b/>
                            <w:szCs w:val="24"/>
                          </w:rPr>
                          <w:t>Atliekų tvarkymo infrastruktūros plėtros priemonės</w:t>
                        </w:r>
                      </w:p>
                    </w:tc>
                    <w:tc>
                      <w:tcPr>
                        <w:tcW w:w="1360" w:type="dxa"/>
                      </w:tcPr>
                      <w:p>
                        <w:pPr>
                          <w:widowControl w:val="0"/>
                          <w:suppressAutoHyphens/>
                          <w:jc w:val="center"/>
                          <w:rPr>
                            <w:szCs w:val="24"/>
                          </w:rPr>
                        </w:pPr>
                      </w:p>
                    </w:tc>
                  </w:tr>
                  <w:tr>
                    <w:trPr>
                      <w:trHeight w:val="690"/>
                    </w:trPr>
                    <w:tc>
                      <w:tcPr>
                        <w:tcW w:w="869" w:type="dxa"/>
                        <w:vMerge w:val="restart"/>
                      </w:tcPr>
                      <w:p>
                        <w:pPr>
                          <w:widowControl w:val="0"/>
                          <w:suppressAutoHyphens/>
                          <w:jc w:val="both"/>
                          <w:rPr>
                            <w:szCs w:val="24"/>
                          </w:rPr>
                        </w:pPr>
                        <w:r>
                          <w:rPr>
                            <w:szCs w:val="24"/>
                          </w:rPr>
                          <w:t>4.2.1.</w:t>
                        </w:r>
                      </w:p>
                    </w:tc>
                    <w:tc>
                      <w:tcPr>
                        <w:tcW w:w="2592" w:type="dxa"/>
                        <w:vMerge w:val="restart"/>
                      </w:tcPr>
                      <w:p>
                        <w:pPr>
                          <w:widowControl w:val="0"/>
                          <w:suppressAutoHyphens/>
                          <w:jc w:val="both"/>
                          <w:rPr>
                            <w:rFonts w:ascii="Thorndale" w:hAnsi="Thorndale" w:cs="Tahoma"/>
                            <w:szCs w:val="24"/>
                          </w:rPr>
                        </w:pPr>
                        <w:r>
                          <w:rPr>
                            <w:szCs w:val="24"/>
                          </w:rPr>
                          <w:t>Atliekų surinkimo iš viešųjų teritorijų priemonių (šiukšlių dėžės) įsigijimas ir įrengimas</w:t>
                        </w:r>
                      </w:p>
                    </w:tc>
                    <w:tc>
                      <w:tcPr>
                        <w:tcW w:w="4807" w:type="dxa"/>
                        <w:gridSpan w:val="2"/>
                      </w:tcPr>
                      <w:p>
                        <w:pPr>
                          <w:widowControl w:val="0"/>
                          <w:suppressAutoHyphens/>
                          <w:ind w:firstLine="13"/>
                          <w:jc w:val="both"/>
                          <w:rPr>
                            <w:szCs w:val="24"/>
                          </w:rPr>
                        </w:pPr>
                        <w:r>
                          <w:rPr>
                            <w:szCs w:val="24"/>
                          </w:rPr>
                          <w:t xml:space="preserve">Asignavimų valdytojas – </w:t>
                        </w:r>
                        <w:r>
                          <w:rPr>
                            <w:szCs w:val="24"/>
                            <w:lang w:eastAsia="lt-LT"/>
                          </w:rPr>
                          <w:t>Radviliškio seniūnija</w:t>
                        </w:r>
                        <w:r>
                          <w:rPr>
                            <w:szCs w:val="24"/>
                          </w:rPr>
                          <w:t xml:space="preserve">, atsakingas – </w:t>
                        </w:r>
                        <w:r>
                          <w:rPr>
                            <w:szCs w:val="24"/>
                            <w:lang w:eastAsia="lt-LT"/>
                          </w:rPr>
                          <w:t>Radviliškio seniūnija</w:t>
                        </w:r>
                        <w:r>
                          <w:rPr>
                            <w:szCs w:val="24"/>
                          </w:rPr>
                          <w:t xml:space="preserve">. Vykdytojas – </w:t>
                        </w:r>
                        <w:r>
                          <w:rPr>
                            <w:szCs w:val="24"/>
                            <w:lang w:eastAsia="lt-LT"/>
                          </w:rPr>
                          <w:t>Radviliškio seniūnija</w:t>
                        </w:r>
                        <w:r>
                          <w:rPr>
                            <w:szCs w:val="24"/>
                          </w:rPr>
                          <w:t>. Vykdymo pradžia – 2026 m. I ketv., pabaiga – 2026 m. IV ketv.</w:t>
                        </w:r>
                      </w:p>
                      <w:p>
                        <w:pPr>
                          <w:widowControl w:val="0"/>
                          <w:suppressAutoHyphens/>
                          <w:ind w:firstLine="13"/>
                          <w:jc w:val="both"/>
                          <w:rPr>
                            <w:szCs w:val="24"/>
                          </w:rPr>
                        </w:pPr>
                      </w:p>
                    </w:tc>
                    <w:tc>
                      <w:tcPr>
                        <w:tcW w:w="1360" w:type="dxa"/>
                      </w:tcPr>
                      <w:p>
                        <w:pPr>
                          <w:widowControl w:val="0"/>
                          <w:suppressAutoHyphens/>
                          <w:ind w:firstLine="62"/>
                          <w:jc w:val="center"/>
                          <w:rPr>
                            <w:rFonts w:cs="Tahoma"/>
                            <w:szCs w:val="24"/>
                          </w:rPr>
                        </w:pPr>
                        <w:r>
                          <w:rPr>
                            <w:rFonts w:cs="Tahoma"/>
                            <w:szCs w:val="24"/>
                          </w:rPr>
                          <w:t>200</w:t>
                        </w:r>
                      </w:p>
                      <w:p>
                        <w:pPr>
                          <w:widowControl w:val="0"/>
                          <w:suppressAutoHyphens/>
                          <w:jc w:val="center"/>
                          <w:rPr>
                            <w:szCs w:val="24"/>
                          </w:rPr>
                        </w:pPr>
                      </w:p>
                    </w:tc>
                  </w:tr>
                  <w:tr>
                    <w:trPr>
                      <w:trHeight w:val="690"/>
                    </w:trPr>
                    <w:tc>
                      <w:tcPr>
                        <w:tcW w:w="869" w:type="dxa"/>
                        <w:vMerge/>
                      </w:tcPr>
                      <w:p>
                        <w:pPr>
                          <w:widowControl w:val="0"/>
                          <w:suppressAutoHyphens/>
                          <w:jc w:val="both"/>
                          <w:rPr>
                            <w:szCs w:val="24"/>
                          </w:rPr>
                        </w:pPr>
                      </w:p>
                    </w:tc>
                    <w:tc>
                      <w:tcPr>
                        <w:tcW w:w="2592" w:type="dxa"/>
                        <w:vMerge/>
                      </w:tcPr>
                      <w:p>
                        <w:pPr>
                          <w:widowControl w:val="0"/>
                          <w:suppressAutoHyphens/>
                          <w:rPr>
                            <w:szCs w:val="24"/>
                          </w:rPr>
                        </w:pP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Tyrulių seniūnija. Vykdytojas – Tyrulių seniūnija. Vykdymo pradžia – 2026 m. I ketv., pabaiga – 2026 m. IV ketv.</w:t>
                        </w:r>
                      </w:p>
                    </w:tc>
                    <w:tc>
                      <w:tcPr>
                        <w:tcW w:w="1360" w:type="dxa"/>
                      </w:tcPr>
                      <w:p>
                        <w:pPr>
                          <w:widowControl w:val="0"/>
                          <w:suppressAutoHyphens/>
                          <w:jc w:val="center"/>
                          <w:rPr>
                            <w:rFonts w:cs="Tahoma"/>
                            <w:szCs w:val="24"/>
                          </w:rPr>
                        </w:pPr>
                        <w:r>
                          <w:rPr>
                            <w:rFonts w:cs="Tahoma"/>
                            <w:szCs w:val="24"/>
                          </w:rPr>
                          <w:t>200</w:t>
                        </w:r>
                      </w:p>
                    </w:tc>
                  </w:tr>
                  <w:tr>
                    <w:trPr>
                      <w:trHeight w:val="640"/>
                    </w:trPr>
                    <w:tc>
                      <w:tcPr>
                        <w:tcW w:w="869" w:type="dxa"/>
                      </w:tcPr>
                      <w:p>
                        <w:pPr>
                          <w:widowControl w:val="0"/>
                          <w:suppressAutoHyphens/>
                          <w:jc w:val="both"/>
                          <w:rPr>
                            <w:szCs w:val="24"/>
                          </w:rPr>
                        </w:pPr>
                        <w:r>
                          <w:rPr>
                            <w:szCs w:val="24"/>
                            <w:lang w:val="en-US"/>
                          </w:rPr>
                          <w:t>4.3.</w:t>
                        </w:r>
                      </w:p>
                    </w:tc>
                    <w:tc>
                      <w:tcPr>
                        <w:tcW w:w="7399" w:type="dxa"/>
                        <w:gridSpan w:val="3"/>
                      </w:tcPr>
                      <w:p>
                        <w:pPr>
                          <w:widowControl w:val="0"/>
                          <w:suppressAutoHyphens/>
                          <w:ind w:firstLine="13"/>
                          <w:jc w:val="both"/>
                          <w:rPr>
                            <w:b/>
                            <w:bCs/>
                            <w:szCs w:val="24"/>
                          </w:rPr>
                        </w:pPr>
                        <w:r>
                          <w:rPr>
                            <w:b/>
                            <w:bCs/>
                            <w:szCs w:val="24"/>
                          </w:rPr>
                          <w:t>Atliekų, kurių turėtojo nustatyti neįmanoma arba kuris nebeegzistuoja, tvarkymo priemonės</w:t>
                        </w:r>
                      </w:p>
                    </w:tc>
                    <w:tc>
                      <w:tcPr>
                        <w:tcW w:w="1360" w:type="dxa"/>
                      </w:tcPr>
                      <w:p>
                        <w:pPr>
                          <w:widowControl w:val="0"/>
                          <w:suppressAutoHyphens/>
                          <w:jc w:val="center"/>
                          <w:rPr>
                            <w:szCs w:val="24"/>
                          </w:rPr>
                        </w:pPr>
                      </w:p>
                    </w:tc>
                  </w:tr>
                  <w:tr>
                    <w:trPr>
                      <w:trHeight w:val="1660"/>
                    </w:trPr>
                    <w:tc>
                      <w:tcPr>
                        <w:tcW w:w="869" w:type="dxa"/>
                      </w:tcPr>
                      <w:p>
                        <w:pPr>
                          <w:widowControl w:val="0"/>
                          <w:suppressAutoHyphens/>
                          <w:jc w:val="both"/>
                          <w:rPr>
                            <w:szCs w:val="24"/>
                          </w:rPr>
                        </w:pPr>
                        <w:r>
                          <w:rPr>
                            <w:szCs w:val="24"/>
                            <w:lang w:val="en-US"/>
                          </w:rPr>
                          <w:t>4.3.1.</w:t>
                        </w:r>
                      </w:p>
                    </w:tc>
                    <w:tc>
                      <w:tcPr>
                        <w:tcW w:w="2592" w:type="dxa"/>
                      </w:tcPr>
                      <w:p>
                        <w:pPr>
                          <w:rPr>
                            <w:sz w:val="8"/>
                            <w:szCs w:val="8"/>
                          </w:rPr>
                        </w:pPr>
                      </w:p>
                      <w:p>
                        <w:pPr>
                          <w:ind w:firstLine="62"/>
                          <w:jc w:val="both"/>
                          <w:rPr>
                            <w:szCs w:val="24"/>
                            <w:lang w:eastAsia="lt-LT"/>
                          </w:rPr>
                        </w:pPr>
                        <w:r>
                          <w:rPr>
                            <w:szCs w:val="24"/>
                            <w:lang w:eastAsia="lt-LT"/>
                          </w:rPr>
                          <w:t>Surinkimo, transportavimo, perdirbimo, kitokio naudojimo ar šalinimo darbai</w:t>
                        </w:r>
                      </w:p>
                    </w:tc>
                    <w:tc>
                      <w:tcPr>
                        <w:tcW w:w="4807" w:type="dxa"/>
                        <w:gridSpan w:val="2"/>
                      </w:tcPr>
                      <w:p>
                        <w:pPr>
                          <w:widowControl w:val="0"/>
                          <w:suppressAutoHyphens/>
                          <w:ind w:firstLine="13"/>
                          <w:jc w:val="both"/>
                          <w:rPr>
                            <w:szCs w:val="24"/>
                          </w:rPr>
                        </w:pPr>
                        <w:r>
                          <w:rPr>
                            <w:szCs w:val="24"/>
                          </w:rPr>
                          <w:t xml:space="preserve">Asignavimų valdytojas – Radviliškio rajono savivaldybės administracija, atsakingas – Žemės ūkio skyrius. Vykdytojas –              . Vykdymo pradžia –2026 m. I ketv., pabaiga – 2026 m. IV ketv. (Vykdoma esant užterštai teritorijai, pateikus paraišką.) </w:t>
                        </w:r>
                      </w:p>
                      <w:p>
                        <w:pPr>
                          <w:widowControl w:val="0"/>
                          <w:suppressAutoHyphens/>
                          <w:ind w:firstLine="13"/>
                          <w:jc w:val="both"/>
                          <w:rPr>
                            <w:szCs w:val="24"/>
                          </w:rPr>
                        </w:pPr>
                      </w:p>
                    </w:tc>
                    <w:tc>
                      <w:tcPr>
                        <w:tcW w:w="1360" w:type="dxa"/>
                      </w:tcPr>
                      <w:p>
                        <w:pPr>
                          <w:widowControl w:val="0"/>
                          <w:suppressAutoHyphens/>
                          <w:jc w:val="center"/>
                          <w:rPr>
                            <w:szCs w:val="24"/>
                            <w:lang w:val="en-US"/>
                          </w:rPr>
                        </w:pPr>
                        <w:r>
                          <w:rPr>
                            <w:szCs w:val="24"/>
                            <w:lang w:val="en-US"/>
                          </w:rPr>
                          <w:t>5 000</w:t>
                        </w:r>
                      </w:p>
                      <w:p>
                        <w:pPr>
                          <w:widowControl w:val="0"/>
                          <w:suppressAutoHyphens/>
                          <w:jc w:val="center"/>
                          <w:rPr>
                            <w:szCs w:val="24"/>
                          </w:rPr>
                        </w:pPr>
                      </w:p>
                    </w:tc>
                  </w:tr>
                  <w:tr>
                    <w:trPr>
                      <w:trHeight w:val="301"/>
                    </w:trPr>
                    <w:tc>
                      <w:tcPr>
                        <w:tcW w:w="869" w:type="dxa"/>
                      </w:tcPr>
                      <w:p>
                        <w:pPr>
                          <w:widowControl w:val="0"/>
                          <w:suppressAutoHyphens/>
                          <w:jc w:val="both"/>
                          <w:rPr>
                            <w:szCs w:val="24"/>
                          </w:rPr>
                        </w:pPr>
                        <w:r>
                          <w:rPr>
                            <w:szCs w:val="24"/>
                            <w:lang w:val="en-US"/>
                          </w:rPr>
                          <w:t>4.3.2.</w:t>
                        </w:r>
                      </w:p>
                    </w:tc>
                    <w:tc>
                      <w:tcPr>
                        <w:tcW w:w="2592" w:type="dxa"/>
                      </w:tcPr>
                      <w:p>
                        <w:pPr>
                          <w:rPr>
                            <w:sz w:val="8"/>
                            <w:szCs w:val="8"/>
                          </w:rPr>
                        </w:pPr>
                      </w:p>
                      <w:p>
                        <w:pPr>
                          <w:jc w:val="both"/>
                          <w:rPr>
                            <w:szCs w:val="24"/>
                            <w:lang w:eastAsia="lt-LT"/>
                          </w:rPr>
                        </w:pPr>
                        <w:r>
                          <w:rPr>
                            <w:szCs w:val="24"/>
                            <w:lang w:eastAsia="lt-LT"/>
                          </w:rPr>
                          <w:t>Atliekomis užterštos teritorijos išvalymo ir sutvarkymo darbai</w:t>
                        </w: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 Vykdymo pradžia – 2026 m. I ketv., pabaiga – 2026 m. IV ketv. (Vykdoma esant užterštai teritorijai, pateikus paraišką.)</w:t>
                        </w:r>
                      </w:p>
                      <w:p>
                        <w:pPr>
                          <w:widowControl w:val="0"/>
                          <w:suppressAutoHyphens/>
                          <w:ind w:firstLine="13"/>
                          <w:jc w:val="both"/>
                          <w:rPr>
                            <w:szCs w:val="24"/>
                          </w:rPr>
                        </w:pPr>
                      </w:p>
                    </w:tc>
                    <w:tc>
                      <w:tcPr>
                        <w:tcW w:w="1360" w:type="dxa"/>
                      </w:tcPr>
                      <w:p>
                        <w:pPr>
                          <w:widowControl w:val="0"/>
                          <w:suppressAutoHyphens/>
                          <w:jc w:val="center"/>
                          <w:rPr>
                            <w:szCs w:val="24"/>
                            <w:lang w:val="en-US"/>
                          </w:rPr>
                        </w:pPr>
                        <w:r>
                          <w:rPr>
                            <w:szCs w:val="24"/>
                            <w:lang w:val="en-US"/>
                          </w:rPr>
                          <w:t>5 000</w:t>
                        </w:r>
                      </w:p>
                      <w:p>
                        <w:pPr>
                          <w:widowControl w:val="0"/>
                          <w:suppressAutoHyphens/>
                          <w:jc w:val="center"/>
                          <w:rPr>
                            <w:szCs w:val="24"/>
                          </w:rPr>
                        </w:pPr>
                      </w:p>
                    </w:tc>
                  </w:tr>
                  <w:tr>
                    <w:tc>
                      <w:tcPr>
                        <w:tcW w:w="869" w:type="dxa"/>
                      </w:tcPr>
                      <w:p>
                        <w:pPr>
                          <w:widowControl w:val="0"/>
                          <w:suppressAutoHyphens/>
                          <w:jc w:val="both"/>
                          <w:rPr>
                            <w:szCs w:val="24"/>
                          </w:rPr>
                        </w:pPr>
                        <w:r>
                          <w:rPr>
                            <w:szCs w:val="24"/>
                          </w:rPr>
                          <w:t>4.4.</w:t>
                        </w:r>
                      </w:p>
                    </w:tc>
                    <w:tc>
                      <w:tcPr>
                        <w:tcW w:w="7399" w:type="dxa"/>
                        <w:gridSpan w:val="3"/>
                      </w:tcPr>
                      <w:p>
                        <w:pPr>
                          <w:widowControl w:val="0"/>
                          <w:suppressAutoHyphens/>
                          <w:ind w:firstLine="13"/>
                          <w:jc w:val="both"/>
                          <w:rPr>
                            <w:b/>
                            <w:szCs w:val="24"/>
                          </w:rPr>
                        </w:pPr>
                        <w:r>
                          <w:rPr>
                            <w:b/>
                            <w:szCs w:val="24"/>
                          </w:rPr>
                          <w:t>Aplinkos monitoringo, prevencinės, aplinkos atkūrimo priemonės</w:t>
                        </w:r>
                      </w:p>
                    </w:tc>
                    <w:tc>
                      <w:tcPr>
                        <w:tcW w:w="1360" w:type="dxa"/>
                      </w:tcPr>
                      <w:p>
                        <w:pPr>
                          <w:widowControl w:val="0"/>
                          <w:suppressAutoHyphens/>
                          <w:jc w:val="center"/>
                          <w:rPr>
                            <w:szCs w:val="24"/>
                          </w:rPr>
                        </w:pPr>
                      </w:p>
                    </w:tc>
                  </w:tr>
                  <w:tr>
                    <w:trPr>
                      <w:trHeight w:val="690"/>
                    </w:trPr>
                    <w:tc>
                      <w:tcPr>
                        <w:tcW w:w="869" w:type="dxa"/>
                      </w:tcPr>
                      <w:p>
                        <w:pPr>
                          <w:widowControl w:val="0"/>
                          <w:suppressAutoHyphens/>
                          <w:jc w:val="both"/>
                          <w:rPr>
                            <w:szCs w:val="24"/>
                          </w:rPr>
                        </w:pPr>
                        <w:r>
                          <w:rPr>
                            <w:szCs w:val="24"/>
                          </w:rPr>
                          <w:t>4.4.1.</w:t>
                        </w:r>
                      </w:p>
                    </w:tc>
                    <w:tc>
                      <w:tcPr>
                        <w:tcW w:w="2592" w:type="dxa"/>
                      </w:tcPr>
                      <w:p>
                        <w:pPr>
                          <w:widowControl w:val="0"/>
                          <w:suppressAutoHyphens/>
                          <w:ind w:firstLine="13"/>
                          <w:jc w:val="both"/>
                          <w:rPr>
                            <w:szCs w:val="24"/>
                          </w:rPr>
                        </w:pPr>
                        <w:r>
                          <w:rPr>
                            <w:szCs w:val="24"/>
                          </w:rPr>
                          <w:t>Radviliškio rajono savivaldybės aplinkos monitoringo programos parengtos pagal Bendruosius savivaldybių aplinkos monitoringo nuostatus įgyvendinimas</w:t>
                        </w: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VDU (atrinktas per viešąjį pirkimą). Vykdymo pradžia – 2023 m. IV ketv., pabaiga – 2026 m. IV ketv.</w:t>
                        </w:r>
                      </w:p>
                    </w:tc>
                    <w:tc>
                      <w:tcPr>
                        <w:tcW w:w="1360" w:type="dxa"/>
                      </w:tcPr>
                      <w:p>
                        <w:pPr>
                          <w:widowControl w:val="0"/>
                          <w:suppressAutoHyphens/>
                          <w:jc w:val="center"/>
                          <w:rPr>
                            <w:szCs w:val="24"/>
                          </w:rPr>
                        </w:pPr>
                        <w:r>
                          <w:rPr>
                            <w:szCs w:val="24"/>
                          </w:rPr>
                          <w:t>35 000</w:t>
                        </w:r>
                      </w:p>
                      <w:p>
                        <w:pPr>
                          <w:widowControl w:val="0"/>
                          <w:suppressAutoHyphens/>
                          <w:jc w:val="both"/>
                          <w:rPr>
                            <w:szCs w:val="24"/>
                          </w:rPr>
                        </w:pPr>
                      </w:p>
                      <w:p>
                        <w:pPr>
                          <w:widowControl w:val="0"/>
                          <w:suppressAutoHyphens/>
                          <w:jc w:val="both"/>
                          <w:rPr>
                            <w:szCs w:val="24"/>
                          </w:rPr>
                        </w:pPr>
                      </w:p>
                    </w:tc>
                  </w:tr>
                  <w:tr>
                    <w:tc>
                      <w:tcPr>
                        <w:tcW w:w="869" w:type="dxa"/>
                      </w:tcPr>
                      <w:p>
                        <w:pPr>
                          <w:widowControl w:val="0"/>
                          <w:suppressAutoHyphens/>
                          <w:jc w:val="both"/>
                          <w:rPr>
                            <w:szCs w:val="24"/>
                          </w:rPr>
                        </w:pPr>
                        <w:r>
                          <w:rPr>
                            <w:szCs w:val="24"/>
                          </w:rPr>
                          <w:t>4.4.2.</w:t>
                        </w:r>
                      </w:p>
                    </w:tc>
                    <w:tc>
                      <w:tcPr>
                        <w:tcW w:w="2592" w:type="dxa"/>
                      </w:tcPr>
                      <w:p>
                        <w:pPr>
                          <w:widowControl w:val="0"/>
                          <w:suppressAutoHyphens/>
                          <w:ind w:firstLine="13"/>
                          <w:jc w:val="both"/>
                          <w:rPr>
                            <w:szCs w:val="24"/>
                          </w:rPr>
                        </w:pPr>
                        <w:r>
                          <w:rPr>
                            <w:szCs w:val="24"/>
                          </w:rPr>
                          <w:t>Sorbentų ir kitų priemonių, reikalingų avarijų padariniams likviduoti, įsigijimas</w:t>
                        </w: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ŠAPGV Radviliškio priešgaisrinė gelbėjimo tarnyba. Vykdymo pradžia – 2026 m. I ketv., pabaiga – 2026 m. IV ketv.</w:t>
                        </w:r>
                      </w:p>
                    </w:tc>
                    <w:tc>
                      <w:tcPr>
                        <w:tcW w:w="1360" w:type="dxa"/>
                      </w:tcPr>
                      <w:p>
                        <w:pPr>
                          <w:widowControl w:val="0"/>
                          <w:suppressAutoHyphens/>
                          <w:jc w:val="center"/>
                          <w:rPr>
                            <w:szCs w:val="24"/>
                          </w:rPr>
                        </w:pPr>
                        <w:r>
                          <w:rPr>
                            <w:szCs w:val="24"/>
                          </w:rPr>
                          <w:t>1 000</w:t>
                        </w:r>
                      </w:p>
                      <w:p>
                        <w:pPr>
                          <w:widowControl w:val="0"/>
                          <w:suppressAutoHyphens/>
                          <w:jc w:val="center"/>
                          <w:rPr>
                            <w:szCs w:val="24"/>
                          </w:rPr>
                        </w:pPr>
                      </w:p>
                      <w:p>
                        <w:pPr>
                          <w:widowControl w:val="0"/>
                          <w:suppressAutoHyphens/>
                          <w:jc w:val="center"/>
                          <w:rPr>
                            <w:szCs w:val="24"/>
                          </w:rPr>
                        </w:pPr>
                      </w:p>
                    </w:tc>
                  </w:tr>
                  <w:tr>
                    <w:tc>
                      <w:tcPr>
                        <w:tcW w:w="869" w:type="dxa"/>
                      </w:tcPr>
                      <w:p>
                        <w:pPr>
                          <w:widowControl w:val="0"/>
                          <w:suppressAutoHyphens/>
                          <w:jc w:val="both"/>
                          <w:rPr>
                            <w:szCs w:val="24"/>
                          </w:rPr>
                        </w:pPr>
                        <w:r>
                          <w:rPr>
                            <w:szCs w:val="24"/>
                          </w:rPr>
                          <w:t>4.4.3.</w:t>
                        </w:r>
                      </w:p>
                    </w:tc>
                    <w:tc>
                      <w:tcPr>
                        <w:tcW w:w="2592" w:type="dxa"/>
                      </w:tcPr>
                      <w:p>
                        <w:pPr>
                          <w:widowControl w:val="0"/>
                          <w:suppressAutoHyphens/>
                          <w:ind w:firstLine="13"/>
                          <w:jc w:val="both"/>
                          <w:rPr>
                            <w:szCs w:val="24"/>
                          </w:rPr>
                        </w:pPr>
                        <w:r>
                          <w:rPr>
                            <w:szCs w:val="24"/>
                          </w:rPr>
                          <w:t>Ekstremalių ekologinių situacijų, avarijų, įvykių padarinių likvidavimo darbai</w:t>
                        </w:r>
                      </w:p>
                    </w:tc>
                    <w:tc>
                      <w:tcPr>
                        <w:tcW w:w="4807" w:type="dxa"/>
                        <w:gridSpan w:val="2"/>
                      </w:tcPr>
                      <w:p>
                        <w:pPr>
                          <w:widowControl w:val="0"/>
                          <w:suppressAutoHyphens/>
                          <w:ind w:firstLine="13"/>
                          <w:jc w:val="both"/>
                          <w:rPr>
                            <w:szCs w:val="24"/>
                          </w:rPr>
                        </w:pPr>
                        <w:r>
                          <w:rPr>
                            <w:szCs w:val="24"/>
                          </w:rPr>
                          <w:t>Asignavimų valdytojas – rajono savivaldybės administracija, atsakingas – Žemės ūkio skyrius. Vykdytojas – ..................................... Vykdymo pradžia – 2026 m. I ketv., pabaiga – 2026 m. IV ketv. (Vykdoma tik įvykus ekstremalioms situacijoms.)</w:t>
                        </w:r>
                      </w:p>
                    </w:tc>
                    <w:tc>
                      <w:tcPr>
                        <w:tcW w:w="1360" w:type="dxa"/>
                      </w:tcPr>
                      <w:p>
                        <w:pPr>
                          <w:widowControl w:val="0"/>
                          <w:suppressAutoHyphens/>
                          <w:jc w:val="center"/>
                          <w:rPr>
                            <w:szCs w:val="24"/>
                          </w:rPr>
                        </w:pPr>
                        <w:r>
                          <w:rPr>
                            <w:szCs w:val="24"/>
                          </w:rPr>
                          <w:t>3 000</w:t>
                        </w:r>
                      </w:p>
                      <w:p>
                        <w:pPr>
                          <w:widowControl w:val="0"/>
                          <w:suppressAutoHyphens/>
                          <w:jc w:val="center"/>
                          <w:rPr>
                            <w:szCs w:val="24"/>
                          </w:rPr>
                        </w:pPr>
                      </w:p>
                    </w:tc>
                  </w:tr>
                  <w:tr>
                    <w:tc>
                      <w:tcPr>
                        <w:tcW w:w="869" w:type="dxa"/>
                      </w:tcPr>
                      <w:p>
                        <w:pPr>
                          <w:widowControl w:val="0"/>
                          <w:suppressAutoHyphens/>
                          <w:jc w:val="both"/>
                          <w:rPr>
                            <w:szCs w:val="24"/>
                          </w:rPr>
                        </w:pPr>
                        <w:r>
                          <w:rPr>
                            <w:szCs w:val="24"/>
                          </w:rPr>
                          <w:t>4.4.4.</w:t>
                        </w:r>
                      </w:p>
                    </w:tc>
                    <w:tc>
                      <w:tcPr>
                        <w:tcW w:w="2592" w:type="dxa"/>
                      </w:tcPr>
                      <w:p>
                        <w:pPr>
                          <w:widowControl w:val="0"/>
                          <w:suppressAutoHyphens/>
                          <w:ind w:firstLine="13"/>
                          <w:jc w:val="both"/>
                          <w:rPr>
                            <w:szCs w:val="24"/>
                          </w:rPr>
                        </w:pPr>
                        <w:r>
                          <w:rPr>
                            <w:rFonts w:cs="Tahoma"/>
                            <w:szCs w:val="24"/>
                          </w:rPr>
                          <w:t xml:space="preserve">Radviliškio rajono savivaldybės aplinkos monitoringo programos parengimas pagal Bendruosius savivaldybių aplinkos monitoringo nuostatus </w:t>
                        </w:r>
                      </w:p>
                    </w:tc>
                    <w:tc>
                      <w:tcPr>
                        <w:tcW w:w="4807" w:type="dxa"/>
                        <w:gridSpan w:val="2"/>
                      </w:tcPr>
                      <w:p>
                        <w:pPr>
                          <w:widowControl w:val="0"/>
                          <w:suppressAutoHyphens/>
                          <w:ind w:firstLine="13"/>
                          <w:jc w:val="both"/>
                          <w:rPr>
                            <w:szCs w:val="24"/>
                          </w:rPr>
                        </w:pPr>
                        <w:r>
                          <w:rPr>
                            <w:szCs w:val="24"/>
                          </w:rPr>
                          <w:t xml:space="preserve">Asignavimų valdytojas – Radviliškio rajono savivaldybės administracija, atsakingas – Žemės ūkio skyrius. Vykdytojas – atrinktas per viešąjį pirkimą – ..................................... Vykdymo pradžia – 2026 m. II ketv., pabaiga – 2026 m. IV ketv. </w:t>
                        </w:r>
                      </w:p>
                      <w:p>
                        <w:pPr>
                          <w:widowControl w:val="0"/>
                          <w:suppressAutoHyphens/>
                          <w:ind w:firstLine="13"/>
                          <w:jc w:val="both"/>
                          <w:rPr>
                            <w:szCs w:val="24"/>
                          </w:rPr>
                        </w:pPr>
                      </w:p>
                    </w:tc>
                    <w:tc>
                      <w:tcPr>
                        <w:tcW w:w="1360" w:type="dxa"/>
                      </w:tcPr>
                      <w:p>
                        <w:pPr>
                          <w:widowControl w:val="0"/>
                          <w:suppressAutoHyphens/>
                          <w:jc w:val="center"/>
                          <w:rPr>
                            <w:szCs w:val="24"/>
                          </w:rPr>
                        </w:pPr>
                        <w:r>
                          <w:rPr>
                            <w:szCs w:val="24"/>
                          </w:rPr>
                          <w:t>12 100</w:t>
                        </w:r>
                      </w:p>
                    </w:tc>
                  </w:tr>
                  <w:tr>
                    <w:tc>
                      <w:tcPr>
                        <w:tcW w:w="869" w:type="dxa"/>
                      </w:tcPr>
                      <w:p>
                        <w:pPr>
                          <w:widowControl w:val="0"/>
                          <w:suppressAutoHyphens/>
                          <w:jc w:val="both"/>
                          <w:rPr>
                            <w:szCs w:val="24"/>
                          </w:rPr>
                        </w:pPr>
                        <w:r>
                          <w:rPr>
                            <w:szCs w:val="24"/>
                          </w:rPr>
                          <w:t>4.5.</w:t>
                        </w:r>
                      </w:p>
                    </w:tc>
                    <w:tc>
                      <w:tcPr>
                        <w:tcW w:w="7399" w:type="dxa"/>
                        <w:gridSpan w:val="3"/>
                      </w:tcPr>
                      <w:p>
                        <w:pPr>
                          <w:widowControl w:val="0"/>
                          <w:suppressAutoHyphens/>
                          <w:ind w:firstLine="13"/>
                          <w:jc w:val="both"/>
                          <w:rPr>
                            <w:b/>
                            <w:szCs w:val="24"/>
                          </w:rPr>
                        </w:pPr>
                        <w:r>
                          <w:rPr>
                            <w:b/>
                            <w:szCs w:val="24"/>
                          </w:rPr>
                          <w:t>Visuomenės švietimo ir mokymo aplinkosaugos klausimais priemonės</w:t>
                        </w:r>
                      </w:p>
                    </w:tc>
                    <w:tc>
                      <w:tcPr>
                        <w:tcW w:w="1360" w:type="dxa"/>
                      </w:tcPr>
                      <w:p>
                        <w:pPr>
                          <w:widowControl w:val="0"/>
                          <w:suppressAutoHyphens/>
                          <w:jc w:val="center"/>
                          <w:rPr>
                            <w:szCs w:val="24"/>
                          </w:rPr>
                        </w:pPr>
                      </w:p>
                    </w:tc>
                  </w:tr>
                  <w:tr>
                    <w:tc>
                      <w:tcPr>
                        <w:tcW w:w="869" w:type="dxa"/>
                      </w:tcPr>
                      <w:p>
                        <w:pPr>
                          <w:widowControl w:val="0"/>
                          <w:suppressAutoHyphens/>
                          <w:jc w:val="both"/>
                          <w:rPr>
                            <w:szCs w:val="24"/>
                          </w:rPr>
                        </w:pPr>
                        <w:r>
                          <w:rPr>
                            <w:szCs w:val="24"/>
                          </w:rPr>
                          <w:t>4.5.1.</w:t>
                        </w:r>
                      </w:p>
                    </w:tc>
                    <w:tc>
                      <w:tcPr>
                        <w:tcW w:w="2592" w:type="dxa"/>
                      </w:tcPr>
                      <w:p>
                        <w:pPr>
                          <w:widowControl w:val="0"/>
                          <w:suppressAutoHyphens/>
                          <w:ind w:firstLine="13"/>
                          <w:jc w:val="both"/>
                          <w:rPr>
                            <w:szCs w:val="24"/>
                          </w:rPr>
                        </w:pPr>
                        <w:r>
                          <w:rPr>
                            <w:szCs w:val="24"/>
                          </w:rPr>
                          <w:t>Aplinkosauginių akcijų, talkų organizavimas</w:t>
                        </w: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Žemės ūkio skyrius. Vykdymo pradžia – 2026 m. I ketv., pabaiga – 2026 m. IV ketv. (Vykdoma esant poreikiui.)</w:t>
                        </w:r>
                      </w:p>
                    </w:tc>
                    <w:tc>
                      <w:tcPr>
                        <w:tcW w:w="1360" w:type="dxa"/>
                      </w:tcPr>
                      <w:p>
                        <w:pPr>
                          <w:widowControl w:val="0"/>
                          <w:suppressAutoHyphens/>
                          <w:jc w:val="center"/>
                          <w:rPr>
                            <w:szCs w:val="24"/>
                          </w:rPr>
                        </w:pPr>
                        <w:r>
                          <w:rPr>
                            <w:szCs w:val="24"/>
                          </w:rPr>
                          <w:t>500</w:t>
                        </w:r>
                      </w:p>
                      <w:p>
                        <w:pPr>
                          <w:widowControl w:val="0"/>
                          <w:suppressAutoHyphens/>
                          <w:jc w:val="center"/>
                          <w:rPr>
                            <w:szCs w:val="24"/>
                          </w:rPr>
                        </w:pPr>
                      </w:p>
                    </w:tc>
                  </w:tr>
                  <w:tr>
                    <w:tc>
                      <w:tcPr>
                        <w:tcW w:w="869" w:type="dxa"/>
                      </w:tcPr>
                      <w:p>
                        <w:pPr>
                          <w:widowControl w:val="0"/>
                          <w:suppressAutoHyphens/>
                          <w:jc w:val="both"/>
                          <w:rPr>
                            <w:szCs w:val="24"/>
                          </w:rPr>
                        </w:pPr>
                        <w:r>
                          <w:rPr>
                            <w:szCs w:val="24"/>
                          </w:rPr>
                          <w:t>4.5.2.</w:t>
                        </w:r>
                      </w:p>
                    </w:tc>
                    <w:tc>
                      <w:tcPr>
                        <w:tcW w:w="2592" w:type="dxa"/>
                      </w:tcPr>
                      <w:p>
                        <w:pPr>
                          <w:widowControl w:val="0"/>
                          <w:suppressAutoHyphens/>
                          <w:ind w:firstLine="13"/>
                          <w:jc w:val="both"/>
                          <w:rPr>
                            <w:szCs w:val="24"/>
                          </w:rPr>
                        </w:pPr>
                        <w:r>
                          <w:rPr>
                            <w:szCs w:val="24"/>
                          </w:rPr>
                          <w:t>Tikslinių grupių (švietimo įstaigos, neformalaus ugdymo įstaigos, nevyriausybinės organizacijos, bendruomenės ir kt.) vykdomos aplinkosauginės veiklos, aplinkosauginių programų, projektų įgyvendinimo darbų finansavimas</w:t>
                        </w: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švietimo įstaigos, neformalaus ugdymo įstaigos, nevyriausybinės organizacijos, bendruomenės ir kt. Vykdymo pradžia – 2026 m. I ketv., pabaiga – 2026 m. IV ketv.</w:t>
                        </w:r>
                      </w:p>
                    </w:tc>
                    <w:tc>
                      <w:tcPr>
                        <w:tcW w:w="1360" w:type="dxa"/>
                      </w:tcPr>
                      <w:p>
                        <w:pPr>
                          <w:widowControl w:val="0"/>
                          <w:suppressAutoHyphens/>
                          <w:jc w:val="center"/>
                          <w:rPr>
                            <w:szCs w:val="24"/>
                          </w:rPr>
                        </w:pPr>
                        <w:r>
                          <w:rPr>
                            <w:szCs w:val="24"/>
                          </w:rPr>
                          <w:t>9 186</w:t>
                        </w:r>
                      </w:p>
                      <w:p>
                        <w:pPr>
                          <w:widowControl w:val="0"/>
                          <w:suppressAutoHyphens/>
                          <w:jc w:val="center"/>
                          <w:rPr>
                            <w:szCs w:val="24"/>
                          </w:rPr>
                        </w:pPr>
                      </w:p>
                    </w:tc>
                  </w:tr>
                  <w:tr>
                    <w:tc>
                      <w:tcPr>
                        <w:tcW w:w="869" w:type="dxa"/>
                      </w:tcPr>
                      <w:p>
                        <w:pPr>
                          <w:widowControl w:val="0"/>
                          <w:suppressAutoHyphens/>
                          <w:jc w:val="both"/>
                          <w:rPr>
                            <w:szCs w:val="24"/>
                          </w:rPr>
                        </w:pPr>
                        <w:r>
                          <w:rPr>
                            <w:szCs w:val="24"/>
                          </w:rPr>
                          <w:t>4.5.3.</w:t>
                        </w:r>
                      </w:p>
                    </w:tc>
                    <w:tc>
                      <w:tcPr>
                        <w:tcW w:w="2592" w:type="dxa"/>
                      </w:tcPr>
                      <w:p>
                        <w:pPr>
                          <w:widowControl w:val="0"/>
                          <w:suppressAutoHyphens/>
                          <w:ind w:firstLine="13"/>
                          <w:jc w:val="both"/>
                          <w:rPr>
                            <w:szCs w:val="24"/>
                          </w:rPr>
                        </w:pPr>
                        <w:r>
                          <w:rPr>
                            <w:szCs w:val="24"/>
                          </w:rPr>
                          <w:t xml:space="preserve">Spaudinių (laikraščių ir žurnalų) aplinkosaugine tema įsigijimas </w:t>
                        </w:r>
                      </w:p>
                    </w:tc>
                    <w:tc>
                      <w:tcPr>
                        <w:tcW w:w="4807"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Žemės ūkio skyrius. Vykdymo pradžia – 2026 m. lapkričio mėn., pabaiga – 2026 m. gruodžio mėn.</w:t>
                        </w:r>
                      </w:p>
                    </w:tc>
                    <w:tc>
                      <w:tcPr>
                        <w:tcW w:w="1360" w:type="dxa"/>
                      </w:tcPr>
                      <w:p>
                        <w:pPr>
                          <w:widowControl w:val="0"/>
                          <w:suppressAutoHyphens/>
                          <w:jc w:val="center"/>
                          <w:rPr>
                            <w:szCs w:val="24"/>
                          </w:rPr>
                        </w:pPr>
                        <w:r>
                          <w:rPr>
                            <w:szCs w:val="24"/>
                          </w:rPr>
                          <w:t>1 000</w:t>
                        </w:r>
                      </w:p>
                    </w:tc>
                  </w:tr>
                  <w:tr>
                    <w:tc>
                      <w:tcPr>
                        <w:tcW w:w="869" w:type="dxa"/>
                      </w:tcPr>
                      <w:p>
                        <w:pPr>
                          <w:widowControl w:val="0"/>
                          <w:suppressAutoHyphens/>
                          <w:jc w:val="both"/>
                          <w:rPr>
                            <w:szCs w:val="24"/>
                          </w:rPr>
                        </w:pPr>
                        <w:r>
                          <w:rPr>
                            <w:szCs w:val="24"/>
                          </w:rPr>
                          <w:t>4.6.</w:t>
                        </w:r>
                      </w:p>
                    </w:tc>
                    <w:tc>
                      <w:tcPr>
                        <w:tcW w:w="7399" w:type="dxa"/>
                        <w:gridSpan w:val="3"/>
                      </w:tcPr>
                      <w:p>
                        <w:pPr>
                          <w:widowControl w:val="0"/>
                          <w:suppressAutoHyphens/>
                          <w:ind w:firstLine="13"/>
                          <w:jc w:val="both"/>
                          <w:rPr>
                            <w:b/>
                            <w:szCs w:val="24"/>
                          </w:rPr>
                        </w:pPr>
                        <w:r>
                          <w:rPr>
                            <w:b/>
                            <w:szCs w:val="24"/>
                          </w:rPr>
                          <w:t>Želdynų ir želdinių apsaugos, tvarkymo, būklės stebėsenos, želdynų kūrimo, želdinių veisimo ir inventorizavimo priemonės</w:t>
                        </w:r>
                      </w:p>
                    </w:tc>
                    <w:tc>
                      <w:tcPr>
                        <w:tcW w:w="1360" w:type="dxa"/>
                      </w:tcPr>
                      <w:p>
                        <w:pPr>
                          <w:widowControl w:val="0"/>
                          <w:suppressAutoHyphens/>
                          <w:jc w:val="center"/>
                          <w:rPr>
                            <w:szCs w:val="24"/>
                          </w:rPr>
                        </w:pPr>
                      </w:p>
                    </w:tc>
                  </w:tr>
                  <w:tr>
                    <w:tc>
                      <w:tcPr>
                        <w:tcW w:w="869" w:type="dxa"/>
                      </w:tcPr>
                      <w:p>
                        <w:pPr>
                          <w:widowControl w:val="0"/>
                          <w:suppressAutoHyphens/>
                          <w:jc w:val="both"/>
                          <w:rPr>
                            <w:szCs w:val="24"/>
                          </w:rPr>
                        </w:pPr>
                        <w:r>
                          <w:rPr>
                            <w:szCs w:val="24"/>
                          </w:rPr>
                          <w:t>4.6.1.</w:t>
                        </w:r>
                      </w:p>
                    </w:tc>
                    <w:tc>
                      <w:tcPr>
                        <w:tcW w:w="2592" w:type="dxa"/>
                      </w:tcPr>
                      <w:p>
                        <w:pPr>
                          <w:widowControl w:val="0"/>
                          <w:suppressAutoHyphens/>
                          <w:ind w:firstLine="13"/>
                          <w:jc w:val="both"/>
                          <w:rPr>
                            <w:szCs w:val="24"/>
                          </w:rPr>
                        </w:pPr>
                        <w:r>
                          <w:rPr>
                            <w:szCs w:val="24"/>
                          </w:rPr>
                          <w:t>Naujų želdinių įsigijimas, pavojų keliančių medžių šalinimo darbai, medžių ir krūmų genėjimo darbai</w:t>
                        </w:r>
                      </w:p>
                    </w:tc>
                    <w:tc>
                      <w:tcPr>
                        <w:tcW w:w="4801" w:type="dxa"/>
                      </w:tcPr>
                      <w:p>
                        <w:pPr>
                          <w:widowControl w:val="0"/>
                          <w:suppressAutoHyphens/>
                          <w:ind w:firstLine="13"/>
                          <w:jc w:val="both"/>
                          <w:rPr>
                            <w:szCs w:val="24"/>
                          </w:rPr>
                        </w:pPr>
                        <w:r>
                          <w:rPr>
                            <w:szCs w:val="24"/>
                          </w:rPr>
                          <w:t>Asignavimų valdytojas – Radviliškio rajono savivaldybės administracija, atsakingas – Žemės ūkio skyrius, Radviliškio rajono savivaldybės administracijos seniūnijos. Vykdytojas – Radviliškio rajono savivaldybės administracijos seniūnijos. Vykdymo pradžia – 2026 m. I ketv., pabaiga – 2026 m. IV ketv. (Pagal pridedamą sąrašą.)</w:t>
                        </w:r>
                      </w:p>
                    </w:tc>
                    <w:tc>
                      <w:tcPr>
                        <w:tcW w:w="1366" w:type="dxa"/>
                        <w:gridSpan w:val="2"/>
                      </w:tcPr>
                      <w:p>
                        <w:pPr>
                          <w:widowControl w:val="0"/>
                          <w:suppressAutoHyphens/>
                          <w:jc w:val="center"/>
                          <w:rPr>
                            <w:szCs w:val="24"/>
                          </w:rPr>
                        </w:pPr>
                        <w:r>
                          <w:rPr>
                            <w:szCs w:val="24"/>
                          </w:rPr>
                          <w:t>41 072</w:t>
                        </w:r>
                      </w:p>
                      <w:p>
                        <w:pPr>
                          <w:widowControl w:val="0"/>
                          <w:suppressAutoHyphens/>
                          <w:jc w:val="center"/>
                          <w:rPr>
                            <w:szCs w:val="24"/>
                          </w:rPr>
                        </w:pPr>
                      </w:p>
                      <w:p>
                        <w:pPr>
                          <w:widowControl w:val="0"/>
                          <w:suppressAutoHyphens/>
                          <w:jc w:val="center"/>
                          <w:rPr>
                            <w:szCs w:val="24"/>
                          </w:rPr>
                        </w:pPr>
                      </w:p>
                    </w:tc>
                  </w:tr>
                  <w:tr>
                    <w:trPr>
                      <w:trHeight w:val="2208"/>
                    </w:trPr>
                    <w:tc>
                      <w:tcPr>
                        <w:tcW w:w="869" w:type="dxa"/>
                      </w:tcPr>
                      <w:p>
                        <w:pPr>
                          <w:widowControl w:val="0"/>
                          <w:suppressAutoHyphens/>
                          <w:jc w:val="both"/>
                          <w:rPr>
                            <w:szCs w:val="24"/>
                          </w:rPr>
                        </w:pPr>
                        <w:r>
                          <w:rPr>
                            <w:szCs w:val="24"/>
                          </w:rPr>
                          <w:t>4.6.2.</w:t>
                        </w:r>
                      </w:p>
                    </w:tc>
                    <w:tc>
                      <w:tcPr>
                        <w:tcW w:w="2592" w:type="dxa"/>
                      </w:tcPr>
                      <w:p>
                        <w:pPr>
                          <w:widowControl w:val="0"/>
                          <w:suppressAutoHyphens/>
                          <w:ind w:firstLine="13"/>
                          <w:jc w:val="both"/>
                          <w:rPr>
                            <w:szCs w:val="24"/>
                          </w:rPr>
                        </w:pPr>
                        <w:r>
                          <w:rPr>
                            <w:szCs w:val="24"/>
                          </w:rPr>
                          <w:t>Seminarai, konferencijos, parodos, komandiruotės; darbuotojų, susijusių su želdynų ir želdinių apsauga, priežiūra ir tvarkymu, mokymo ir kvalifikacijos kėlimas</w:t>
                        </w:r>
                      </w:p>
                    </w:tc>
                    <w:tc>
                      <w:tcPr>
                        <w:tcW w:w="4801" w:type="dxa"/>
                      </w:tcPr>
                      <w:p>
                        <w:pPr>
                          <w:widowControl w:val="0"/>
                          <w:suppressAutoHyphens/>
                          <w:ind w:firstLine="13"/>
                          <w:jc w:val="both"/>
                          <w:rPr>
                            <w:szCs w:val="24"/>
                          </w:rPr>
                        </w:pPr>
                        <w:r>
                          <w:rPr>
                            <w:szCs w:val="24"/>
                          </w:rPr>
                          <w:t>Asignavimų valdytojas – Radviliškio rajono savivaldybės administracija, atsakingas – Žemės ūkio skyrius. Vykdytojas – Žemės ūkio skyrius. Vykdymo pradžia – 2026 m. I ketv., pabaiga – 2026 m. IV ketv.</w:t>
                        </w:r>
                      </w:p>
                    </w:tc>
                    <w:tc>
                      <w:tcPr>
                        <w:tcW w:w="1366" w:type="dxa"/>
                        <w:gridSpan w:val="2"/>
                      </w:tcPr>
                      <w:p>
                        <w:pPr>
                          <w:widowControl w:val="0"/>
                          <w:suppressAutoHyphens/>
                          <w:jc w:val="center"/>
                          <w:rPr>
                            <w:szCs w:val="24"/>
                          </w:rPr>
                        </w:pPr>
                        <w:r>
                          <w:rPr>
                            <w:szCs w:val="24"/>
                          </w:rPr>
                          <w:t>1 210</w:t>
                        </w:r>
                      </w:p>
                      <w:p>
                        <w:pPr>
                          <w:widowControl w:val="0"/>
                          <w:suppressAutoHyphens/>
                          <w:jc w:val="center"/>
                          <w:rPr>
                            <w:szCs w:val="24"/>
                          </w:rPr>
                        </w:pPr>
                      </w:p>
                    </w:tc>
                  </w:tr>
                  <w:tr>
                    <w:trPr>
                      <w:trHeight w:val="1102"/>
                    </w:trPr>
                    <w:tc>
                      <w:tcPr>
                        <w:tcW w:w="869" w:type="dxa"/>
                      </w:tcPr>
                      <w:p>
                        <w:pPr>
                          <w:widowControl w:val="0"/>
                          <w:suppressAutoHyphens/>
                          <w:rPr>
                            <w:szCs w:val="24"/>
                          </w:rPr>
                        </w:pPr>
                        <w:r>
                          <w:rPr>
                            <w:szCs w:val="24"/>
                          </w:rPr>
                          <w:t>4.6.3.</w:t>
                        </w:r>
                      </w:p>
                    </w:tc>
                    <w:tc>
                      <w:tcPr>
                        <w:tcW w:w="2592" w:type="dxa"/>
                      </w:tcPr>
                      <w:p>
                        <w:pPr>
                          <w:widowControl w:val="0"/>
                          <w:suppressAutoHyphens/>
                          <w:jc w:val="both"/>
                          <w:rPr>
                            <w:szCs w:val="24"/>
                          </w:rPr>
                        </w:pPr>
                        <w:r>
                          <w:rPr>
                            <w:szCs w:val="24"/>
                          </w:rPr>
                          <w:t xml:space="preserve">Želdynų kūrimas, tvarkymas, pertvarkymas, inventorizavimas </w:t>
                        </w:r>
                      </w:p>
                      <w:p>
                        <w:pPr>
                          <w:widowControl w:val="0"/>
                          <w:suppressAutoHyphens/>
                          <w:jc w:val="both"/>
                          <w:rPr>
                            <w:szCs w:val="24"/>
                          </w:rPr>
                        </w:pPr>
                      </w:p>
                    </w:tc>
                    <w:tc>
                      <w:tcPr>
                        <w:tcW w:w="4801" w:type="dxa"/>
                      </w:tcPr>
                      <w:p>
                        <w:pPr>
                          <w:widowControl w:val="0"/>
                          <w:suppressAutoHyphens/>
                          <w:jc w:val="both"/>
                          <w:rPr>
                            <w:szCs w:val="24"/>
                          </w:rPr>
                        </w:pPr>
                        <w:r>
                          <w:rPr>
                            <w:szCs w:val="24"/>
                          </w:rPr>
                          <w:t>Asignavimų valdytojas – Radviliškio rajono savivaldybės administracija, atsakingas – Žemės ūkio skyrius. Vykdytojas – Žemės ūkio skyrius. Vykdymo pradžia – 2026 m. I ketv., pabaiga – 2026 m. IV ketv.</w:t>
                        </w:r>
                      </w:p>
                    </w:tc>
                    <w:tc>
                      <w:tcPr>
                        <w:tcW w:w="1366" w:type="dxa"/>
                        <w:gridSpan w:val="2"/>
                      </w:tcPr>
                      <w:p>
                        <w:pPr>
                          <w:widowControl w:val="0"/>
                          <w:suppressAutoHyphens/>
                          <w:jc w:val="center"/>
                          <w:rPr>
                            <w:szCs w:val="24"/>
                          </w:rPr>
                        </w:pPr>
                        <w:r>
                          <w:rPr>
                            <w:szCs w:val="24"/>
                          </w:rPr>
                          <w:t>18 150</w:t>
                        </w:r>
                      </w:p>
                      <w:p>
                        <w:pPr>
                          <w:widowControl w:val="0"/>
                          <w:suppressAutoHyphens/>
                          <w:jc w:val="center"/>
                          <w:rPr>
                            <w:szCs w:val="24"/>
                          </w:rPr>
                        </w:pPr>
                      </w:p>
                    </w:tc>
                  </w:tr>
                  <w:tr>
                    <w:trPr>
                      <w:trHeight w:val="825"/>
                    </w:trPr>
                    <w:tc>
                      <w:tcPr>
                        <w:tcW w:w="869" w:type="dxa"/>
                        <w:vMerge w:val="restart"/>
                      </w:tcPr>
                      <w:p>
                        <w:pPr>
                          <w:widowControl w:val="0"/>
                          <w:suppressAutoHyphens/>
                          <w:rPr>
                            <w:szCs w:val="24"/>
                          </w:rPr>
                        </w:pPr>
                        <w:r>
                          <w:rPr>
                            <w:szCs w:val="24"/>
                          </w:rPr>
                          <w:t>4.6.4.</w:t>
                        </w:r>
                      </w:p>
                    </w:tc>
                    <w:tc>
                      <w:tcPr>
                        <w:tcW w:w="2592" w:type="dxa"/>
                        <w:vMerge w:val="restart"/>
                      </w:tcPr>
                      <w:p>
                        <w:pPr>
                          <w:widowControl w:val="0"/>
                          <w:suppressAutoHyphens/>
                          <w:jc w:val="both"/>
                          <w:rPr>
                            <w:szCs w:val="24"/>
                          </w:rPr>
                        </w:pPr>
                        <w:r>
                          <w:rPr>
                            <w:szCs w:val="24"/>
                          </w:rPr>
                          <w:t>Medžių ir krūmų genėjimo, medžių gyvybingumo palaikymo darbai</w:t>
                        </w:r>
                      </w:p>
                    </w:tc>
                    <w:tc>
                      <w:tcPr>
                        <w:tcW w:w="4801" w:type="dxa"/>
                      </w:tcPr>
                      <w:p>
                        <w:pPr>
                          <w:widowControl w:val="0"/>
                          <w:suppressAutoHyphens/>
                          <w:jc w:val="both"/>
                          <w:rPr>
                            <w:szCs w:val="24"/>
                          </w:rPr>
                        </w:pPr>
                        <w:r>
                          <w:rPr>
                            <w:szCs w:val="24"/>
                          </w:rPr>
                          <w:t xml:space="preserve">Asignavimų valdytojas – </w:t>
                        </w:r>
                        <w:r>
                          <w:rPr>
                            <w:rFonts w:cs="Tahoma"/>
                            <w:szCs w:val="24"/>
                          </w:rPr>
                          <w:t>Radviliškio rajono savivaldybės administracija</w:t>
                        </w:r>
                        <w:r>
                          <w:rPr>
                            <w:szCs w:val="24"/>
                          </w:rPr>
                          <w:t>, atsakingas – Radviliškio miesto seniūnija. Vykdytojas – Radviliškio miesto seniūnija. Vykdymo pradžia – 2026 m. I ketv., pabaiga – 2026 m. IV ketv. (Darbus atliks arboristai.)</w:t>
                        </w:r>
                      </w:p>
                    </w:tc>
                    <w:tc>
                      <w:tcPr>
                        <w:tcW w:w="1366" w:type="dxa"/>
                        <w:gridSpan w:val="2"/>
                      </w:tcPr>
                      <w:p>
                        <w:pPr>
                          <w:widowControl w:val="0"/>
                          <w:suppressAutoHyphens/>
                          <w:jc w:val="center"/>
                          <w:rPr>
                            <w:szCs w:val="24"/>
                          </w:rPr>
                        </w:pPr>
                        <w:r>
                          <w:rPr>
                            <w:szCs w:val="24"/>
                          </w:rPr>
                          <w:t>5 000</w:t>
                        </w:r>
                      </w:p>
                      <w:p>
                        <w:pPr>
                          <w:widowControl w:val="0"/>
                          <w:suppressAutoHyphens/>
                          <w:rPr>
                            <w:szCs w:val="24"/>
                          </w:rPr>
                        </w:pPr>
                      </w:p>
                      <w:p>
                        <w:pPr>
                          <w:widowControl w:val="0"/>
                          <w:suppressAutoHyphens/>
                          <w:rPr>
                            <w:szCs w:val="24"/>
                          </w:rPr>
                        </w:pPr>
                      </w:p>
                    </w:tc>
                  </w:tr>
                  <w:tr>
                    <w:trPr>
                      <w:trHeight w:val="1663"/>
                    </w:trPr>
                    <w:tc>
                      <w:tcPr>
                        <w:tcW w:w="869" w:type="dxa"/>
                        <w:vMerge/>
                      </w:tcPr>
                      <w:p>
                        <w:pPr>
                          <w:widowControl w:val="0"/>
                          <w:suppressAutoHyphens/>
                          <w:rPr>
                            <w:szCs w:val="24"/>
                          </w:rPr>
                        </w:pPr>
                      </w:p>
                    </w:tc>
                    <w:tc>
                      <w:tcPr>
                        <w:tcW w:w="2592" w:type="dxa"/>
                        <w:vMerge/>
                      </w:tcPr>
                      <w:p>
                        <w:pPr>
                          <w:widowControl w:val="0"/>
                          <w:suppressAutoHyphens/>
                          <w:jc w:val="both"/>
                          <w:rPr>
                            <w:szCs w:val="24"/>
                          </w:rPr>
                        </w:pPr>
                      </w:p>
                    </w:tc>
                    <w:tc>
                      <w:tcPr>
                        <w:tcW w:w="4801" w:type="dxa"/>
                      </w:tcPr>
                      <w:p>
                        <w:pPr>
                          <w:widowControl w:val="0"/>
                          <w:suppressAutoHyphens/>
                          <w:jc w:val="both"/>
                          <w:rPr>
                            <w:szCs w:val="24"/>
                          </w:rPr>
                        </w:pPr>
                        <w:r>
                          <w:rPr>
                            <w:rFonts w:cs="Tahoma"/>
                            <w:szCs w:val="24"/>
                          </w:rPr>
                          <w:t>Asignavimų valdytojas – Radviliškio rajono savivaldybės administracija, atsakingas – Šeduvos miesto seniūnija. Vykdytojas – Šeduvos miesto seniūnija. Vykdymo pradžia –2026 m. I ketv.,</w:t>
                        </w:r>
                        <w:r>
                          <w:rPr>
                            <w:szCs w:val="24"/>
                          </w:rPr>
                          <w:t xml:space="preserve"> </w:t>
                        </w:r>
                        <w:r>
                          <w:rPr>
                            <w:rFonts w:cs="Tahoma"/>
                            <w:szCs w:val="24"/>
                          </w:rPr>
                          <w:t xml:space="preserve">pabaiga – 2026 m. IV ketv.  </w:t>
                        </w:r>
                        <w:r>
                          <w:rPr>
                            <w:szCs w:val="24"/>
                          </w:rPr>
                          <w:t>(Darbus atliks arboristai.)</w:t>
                        </w:r>
                      </w:p>
                    </w:tc>
                    <w:tc>
                      <w:tcPr>
                        <w:tcW w:w="1366" w:type="dxa"/>
                        <w:gridSpan w:val="2"/>
                      </w:tcPr>
                      <w:p>
                        <w:pPr>
                          <w:widowControl w:val="0"/>
                          <w:suppressAutoHyphens/>
                          <w:jc w:val="center"/>
                          <w:rPr>
                            <w:szCs w:val="24"/>
                          </w:rPr>
                        </w:pPr>
                        <w:r>
                          <w:rPr>
                            <w:szCs w:val="24"/>
                          </w:rPr>
                          <w:t>3 000</w:t>
                        </w:r>
                      </w:p>
                      <w:p>
                        <w:pPr>
                          <w:widowControl w:val="0"/>
                          <w:suppressAutoHyphens/>
                          <w:rPr>
                            <w:szCs w:val="24"/>
                          </w:rPr>
                        </w:pPr>
                      </w:p>
                      <w:p>
                        <w:pPr>
                          <w:widowControl w:val="0"/>
                          <w:suppressAutoHyphens/>
                          <w:jc w:val="center"/>
                          <w:rPr>
                            <w:szCs w:val="24"/>
                          </w:rPr>
                        </w:pPr>
                      </w:p>
                    </w:tc>
                  </w:tr>
                  <w:tr>
                    <w:trPr>
                      <w:trHeight w:val="690"/>
                    </w:trPr>
                    <w:tc>
                      <w:tcPr>
                        <w:tcW w:w="869" w:type="dxa"/>
                        <w:vMerge w:val="restart"/>
                      </w:tcPr>
                      <w:p>
                        <w:pPr>
                          <w:widowControl w:val="0"/>
                          <w:suppressAutoHyphens/>
                          <w:rPr>
                            <w:szCs w:val="24"/>
                          </w:rPr>
                        </w:pPr>
                        <w:r>
                          <w:rPr>
                            <w:szCs w:val="24"/>
                          </w:rPr>
                          <w:t>4.6.5.</w:t>
                        </w:r>
                      </w:p>
                    </w:tc>
                    <w:tc>
                      <w:tcPr>
                        <w:tcW w:w="2592" w:type="dxa"/>
                        <w:vMerge w:val="restart"/>
                      </w:tcPr>
                      <w:p>
                        <w:pPr>
                          <w:widowControl w:val="0"/>
                          <w:suppressAutoHyphens/>
                          <w:jc w:val="both"/>
                          <w:rPr>
                            <w:szCs w:val="24"/>
                          </w:rPr>
                        </w:pPr>
                        <w:r>
                          <w:rPr>
                            <w:szCs w:val="24"/>
                          </w:rPr>
                          <w:t>Želdynų tvarkymas, pertvarkymas, pagal želdinių tvarkymo projektus (aiškinamuosius raštus)</w:t>
                        </w:r>
                      </w:p>
                    </w:tc>
                    <w:tc>
                      <w:tcPr>
                        <w:tcW w:w="4801" w:type="dxa"/>
                      </w:tcPr>
                      <w:p>
                        <w:pPr>
                          <w:widowControl w:val="0"/>
                          <w:suppressAutoHyphens/>
                          <w:jc w:val="both"/>
                          <w:rPr>
                            <w:szCs w:val="24"/>
                          </w:rPr>
                        </w:pPr>
                        <w:r>
                          <w:rPr>
                            <w:szCs w:val="24"/>
                          </w:rPr>
                          <w:t xml:space="preserve">Asignavimų valdytojas – </w:t>
                        </w:r>
                        <w:r>
                          <w:rPr>
                            <w:rFonts w:cs="Tahoma"/>
                            <w:szCs w:val="24"/>
                          </w:rPr>
                          <w:t>Radviliškio rajono savivaldybės administracija</w:t>
                        </w:r>
                        <w:r>
                          <w:rPr>
                            <w:szCs w:val="24"/>
                          </w:rPr>
                          <w:t>, atsakingas – Radviliškio miesto seniūnija. Vykdytojas – Radviliškio miesto seniūnija. Vykdymo pradžia – 2026 m. I ketv., pabaiga – 2026 m. IV ketv.</w:t>
                        </w:r>
                      </w:p>
                    </w:tc>
                    <w:tc>
                      <w:tcPr>
                        <w:tcW w:w="1366" w:type="dxa"/>
                        <w:gridSpan w:val="2"/>
                      </w:tcPr>
                      <w:p>
                        <w:pPr>
                          <w:widowControl w:val="0"/>
                          <w:suppressAutoHyphens/>
                          <w:jc w:val="center"/>
                          <w:rPr>
                            <w:rFonts w:cs="Tahoma"/>
                            <w:szCs w:val="24"/>
                          </w:rPr>
                        </w:pPr>
                        <w:r>
                          <w:rPr>
                            <w:rFonts w:cs="Tahoma"/>
                            <w:szCs w:val="24"/>
                          </w:rPr>
                          <w:t>5 000</w:t>
                        </w:r>
                      </w:p>
                      <w:p>
                        <w:pPr>
                          <w:widowControl w:val="0"/>
                          <w:suppressAutoHyphens/>
                          <w:jc w:val="center"/>
                          <w:rPr>
                            <w:szCs w:val="24"/>
                          </w:rPr>
                        </w:pPr>
                      </w:p>
                    </w:tc>
                  </w:tr>
                  <w:tr>
                    <w:trPr>
                      <w:trHeight w:val="690"/>
                    </w:trPr>
                    <w:tc>
                      <w:tcPr>
                        <w:tcW w:w="869" w:type="dxa"/>
                        <w:vMerge/>
                      </w:tcPr>
                      <w:p>
                        <w:pPr>
                          <w:widowControl w:val="0"/>
                          <w:suppressAutoHyphens/>
                          <w:rPr>
                            <w:szCs w:val="24"/>
                          </w:rPr>
                        </w:pPr>
                      </w:p>
                    </w:tc>
                    <w:tc>
                      <w:tcPr>
                        <w:tcW w:w="2592" w:type="dxa"/>
                        <w:vMerge/>
                      </w:tcPr>
                      <w:p>
                        <w:pPr>
                          <w:widowControl w:val="0"/>
                          <w:suppressAutoHyphens/>
                          <w:rPr>
                            <w:szCs w:val="24"/>
                          </w:rPr>
                        </w:pPr>
                      </w:p>
                    </w:tc>
                    <w:tc>
                      <w:tcPr>
                        <w:tcW w:w="4801" w:type="dxa"/>
                      </w:tcPr>
                      <w:p>
                        <w:pPr>
                          <w:widowControl w:val="0"/>
                          <w:suppressAutoHyphens/>
                          <w:jc w:val="both"/>
                          <w:rPr>
                            <w:szCs w:val="24"/>
                          </w:rPr>
                        </w:pPr>
                        <w:r>
                          <w:rPr>
                            <w:szCs w:val="24"/>
                          </w:rPr>
                          <w:t xml:space="preserve">Asignavimų valdytojas – </w:t>
                        </w:r>
                        <w:r>
                          <w:rPr>
                            <w:rFonts w:cs="Tahoma"/>
                            <w:szCs w:val="24"/>
                          </w:rPr>
                          <w:t>Radviliškio rajono savivaldybės administracija</w:t>
                        </w:r>
                        <w:r>
                          <w:rPr>
                            <w:szCs w:val="24"/>
                          </w:rPr>
                          <w:t>, atsakingas – Šeduvos miesto seniūnija. Vykdytojas – Šeduvos miesto seniūnija. Vykdymo pradžia – 2026 m. I ketv., pabaiga – 2026 m. IV ketv.</w:t>
                        </w:r>
                      </w:p>
                    </w:tc>
                    <w:tc>
                      <w:tcPr>
                        <w:tcW w:w="1366" w:type="dxa"/>
                        <w:gridSpan w:val="2"/>
                      </w:tcPr>
                      <w:p>
                        <w:pPr>
                          <w:widowControl w:val="0"/>
                          <w:suppressAutoHyphens/>
                          <w:jc w:val="center"/>
                          <w:rPr>
                            <w:rFonts w:cs="Tahoma"/>
                            <w:szCs w:val="24"/>
                          </w:rPr>
                        </w:pPr>
                        <w:r>
                          <w:rPr>
                            <w:rFonts w:cs="Tahoma"/>
                            <w:szCs w:val="24"/>
                          </w:rPr>
                          <w:t>5 000</w:t>
                        </w:r>
                      </w:p>
                      <w:p>
                        <w:pPr>
                          <w:widowControl w:val="0"/>
                          <w:suppressAutoHyphens/>
                          <w:jc w:val="center"/>
                          <w:rPr>
                            <w:rFonts w:cs="Tahoma"/>
                            <w:szCs w:val="24"/>
                          </w:rPr>
                        </w:pPr>
                      </w:p>
                    </w:tc>
                  </w:tr>
                  <w:tr>
                    <w:trPr>
                      <w:trHeight w:val="276"/>
                    </w:trPr>
                    <w:tc>
                      <w:tcPr>
                        <w:tcW w:w="869" w:type="dxa"/>
                        <w:vMerge/>
                      </w:tcPr>
                      <w:p>
                        <w:pPr>
                          <w:widowControl w:val="0"/>
                          <w:suppressAutoHyphens/>
                          <w:rPr>
                            <w:szCs w:val="24"/>
                          </w:rPr>
                        </w:pPr>
                      </w:p>
                    </w:tc>
                    <w:tc>
                      <w:tcPr>
                        <w:tcW w:w="2592" w:type="dxa"/>
                        <w:vMerge/>
                      </w:tcPr>
                      <w:p>
                        <w:pPr>
                          <w:widowControl w:val="0"/>
                          <w:suppressAutoHyphens/>
                          <w:rPr>
                            <w:szCs w:val="24"/>
                          </w:rPr>
                        </w:pPr>
                      </w:p>
                    </w:tc>
                    <w:tc>
                      <w:tcPr>
                        <w:tcW w:w="4801" w:type="dxa"/>
                      </w:tcPr>
                      <w:p>
                        <w:pPr>
                          <w:widowControl w:val="0"/>
                          <w:suppressAutoHyphens/>
                          <w:jc w:val="both"/>
                          <w:rPr>
                            <w:szCs w:val="24"/>
                          </w:rPr>
                        </w:pPr>
                        <w:r>
                          <w:rPr>
                            <w:szCs w:val="24"/>
                          </w:rPr>
                          <w:t xml:space="preserve">Asignavimų valdytojas – </w:t>
                        </w:r>
                        <w:r>
                          <w:rPr>
                            <w:rFonts w:cs="Tahoma"/>
                            <w:szCs w:val="24"/>
                          </w:rPr>
                          <w:t>Radviliškio rajono savivaldybės administracija</w:t>
                        </w:r>
                        <w:r>
                          <w:rPr>
                            <w:szCs w:val="24"/>
                          </w:rPr>
                          <w:t xml:space="preserve">, atsakingas – </w:t>
                        </w:r>
                        <w:r>
                          <w:rPr>
                            <w:szCs w:val="24"/>
                            <w:lang w:eastAsia="lt-LT"/>
                          </w:rPr>
                          <w:t>Daugyvenės kultūros istorijos muziejus-draustinis</w:t>
                        </w:r>
                        <w:r>
                          <w:rPr>
                            <w:szCs w:val="24"/>
                          </w:rPr>
                          <w:t xml:space="preserve">. Vykdytojas – </w:t>
                        </w:r>
                        <w:r>
                          <w:rPr>
                            <w:szCs w:val="24"/>
                            <w:lang w:eastAsia="lt-LT"/>
                          </w:rPr>
                          <w:t>Daugyvenės kultūros istorijos muziejus-draustinis</w:t>
                        </w:r>
                        <w:r>
                          <w:rPr>
                            <w:szCs w:val="24"/>
                          </w:rPr>
                          <w:t>. Vykdymo pradžia – 2026 m. I ketv., pabaiga – 2026 m. IV ketv.</w:t>
                        </w:r>
                      </w:p>
                    </w:tc>
                    <w:tc>
                      <w:tcPr>
                        <w:tcW w:w="1366" w:type="dxa"/>
                        <w:gridSpan w:val="2"/>
                      </w:tcPr>
                      <w:p>
                        <w:pPr>
                          <w:widowControl w:val="0"/>
                          <w:suppressAutoHyphens/>
                          <w:jc w:val="center"/>
                          <w:rPr>
                            <w:rFonts w:cs="Tahoma"/>
                            <w:szCs w:val="24"/>
                          </w:rPr>
                        </w:pPr>
                        <w:r>
                          <w:rPr>
                            <w:rFonts w:cs="Tahoma"/>
                            <w:szCs w:val="24"/>
                          </w:rPr>
                          <w:t>3 000</w:t>
                        </w:r>
                      </w:p>
                      <w:p>
                        <w:pPr>
                          <w:widowControl w:val="0"/>
                          <w:suppressAutoHyphens/>
                          <w:jc w:val="center"/>
                          <w:rPr>
                            <w:szCs w:val="24"/>
                          </w:rPr>
                        </w:pPr>
                      </w:p>
                    </w:tc>
                  </w:tr>
                  <w:tr>
                    <w:trPr>
                      <w:trHeight w:val="1102"/>
                    </w:trPr>
                    <w:tc>
                      <w:tcPr>
                        <w:tcW w:w="869" w:type="dxa"/>
                      </w:tcPr>
                      <w:p>
                        <w:pPr>
                          <w:widowControl w:val="0"/>
                          <w:suppressAutoHyphens/>
                          <w:rPr>
                            <w:szCs w:val="24"/>
                          </w:rPr>
                        </w:pPr>
                        <w:r>
                          <w:rPr>
                            <w:szCs w:val="24"/>
                          </w:rPr>
                          <w:t>4.6.6.</w:t>
                        </w:r>
                      </w:p>
                    </w:tc>
                    <w:tc>
                      <w:tcPr>
                        <w:tcW w:w="2592" w:type="dxa"/>
                      </w:tcPr>
                      <w:p>
                        <w:pPr>
                          <w:widowControl w:val="0"/>
                          <w:suppressAutoHyphens/>
                          <w:jc w:val="both"/>
                          <w:rPr>
                            <w:szCs w:val="24"/>
                          </w:rPr>
                        </w:pPr>
                        <w:r>
                          <w:rPr>
                            <w:szCs w:val="24"/>
                          </w:rPr>
                          <w:t>Želdynų ir želdinių būklės stebėsenos programos įgyvendinimas</w:t>
                        </w:r>
                      </w:p>
                    </w:tc>
                    <w:tc>
                      <w:tcPr>
                        <w:tcW w:w="4801" w:type="dxa"/>
                      </w:tcPr>
                      <w:p>
                        <w:pPr>
                          <w:widowControl w:val="0"/>
                          <w:suppressAutoHyphens/>
                          <w:jc w:val="both"/>
                          <w:rPr>
                            <w:szCs w:val="24"/>
                          </w:rPr>
                        </w:pPr>
                        <w:r>
                          <w:rPr>
                            <w:szCs w:val="24"/>
                          </w:rPr>
                          <w:t>Asignavimų valdytojas – Radviliškio rajono savivaldybės administracija, atsakingas – Žemės ūkio skyrius. Vykdytojas – Žemės ūkio skyrius. Vykdymo pradžia – 2026 m. I ketv., pabaiga – 2026 m. IV ketv.</w:t>
                        </w:r>
                      </w:p>
                    </w:tc>
                    <w:tc>
                      <w:tcPr>
                        <w:tcW w:w="1366" w:type="dxa"/>
                        <w:gridSpan w:val="2"/>
                      </w:tcPr>
                      <w:p>
                        <w:pPr>
                          <w:widowControl w:val="0"/>
                          <w:suppressAutoHyphens/>
                          <w:jc w:val="center"/>
                          <w:rPr>
                            <w:szCs w:val="24"/>
                          </w:rPr>
                        </w:pPr>
                        <w:r>
                          <w:rPr>
                            <w:rFonts w:cs="Tahoma"/>
                            <w:szCs w:val="24"/>
                          </w:rPr>
                          <w:t>4 235</w:t>
                        </w:r>
                      </w:p>
                    </w:tc>
                  </w:tr>
                  <w:tr>
                    <w:trPr>
                      <w:trHeight w:val="1102"/>
                    </w:trPr>
                    <w:tc>
                      <w:tcPr>
                        <w:tcW w:w="869" w:type="dxa"/>
                      </w:tcPr>
                      <w:p>
                        <w:pPr>
                          <w:widowControl w:val="0"/>
                          <w:suppressAutoHyphens/>
                          <w:rPr>
                            <w:szCs w:val="24"/>
                          </w:rPr>
                        </w:pPr>
                        <w:r>
                          <w:rPr>
                            <w:szCs w:val="24"/>
                          </w:rPr>
                          <w:t>4.6.7.</w:t>
                        </w:r>
                      </w:p>
                    </w:tc>
                    <w:tc>
                      <w:tcPr>
                        <w:tcW w:w="2592" w:type="dxa"/>
                      </w:tcPr>
                      <w:p>
                        <w:pPr>
                          <w:widowControl w:val="0"/>
                          <w:suppressAutoHyphens/>
                          <w:jc w:val="both"/>
                          <w:rPr>
                            <w:szCs w:val="24"/>
                          </w:rPr>
                        </w:pPr>
                        <w:r>
                          <w:rPr>
                            <w:szCs w:val="24"/>
                          </w:rPr>
                          <w:t>Želdynų ir želdinių būklės stebėsenos programos parengimas</w:t>
                        </w:r>
                      </w:p>
                    </w:tc>
                    <w:tc>
                      <w:tcPr>
                        <w:tcW w:w="4801" w:type="dxa"/>
                      </w:tcPr>
                      <w:p>
                        <w:pPr>
                          <w:widowControl w:val="0"/>
                          <w:suppressAutoHyphens/>
                          <w:jc w:val="both"/>
                          <w:rPr>
                            <w:szCs w:val="24"/>
                          </w:rPr>
                        </w:pPr>
                        <w:r>
                          <w:rPr>
                            <w:szCs w:val="24"/>
                          </w:rPr>
                          <w:t>Asignavimų valdytojas – Radviliškio rajono savivaldybės administracija, atsakingas – Žemės ūkio skyrius. Vykdytojas – atrinktas per viešąjį konkursą. Vykdymo pradžia – 2026 m. I ketv., pabaiga – 2026 m. IV ketv.</w:t>
                        </w:r>
                      </w:p>
                    </w:tc>
                    <w:tc>
                      <w:tcPr>
                        <w:tcW w:w="1366" w:type="dxa"/>
                        <w:gridSpan w:val="2"/>
                      </w:tcPr>
                      <w:p>
                        <w:pPr>
                          <w:widowControl w:val="0"/>
                          <w:suppressAutoHyphens/>
                          <w:jc w:val="center"/>
                          <w:rPr>
                            <w:rFonts w:cs="Tahoma"/>
                            <w:szCs w:val="24"/>
                          </w:rPr>
                        </w:pPr>
                        <w:r>
                          <w:rPr>
                            <w:rFonts w:cs="Tahoma"/>
                            <w:szCs w:val="24"/>
                          </w:rPr>
                          <w:t>1 507</w:t>
                        </w:r>
                      </w:p>
                    </w:tc>
                  </w:tr>
                  <w:tr>
                    <w:tc>
                      <w:tcPr>
                        <w:tcW w:w="869" w:type="dxa"/>
                      </w:tcPr>
                      <w:p>
                        <w:pPr>
                          <w:widowControl w:val="0"/>
                          <w:suppressAutoHyphens/>
                          <w:jc w:val="both"/>
                          <w:rPr>
                            <w:szCs w:val="24"/>
                          </w:rPr>
                        </w:pPr>
                      </w:p>
                    </w:tc>
                    <w:tc>
                      <w:tcPr>
                        <w:tcW w:w="7399" w:type="dxa"/>
                        <w:gridSpan w:val="3"/>
                      </w:tcPr>
                      <w:p>
                        <w:pPr>
                          <w:widowControl w:val="0"/>
                          <w:suppressAutoHyphens/>
                          <w:jc w:val="both"/>
                          <w:rPr>
                            <w:szCs w:val="24"/>
                          </w:rPr>
                        </w:pPr>
                        <w:r>
                          <w:rPr>
                            <w:szCs w:val="24"/>
                          </w:rPr>
                          <w:t xml:space="preserve">Iš viso: </w:t>
                        </w:r>
                      </w:p>
                    </w:tc>
                    <w:tc>
                      <w:tcPr>
                        <w:tcW w:w="1360" w:type="dxa"/>
                      </w:tcPr>
                      <w:p>
                        <w:pPr>
                          <w:widowControl w:val="0"/>
                          <w:suppressAutoHyphens/>
                          <w:jc w:val="center"/>
                          <w:rPr>
                            <w:b/>
                            <w:bCs/>
                            <w:szCs w:val="24"/>
                          </w:rPr>
                        </w:pPr>
                        <w:r>
                          <w:rPr>
                            <w:b/>
                            <w:bCs/>
                            <w:szCs w:val="24"/>
                          </w:rPr>
                          <w:t>241 460</w:t>
                        </w:r>
                      </w:p>
                      <w:p>
                        <w:pPr>
                          <w:widowControl w:val="0"/>
                          <w:suppressAutoHyphens/>
                          <w:jc w:val="center"/>
                          <w:rPr>
                            <w:b/>
                            <w:bCs/>
                            <w:szCs w:val="24"/>
                          </w:rPr>
                        </w:pPr>
                      </w:p>
                    </w:tc>
                  </w:tr>
                </w:tbl>
                <w:p>
                  <w:pPr>
                    <w:jc w:val="both"/>
                    <w:rPr>
                      <w:b/>
                      <w:szCs w:val="24"/>
                    </w:rPr>
                  </w:pPr>
                </w:p>
              </w:sdtContent>
            </w:sdt>
            <w:sdt>
              <w:sdtPr>
                <w:alias w:val="frm. 5 p."/>
                <w:tag w:val="part_003643d573e54394801a58a5a089228e"/>
                <w:lock w:val="sdtLocked"/>
                <w:richText/>
              </w:sdtPr>
              <w:sdtContent>
                <w:p>
                  <w:pPr>
                    <w:jc w:val="both"/>
                    <w:rPr>
                      <w:b/>
                      <w:szCs w:val="24"/>
                    </w:rPr>
                  </w:pPr>
                  <w:sdt>
                    <w:sdtPr>
                      <w:alias w:val="Numeris"/>
                      <w:tag w:val="nr_003643d573e54394801a58a5a089228e"/>
                      <w:lock w:val="sdtLocked"/>
                      <w:richText/>
                    </w:sdtPr>
                    <w:sdtContent>
                      <w:r>
                        <w:rPr>
                          <w:b/>
                          <w:szCs w:val="24"/>
                        </w:rPr>
                        <w:t>5</w:t>
                      </w:r>
                    </w:sdtContent>
                  </w:sdt>
                  <w:r>
                    <w:rPr>
                      <w:b/>
                      <w:szCs w:val="24"/>
                    </w:rPr>
                    <w:t>.</w:t>
                  </w:r>
                  <w:r>
                    <w:rPr>
                      <w:szCs w:val="24"/>
                    </w:rPr>
                    <w:t xml:space="preserve"> </w:t>
                  </w:r>
                  <w:r>
                    <w:rPr>
                      <w:b/>
                      <w:szCs w:val="24"/>
                    </w:rPr>
                    <w:t>Ataskaitinio laikotarpio Programos lėšų likučiai (nepanaudotos lėšos)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7"/>
                    <w:gridCol w:w="6"/>
                    <w:gridCol w:w="7569"/>
                    <w:gridCol w:w="1366"/>
                  </w:tblGrid>
                  <w:tr>
                    <w:trPr>
                      <w:trHeight w:val="512"/>
                    </w:trPr>
                    <w:tc>
                      <w:tcPr>
                        <w:tcW w:w="693" w:type="dxa"/>
                        <w:gridSpan w:val="2"/>
                      </w:tcPr>
                      <w:p>
                        <w:pPr>
                          <w:widowControl w:val="0"/>
                          <w:suppressAutoHyphens/>
                          <w:jc w:val="both"/>
                          <w:rPr>
                            <w:b/>
                            <w:szCs w:val="24"/>
                          </w:rPr>
                        </w:pPr>
                        <w:r>
                          <w:rPr>
                            <w:b/>
                            <w:szCs w:val="24"/>
                          </w:rPr>
                          <w:t>Eil. Nr.</w:t>
                        </w:r>
                      </w:p>
                    </w:tc>
                    <w:tc>
                      <w:tcPr>
                        <w:tcW w:w="7569" w:type="dxa"/>
                      </w:tcPr>
                      <w:p>
                        <w:pPr>
                          <w:widowControl w:val="0"/>
                          <w:suppressAutoHyphens/>
                          <w:jc w:val="both"/>
                          <w:rPr>
                            <w:b/>
                            <w:szCs w:val="24"/>
                          </w:rPr>
                        </w:pPr>
                        <w:r>
                          <w:rPr>
                            <w:b/>
                            <w:szCs w:val="24"/>
                          </w:rPr>
                          <w:t>Programos priemonių grupės pavadinimas</w:t>
                        </w:r>
                      </w:p>
                    </w:tc>
                    <w:tc>
                      <w:tcPr>
                        <w:tcW w:w="1366" w:type="dxa"/>
                      </w:tcPr>
                      <w:p>
                        <w:pPr>
                          <w:widowControl w:val="0"/>
                          <w:suppressAutoHyphens/>
                          <w:jc w:val="both"/>
                          <w:rPr>
                            <w:b/>
                            <w:szCs w:val="24"/>
                          </w:rPr>
                        </w:pPr>
                        <w:r>
                          <w:rPr>
                            <w:b/>
                            <w:szCs w:val="24"/>
                          </w:rPr>
                          <w:t>Lėšų likutis, Eur</w:t>
                        </w:r>
                      </w:p>
                    </w:tc>
                  </w:tr>
                  <w:tr>
                    <w:trPr>
                      <w:trHeight w:val="499"/>
                    </w:trPr>
                    <w:tc>
                      <w:tcPr>
                        <w:tcW w:w="693" w:type="dxa"/>
                        <w:gridSpan w:val="2"/>
                      </w:tcPr>
                      <w:p>
                        <w:pPr>
                          <w:widowControl w:val="0"/>
                          <w:suppressAutoHyphens/>
                          <w:jc w:val="both"/>
                          <w:rPr>
                            <w:szCs w:val="24"/>
                          </w:rPr>
                        </w:pPr>
                        <w:r>
                          <w:rPr>
                            <w:szCs w:val="24"/>
                          </w:rPr>
                          <w:t>5.1.</w:t>
                        </w:r>
                      </w:p>
                    </w:tc>
                    <w:tc>
                      <w:tcPr>
                        <w:tcW w:w="7569" w:type="dxa"/>
                      </w:tcPr>
                      <w:p>
                        <w:pPr>
                          <w:widowControl w:val="0"/>
                          <w:suppressAutoHyphens/>
                          <w:rPr>
                            <w:szCs w:val="24"/>
                          </w:rPr>
                        </w:pPr>
                        <w:r>
                          <w:rPr>
                            <w:szCs w:val="24"/>
                          </w:rPr>
                          <w:t>Programos priemonių grupė, kuriai naudojamos lėšos, surinktos už medžiojamųjų gyvūnų išteklių naudojimą (1.8–2)</w:t>
                        </w:r>
                      </w:p>
                    </w:tc>
                    <w:tc>
                      <w:tcPr>
                        <w:tcW w:w="1366" w:type="dxa"/>
                      </w:tcPr>
                      <w:p>
                        <w:pPr>
                          <w:widowControl w:val="0"/>
                          <w:suppressAutoHyphens/>
                          <w:jc w:val="center"/>
                          <w:rPr>
                            <w:szCs w:val="24"/>
                          </w:rPr>
                        </w:pPr>
                        <w:r>
                          <w:rPr>
                            <w:szCs w:val="24"/>
                          </w:rPr>
                          <w:t>0</w:t>
                        </w:r>
                      </w:p>
                    </w:tc>
                  </w:tr>
                  <w:tr>
                    <w:trPr>
                      <w:trHeight w:val="249"/>
                    </w:trPr>
                    <w:tc>
                      <w:tcPr>
                        <w:tcW w:w="693" w:type="dxa"/>
                        <w:gridSpan w:val="2"/>
                      </w:tcPr>
                      <w:p>
                        <w:pPr>
                          <w:widowControl w:val="0"/>
                          <w:suppressAutoHyphens/>
                          <w:jc w:val="both"/>
                          <w:rPr>
                            <w:szCs w:val="24"/>
                          </w:rPr>
                        </w:pPr>
                        <w:r>
                          <w:rPr>
                            <w:szCs w:val="24"/>
                          </w:rPr>
                          <w:t>5.2.</w:t>
                        </w:r>
                      </w:p>
                    </w:tc>
                    <w:tc>
                      <w:tcPr>
                        <w:tcW w:w="7569" w:type="dxa"/>
                      </w:tcPr>
                      <w:p>
                        <w:pPr>
                          <w:widowControl w:val="0"/>
                          <w:suppressAutoHyphens/>
                          <w:jc w:val="both"/>
                          <w:rPr>
                            <w:szCs w:val="24"/>
                          </w:rPr>
                        </w:pPr>
                        <w:r>
                          <w:rPr>
                            <w:szCs w:val="24"/>
                          </w:rPr>
                          <w:t>Savivaldybės visuomenės sveikatos rėmimo specialioji programa (1.12–3)</w:t>
                        </w:r>
                      </w:p>
                    </w:tc>
                    <w:tc>
                      <w:tcPr>
                        <w:tcW w:w="1366" w:type="dxa"/>
                      </w:tcPr>
                      <w:p>
                        <w:pPr>
                          <w:widowControl w:val="0"/>
                          <w:suppressAutoHyphens/>
                          <w:jc w:val="center"/>
                          <w:rPr>
                            <w:szCs w:val="24"/>
                          </w:rPr>
                        </w:pPr>
                        <w:r>
                          <w:rPr>
                            <w:szCs w:val="24"/>
                          </w:rPr>
                          <w:t>0</w:t>
                        </w:r>
                      </w:p>
                    </w:tc>
                  </w:tr>
                  <w:tr>
                    <w:trPr>
                      <w:trHeight w:val="263"/>
                    </w:trPr>
                    <w:tc>
                      <w:tcPr>
                        <w:tcW w:w="693" w:type="dxa"/>
                        <w:gridSpan w:val="2"/>
                      </w:tcPr>
                      <w:p>
                        <w:pPr>
                          <w:widowControl w:val="0"/>
                          <w:suppressAutoHyphens/>
                          <w:jc w:val="both"/>
                          <w:rPr>
                            <w:szCs w:val="24"/>
                          </w:rPr>
                        </w:pPr>
                        <w:r>
                          <w:rPr>
                            <w:szCs w:val="24"/>
                          </w:rPr>
                          <w:t>5.3.</w:t>
                        </w:r>
                      </w:p>
                    </w:tc>
                    <w:tc>
                      <w:tcPr>
                        <w:tcW w:w="7569" w:type="dxa"/>
                      </w:tcPr>
                      <w:p>
                        <w:pPr>
                          <w:widowControl w:val="0"/>
                          <w:suppressAutoHyphens/>
                          <w:jc w:val="both"/>
                          <w:rPr>
                            <w:szCs w:val="24"/>
                          </w:rPr>
                        </w:pPr>
                        <w:r>
                          <w:rPr>
                            <w:szCs w:val="24"/>
                          </w:rPr>
                          <w:t>Kitų Programos aplinkosaugos priemonių grupė (1.15–4)</w:t>
                        </w:r>
                      </w:p>
                    </w:tc>
                    <w:tc>
                      <w:tcPr>
                        <w:tcW w:w="1366" w:type="dxa"/>
                      </w:tcPr>
                      <w:p>
                        <w:pPr>
                          <w:widowControl w:val="0"/>
                          <w:suppressAutoHyphens/>
                          <w:jc w:val="center"/>
                          <w:rPr>
                            <w:szCs w:val="24"/>
                          </w:rPr>
                        </w:pPr>
                        <w:r>
                          <w:rPr>
                            <w:szCs w:val="24"/>
                          </w:rPr>
                          <w:t>0</w:t>
                        </w:r>
                      </w:p>
                    </w:tc>
                  </w:tr>
                  <w:tr>
                    <w:trPr>
                      <w:trHeight w:val="249"/>
                    </w:trPr>
                    <w:tc>
                      <w:tcPr>
                        <w:tcW w:w="687" w:type="dxa"/>
                      </w:tcPr>
                      <w:p>
                        <w:pPr>
                          <w:widowControl w:val="0"/>
                          <w:suppressAutoHyphens/>
                          <w:jc w:val="both"/>
                          <w:rPr>
                            <w:szCs w:val="24"/>
                          </w:rPr>
                        </w:pPr>
                        <w:r>
                          <w:rPr>
                            <w:szCs w:val="24"/>
                          </w:rPr>
                          <w:t>5.4.</w:t>
                        </w:r>
                      </w:p>
                    </w:tc>
                    <w:tc>
                      <w:tcPr>
                        <w:tcW w:w="7575" w:type="dxa"/>
                        <w:gridSpan w:val="2"/>
                      </w:tcPr>
                      <w:p>
                        <w:pPr>
                          <w:widowControl w:val="0"/>
                          <w:suppressAutoHyphens/>
                          <w:jc w:val="both"/>
                          <w:rPr>
                            <w:szCs w:val="24"/>
                          </w:rPr>
                        </w:pPr>
                        <w:r>
                          <w:rPr>
                            <w:szCs w:val="24"/>
                          </w:rPr>
                          <w:t xml:space="preserve">Iš viso: </w:t>
                        </w:r>
                      </w:p>
                    </w:tc>
                    <w:tc>
                      <w:tcPr>
                        <w:tcW w:w="1366" w:type="dxa"/>
                      </w:tcPr>
                      <w:p>
                        <w:pPr>
                          <w:widowControl w:val="0"/>
                          <w:suppressAutoHyphens/>
                          <w:jc w:val="center"/>
                          <w:rPr>
                            <w:szCs w:val="24"/>
                          </w:rPr>
                        </w:pPr>
                        <w:r>
                          <w:rPr>
                            <w:szCs w:val="24"/>
                          </w:rPr>
                          <w:t>0</w:t>
                        </w:r>
                      </w:p>
                    </w:tc>
                  </w:tr>
                </w:tbl>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ind w:left="3888" w:firstLine="1074"/>
                    <w:jc w:val="center"/>
                    <w:rPr>
                      <w:szCs w:val="24"/>
                      <w:lang w:eastAsia="lt-LT"/>
                    </w:rPr>
                  </w:pPr>
                  <w:r>
                    <w:rPr>
                      <w:szCs w:val="24"/>
                      <w:lang w:eastAsia="lt-LT"/>
                    </w:rPr>
                    <w:t xml:space="preserve">Radviliškio rajono savivaldybės tarybos    </w:t>
                  </w:r>
                </w:p>
                <w:p>
                  <w:pPr>
                    <w:ind w:firstLine="5400"/>
                    <w:jc w:val="both"/>
                    <w:rPr>
                      <w:szCs w:val="24"/>
                      <w:lang w:eastAsia="lt-LT"/>
                    </w:rPr>
                  </w:pPr>
                  <w:r>
                    <w:rPr>
                      <w:szCs w:val="24"/>
                      <w:lang w:eastAsia="lt-LT"/>
                    </w:rPr>
                    <w:t xml:space="preserve">2026 m. vasario 12 d. sprendimu Nr. T-       </w:t>
                  </w:r>
                </w:p>
                <w:p>
                  <w:pPr>
                    <w:ind w:firstLine="5400"/>
                    <w:jc w:val="both"/>
                    <w:rPr>
                      <w:szCs w:val="24"/>
                      <w:lang w:eastAsia="lt-LT"/>
                    </w:rPr>
                  </w:pPr>
                  <w:r>
                    <w:rPr>
                      <w:szCs w:val="24"/>
                      <w:lang w:eastAsia="lt-LT"/>
                    </w:rPr>
                    <w:t>patvirtintos Radviliškio rajono savivaldybės</w:t>
                  </w:r>
                </w:p>
                <w:p>
                  <w:pPr>
                    <w:ind w:firstLine="5400"/>
                    <w:jc w:val="both"/>
                    <w:rPr>
                      <w:szCs w:val="24"/>
                      <w:lang w:eastAsia="lt-LT"/>
                    </w:rPr>
                  </w:pPr>
                  <w:r>
                    <w:rPr>
                      <w:szCs w:val="24"/>
                      <w:lang w:eastAsia="lt-LT"/>
                    </w:rPr>
                    <w:t>Aplinkos apsaugos rėmimo specialiosios</w:t>
                  </w:r>
                </w:p>
                <w:p>
                  <w:pPr>
                    <w:ind w:firstLine="5400"/>
                    <w:jc w:val="both"/>
                    <w:rPr>
                      <w:szCs w:val="24"/>
                      <w:lang w:eastAsia="lt-LT"/>
                    </w:rPr>
                  </w:pPr>
                  <w:r>
                    <w:rPr>
                      <w:szCs w:val="24"/>
                      <w:lang w:eastAsia="lt-LT"/>
                    </w:rPr>
                    <w:t>programos 2026 metų sąmatos IV dalies 6</w:t>
                  </w:r>
                </w:p>
                <w:p>
                  <w:pPr>
                    <w:ind w:firstLine="5400"/>
                    <w:jc w:val="both"/>
                    <w:rPr>
                      <w:szCs w:val="24"/>
                      <w:lang w:eastAsia="lt-LT"/>
                    </w:rPr>
                  </w:pPr>
                  <w:r>
                    <w:rPr>
                      <w:szCs w:val="24"/>
                      <w:lang w:eastAsia="lt-LT"/>
                    </w:rPr>
                    <w:t xml:space="preserve">punkto 1 eilutės iššifravimas pagal        </w:t>
                  </w:r>
                </w:p>
                <w:p>
                  <w:pPr>
                    <w:ind w:firstLine="5400"/>
                    <w:jc w:val="both"/>
                    <w:rPr>
                      <w:szCs w:val="24"/>
                      <w:lang w:eastAsia="lt-LT"/>
                    </w:rPr>
                  </w:pPr>
                  <w:r>
                    <w:rPr>
                      <w:szCs w:val="24"/>
                      <w:lang w:eastAsia="lt-LT"/>
                    </w:rPr>
                    <w:t>asignavimo valdytojus</w:t>
                  </w:r>
                </w:p>
                <w:p>
                  <w:pPr>
                    <w:jc w:val="center"/>
                    <w:rPr>
                      <w:b/>
                      <w:szCs w:val="24"/>
                      <w:lang w:eastAsia="lt-LT"/>
                    </w:rPr>
                  </w:pPr>
                </w:p>
                <w:p>
                  <w:pPr>
                    <w:ind w:firstLine="62"/>
                    <w:jc w:val="center"/>
                    <w:rPr>
                      <w:b/>
                      <w:szCs w:val="24"/>
                      <w:lang w:eastAsia="lt-LT"/>
                    </w:rPr>
                  </w:pPr>
                  <w:r>
                    <w:rPr>
                      <w:b/>
                      <w:szCs w:val="24"/>
                      <w:lang w:eastAsia="lt-LT"/>
                    </w:rPr>
                    <w:t>LĖŠŲ PASKIRSTYMAS SENIŪNIJOMS VISUOMENINĖS PASKIRTIES ŽELDINIŲ, SKVERŲ IR PARKŲ PRIEŽIŪRAI</w:t>
                  </w:r>
                  <w:r>
                    <w:rPr>
                      <w:szCs w:val="24"/>
                      <w:lang w:eastAsia="lt-LT"/>
                    </w:rPr>
                    <w:t xml:space="preserve"> (</w:t>
                  </w:r>
                  <w:r>
                    <w:rPr>
                      <w:szCs w:val="24"/>
                      <w:u w:val="single"/>
                      <w:lang w:eastAsia="lt-LT"/>
                    </w:rPr>
                    <w:t>Naujų želdinių įsigijimas ir veisimas, pavojų keliančių ir sergančių medžių šalinimo darbai, medžių ir krūmų genėjimo darbai, želdynų tvarkymas</w:t>
                  </w:r>
                  <w:r>
                    <w:rPr>
                      <w:szCs w:val="24"/>
                      <w:lang w:eastAsia="lt-LT"/>
                    </w:rPr>
                    <w:t>)</w:t>
                  </w:r>
                  <w:r>
                    <w:rPr>
                      <w:b/>
                      <w:szCs w:val="24"/>
                      <w:lang w:eastAsia="lt-LT"/>
                    </w:rPr>
                    <w:t xml:space="preserve"> 2026 M.</w:t>
                  </w:r>
                </w:p>
                <w:p>
                  <w:pPr>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2"/>
                    <w:gridCol w:w="3013"/>
                    <w:gridCol w:w="1769"/>
                    <w:gridCol w:w="4104"/>
                  </w:tblGrid>
                  <w:tr>
                    <w:trPr>
                      <w:trHeight w:val="654"/>
                    </w:trPr>
                    <w:tc>
                      <w:tcPr>
                        <w:tcW w:w="742" w:type="dxa"/>
                      </w:tcPr>
                      <w:p>
                        <w:pPr>
                          <w:jc w:val="center"/>
                          <w:rPr>
                            <w:szCs w:val="24"/>
                            <w:lang w:eastAsia="lt-LT"/>
                          </w:rPr>
                        </w:pPr>
                        <w:r>
                          <w:rPr>
                            <w:szCs w:val="24"/>
                            <w:lang w:eastAsia="lt-LT"/>
                          </w:rPr>
                          <w:t>Eil. Nr.</w:t>
                        </w:r>
                      </w:p>
                    </w:tc>
                    <w:tc>
                      <w:tcPr>
                        <w:tcW w:w="3013" w:type="dxa"/>
                      </w:tcPr>
                      <w:p>
                        <w:pPr>
                          <w:jc w:val="center"/>
                          <w:rPr>
                            <w:szCs w:val="24"/>
                            <w:lang w:eastAsia="lt-LT"/>
                          </w:rPr>
                        </w:pPr>
                        <w:r>
                          <w:rPr>
                            <w:szCs w:val="24"/>
                            <w:lang w:eastAsia="lt-LT"/>
                          </w:rPr>
                          <w:t>Seniūnijos pavadinimas</w:t>
                        </w:r>
                      </w:p>
                    </w:tc>
                    <w:tc>
                      <w:tcPr>
                        <w:tcW w:w="1769" w:type="dxa"/>
                      </w:tcPr>
                      <w:p>
                        <w:pPr>
                          <w:jc w:val="center"/>
                          <w:rPr>
                            <w:szCs w:val="24"/>
                            <w:lang w:eastAsia="lt-LT"/>
                          </w:rPr>
                        </w:pPr>
                        <w:r>
                          <w:rPr>
                            <w:szCs w:val="24"/>
                            <w:lang w:eastAsia="lt-LT"/>
                          </w:rPr>
                          <w:t>Skirta lėšų Eur.</w:t>
                        </w:r>
                      </w:p>
                      <w:p>
                        <w:pPr>
                          <w:jc w:val="center"/>
                          <w:rPr>
                            <w:szCs w:val="24"/>
                            <w:lang w:eastAsia="lt-LT"/>
                          </w:rPr>
                        </w:pPr>
                      </w:p>
                    </w:tc>
                    <w:tc>
                      <w:tcPr>
                        <w:tcW w:w="4104" w:type="dxa"/>
                      </w:tcPr>
                      <w:p>
                        <w:pPr>
                          <w:jc w:val="center"/>
                          <w:rPr>
                            <w:szCs w:val="24"/>
                            <w:lang w:eastAsia="lt-LT"/>
                          </w:rPr>
                        </w:pPr>
                        <w:r>
                          <w:rPr>
                            <w:szCs w:val="24"/>
                            <w:lang w:eastAsia="lt-LT"/>
                          </w:rPr>
                          <w:t xml:space="preserve">Pastabos </w:t>
                        </w:r>
                      </w:p>
                      <w:p>
                        <w:pPr>
                          <w:jc w:val="center"/>
                          <w:rPr>
                            <w:szCs w:val="24"/>
                            <w:lang w:eastAsia="lt-LT"/>
                          </w:rPr>
                        </w:pPr>
                      </w:p>
                    </w:tc>
                  </w:tr>
                  <w:tr>
                    <w:tc>
                      <w:tcPr>
                        <w:tcW w:w="742" w:type="dxa"/>
                      </w:tcPr>
                      <w:p>
                        <w:pPr>
                          <w:jc w:val="center"/>
                          <w:rPr>
                            <w:szCs w:val="24"/>
                            <w:lang w:eastAsia="lt-LT"/>
                          </w:rPr>
                        </w:pPr>
                        <w:r>
                          <w:rPr>
                            <w:szCs w:val="24"/>
                            <w:lang w:eastAsia="lt-LT"/>
                          </w:rPr>
                          <w:t>1</w:t>
                        </w:r>
                      </w:p>
                    </w:tc>
                    <w:tc>
                      <w:tcPr>
                        <w:tcW w:w="3013" w:type="dxa"/>
                      </w:tcPr>
                      <w:p>
                        <w:pPr>
                          <w:rPr>
                            <w:szCs w:val="24"/>
                            <w:lang w:eastAsia="lt-LT"/>
                          </w:rPr>
                        </w:pPr>
                        <w:r>
                          <w:rPr>
                            <w:szCs w:val="24"/>
                            <w:lang w:eastAsia="lt-LT"/>
                          </w:rPr>
                          <w:t>Aukštelkų seniūnija</w:t>
                        </w:r>
                      </w:p>
                    </w:tc>
                    <w:tc>
                      <w:tcPr>
                        <w:tcW w:w="1769" w:type="dxa"/>
                      </w:tcPr>
                      <w:p>
                        <w:pPr>
                          <w:jc w:val="center"/>
                          <w:rPr>
                            <w:szCs w:val="24"/>
                            <w:lang w:eastAsia="lt-LT"/>
                          </w:rPr>
                        </w:pPr>
                        <w:r>
                          <w:rPr>
                            <w:szCs w:val="24"/>
                            <w:lang w:eastAsia="lt-LT"/>
                          </w:rPr>
                          <w:t>2 000</w:t>
                        </w: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bCs/>
                            <w:szCs w:val="24"/>
                            <w:lang w:eastAsia="lt-LT"/>
                          </w:rPr>
                          <w:t>15</w:t>
                        </w:r>
                        <w:r>
                          <w:rPr>
                            <w:b/>
                            <w:szCs w:val="24"/>
                            <w:lang w:eastAsia="lt-LT"/>
                          </w:rPr>
                          <w:t>00 €</w:t>
                        </w:r>
                        <w:r>
                          <w:rPr>
                            <w:szCs w:val="24"/>
                            <w:lang w:eastAsia="lt-LT"/>
                          </w:rPr>
                          <w:t xml:space="preserve">; </w:t>
                        </w:r>
                        <w:r>
                          <w:rPr>
                            <w:rFonts w:cs="Tahoma"/>
                            <w:szCs w:val="24"/>
                          </w:rPr>
                          <w:t xml:space="preserve">kuras aplinkos, </w:t>
                        </w:r>
                        <w:r>
                          <w:rPr>
                            <w:szCs w:val="24"/>
                            <w:lang w:eastAsia="lt-LT"/>
                          </w:rPr>
                          <w:t>želdynų</w:t>
                        </w:r>
                        <w:r>
                          <w:rPr>
                            <w:rFonts w:cs="Tahoma"/>
                            <w:szCs w:val="24"/>
                          </w:rPr>
                          <w:t xml:space="preserve"> tvarkymui – </w:t>
                        </w:r>
                        <w:r>
                          <w:rPr>
                            <w:rFonts w:cs="Tahoma"/>
                            <w:b/>
                            <w:bCs/>
                            <w:szCs w:val="24"/>
                          </w:rPr>
                          <w:t>1</w:t>
                        </w:r>
                        <w:r>
                          <w:rPr>
                            <w:b/>
                            <w:bCs/>
                            <w:szCs w:val="24"/>
                            <w:lang w:eastAsia="lt-LT"/>
                          </w:rPr>
                          <w:t>0</w:t>
                        </w:r>
                        <w:r>
                          <w:rPr>
                            <w:b/>
                            <w:szCs w:val="24"/>
                            <w:lang w:eastAsia="lt-LT"/>
                          </w:rPr>
                          <w:t>0 €</w:t>
                        </w:r>
                        <w:r>
                          <w:rPr>
                            <w:rFonts w:cs="Tahoma"/>
                            <w:szCs w:val="24"/>
                          </w:rPr>
                          <w:t>; n</w:t>
                        </w:r>
                        <w:r>
                          <w:rPr>
                            <w:szCs w:val="24"/>
                            <w:lang w:eastAsia="lt-LT"/>
                          </w:rPr>
                          <w:t xml:space="preserve">aujų želdinių įsigijimui – </w:t>
                        </w:r>
                        <w:r>
                          <w:rPr>
                            <w:b/>
                            <w:bCs/>
                            <w:szCs w:val="24"/>
                            <w:lang w:eastAsia="lt-LT"/>
                          </w:rPr>
                          <w:t>4</w:t>
                        </w:r>
                        <w:r>
                          <w:rPr>
                            <w:b/>
                            <w:szCs w:val="24"/>
                            <w:lang w:eastAsia="lt-LT"/>
                          </w:rPr>
                          <w:t>00 €</w:t>
                        </w:r>
                        <w:r>
                          <w:rPr>
                            <w:bCs/>
                            <w:szCs w:val="24"/>
                            <w:lang w:eastAsia="lt-LT"/>
                          </w:rPr>
                          <w:t>.</w:t>
                        </w:r>
                      </w:p>
                    </w:tc>
                  </w:tr>
                  <w:tr>
                    <w:tc>
                      <w:tcPr>
                        <w:tcW w:w="742" w:type="dxa"/>
                      </w:tcPr>
                      <w:p>
                        <w:pPr>
                          <w:jc w:val="center"/>
                          <w:rPr>
                            <w:szCs w:val="24"/>
                            <w:lang w:eastAsia="lt-LT"/>
                          </w:rPr>
                        </w:pPr>
                        <w:r>
                          <w:rPr>
                            <w:szCs w:val="24"/>
                            <w:lang w:eastAsia="lt-LT"/>
                          </w:rPr>
                          <w:t>2</w:t>
                        </w:r>
                      </w:p>
                    </w:tc>
                    <w:tc>
                      <w:tcPr>
                        <w:tcW w:w="3013" w:type="dxa"/>
                      </w:tcPr>
                      <w:p>
                        <w:pPr>
                          <w:rPr>
                            <w:szCs w:val="24"/>
                            <w:lang w:eastAsia="lt-LT"/>
                          </w:rPr>
                        </w:pPr>
                        <w:r>
                          <w:rPr>
                            <w:szCs w:val="24"/>
                            <w:lang w:eastAsia="lt-LT"/>
                          </w:rPr>
                          <w:t>Baisogalos seniūnija</w:t>
                        </w:r>
                      </w:p>
                    </w:tc>
                    <w:tc>
                      <w:tcPr>
                        <w:tcW w:w="1769" w:type="dxa"/>
                      </w:tcPr>
                      <w:p>
                        <w:pPr>
                          <w:jc w:val="center"/>
                          <w:rPr>
                            <w:szCs w:val="24"/>
                            <w:lang w:eastAsia="lt-LT"/>
                          </w:rPr>
                        </w:pPr>
                        <w:r>
                          <w:rPr>
                            <w:szCs w:val="24"/>
                            <w:lang w:eastAsia="lt-LT"/>
                          </w:rPr>
                          <w:t>3 200</w:t>
                        </w: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bCs/>
                            <w:szCs w:val="24"/>
                            <w:lang w:eastAsia="lt-LT"/>
                          </w:rPr>
                          <w:t>220</w:t>
                        </w:r>
                        <w:r>
                          <w:rPr>
                            <w:b/>
                            <w:szCs w:val="24"/>
                            <w:lang w:eastAsia="lt-LT"/>
                          </w:rPr>
                          <w:t>0 €</w:t>
                        </w:r>
                        <w:r>
                          <w:rPr>
                            <w:szCs w:val="24"/>
                            <w:lang w:eastAsia="lt-LT"/>
                          </w:rPr>
                          <w:t xml:space="preserve">; </w:t>
                        </w:r>
                        <w:r>
                          <w:rPr>
                            <w:rFonts w:cs="Tahoma"/>
                            <w:szCs w:val="24"/>
                          </w:rPr>
                          <w:t xml:space="preserve">kuras aplinkos, </w:t>
                        </w:r>
                        <w:r>
                          <w:rPr>
                            <w:szCs w:val="24"/>
                            <w:lang w:eastAsia="lt-LT"/>
                          </w:rPr>
                          <w:t>želdynų</w:t>
                        </w:r>
                        <w:r>
                          <w:rPr>
                            <w:rFonts w:cs="Tahoma"/>
                            <w:szCs w:val="24"/>
                          </w:rPr>
                          <w:t xml:space="preserve"> tvarkymui – </w:t>
                        </w:r>
                        <w:r>
                          <w:rPr>
                            <w:rFonts w:cs="Tahoma"/>
                            <w:b/>
                            <w:bCs/>
                            <w:szCs w:val="24"/>
                          </w:rPr>
                          <w:t>4</w:t>
                        </w:r>
                        <w:r>
                          <w:rPr>
                            <w:b/>
                            <w:bCs/>
                            <w:szCs w:val="24"/>
                            <w:lang w:eastAsia="lt-LT"/>
                          </w:rPr>
                          <w:t>0</w:t>
                        </w:r>
                        <w:r>
                          <w:rPr>
                            <w:b/>
                            <w:szCs w:val="24"/>
                            <w:lang w:eastAsia="lt-LT"/>
                          </w:rPr>
                          <w:t>0 €</w:t>
                        </w:r>
                        <w:r>
                          <w:rPr>
                            <w:rFonts w:cs="Tahoma"/>
                            <w:szCs w:val="24"/>
                          </w:rPr>
                          <w:t>; n</w:t>
                        </w:r>
                        <w:r>
                          <w:rPr>
                            <w:szCs w:val="24"/>
                            <w:lang w:eastAsia="lt-LT"/>
                          </w:rPr>
                          <w:t xml:space="preserve">aujų želdinių įsigijimui – </w:t>
                        </w:r>
                        <w:r>
                          <w:rPr>
                            <w:b/>
                            <w:bCs/>
                            <w:szCs w:val="24"/>
                            <w:lang w:eastAsia="lt-LT"/>
                          </w:rPr>
                          <w:t>60</w:t>
                        </w:r>
                        <w:r>
                          <w:rPr>
                            <w:b/>
                            <w:szCs w:val="24"/>
                            <w:lang w:eastAsia="lt-LT"/>
                          </w:rPr>
                          <w:t>0 €</w:t>
                        </w:r>
                        <w:r>
                          <w:rPr>
                            <w:bCs/>
                            <w:szCs w:val="24"/>
                            <w:lang w:eastAsia="lt-LT"/>
                          </w:rPr>
                          <w:t>.</w:t>
                        </w:r>
                      </w:p>
                    </w:tc>
                  </w:tr>
                  <w:tr>
                    <w:tc>
                      <w:tcPr>
                        <w:tcW w:w="742" w:type="dxa"/>
                      </w:tcPr>
                      <w:p>
                        <w:pPr>
                          <w:jc w:val="center"/>
                          <w:rPr>
                            <w:szCs w:val="24"/>
                            <w:lang w:eastAsia="lt-LT"/>
                          </w:rPr>
                        </w:pPr>
                        <w:r>
                          <w:rPr>
                            <w:szCs w:val="24"/>
                            <w:lang w:eastAsia="lt-LT"/>
                          </w:rPr>
                          <w:t>3</w:t>
                        </w:r>
                      </w:p>
                    </w:tc>
                    <w:tc>
                      <w:tcPr>
                        <w:tcW w:w="3013" w:type="dxa"/>
                      </w:tcPr>
                      <w:p>
                        <w:pPr>
                          <w:rPr>
                            <w:szCs w:val="24"/>
                            <w:lang w:eastAsia="lt-LT"/>
                          </w:rPr>
                        </w:pPr>
                        <w:r>
                          <w:rPr>
                            <w:szCs w:val="24"/>
                            <w:lang w:eastAsia="lt-LT"/>
                          </w:rPr>
                          <w:t>Grinkiškio seniūnija</w:t>
                        </w:r>
                      </w:p>
                    </w:tc>
                    <w:tc>
                      <w:tcPr>
                        <w:tcW w:w="1769" w:type="dxa"/>
                      </w:tcPr>
                      <w:p>
                        <w:pPr>
                          <w:jc w:val="center"/>
                          <w:rPr>
                            <w:szCs w:val="24"/>
                            <w:lang w:eastAsia="lt-LT"/>
                          </w:rPr>
                        </w:pPr>
                        <w:r>
                          <w:rPr>
                            <w:szCs w:val="24"/>
                            <w:lang w:eastAsia="lt-LT"/>
                          </w:rPr>
                          <w:t>2 500</w:t>
                        </w: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szCs w:val="24"/>
                            <w:lang w:eastAsia="lt-LT"/>
                          </w:rPr>
                          <w:t xml:space="preserve">2 000 €; </w:t>
                        </w:r>
                        <w:r>
                          <w:rPr>
                            <w:rFonts w:cs="Tahoma"/>
                            <w:szCs w:val="24"/>
                          </w:rPr>
                          <w:t xml:space="preserve">kuras aplinkos, </w:t>
                        </w:r>
                        <w:r>
                          <w:rPr>
                            <w:szCs w:val="24"/>
                            <w:lang w:eastAsia="lt-LT"/>
                          </w:rPr>
                          <w:t>želdynų</w:t>
                        </w:r>
                        <w:r>
                          <w:rPr>
                            <w:rFonts w:cs="Tahoma"/>
                            <w:szCs w:val="24"/>
                          </w:rPr>
                          <w:t xml:space="preserve"> tvarkymui – </w:t>
                        </w:r>
                        <w:r>
                          <w:rPr>
                            <w:b/>
                            <w:szCs w:val="24"/>
                            <w:lang w:eastAsia="lt-LT"/>
                          </w:rPr>
                          <w:t>300 €</w:t>
                        </w:r>
                        <w:r>
                          <w:rPr>
                            <w:rFonts w:cs="Tahoma"/>
                            <w:szCs w:val="24"/>
                          </w:rPr>
                          <w:t>; n</w:t>
                        </w:r>
                        <w:r>
                          <w:rPr>
                            <w:szCs w:val="24"/>
                            <w:lang w:eastAsia="lt-LT"/>
                          </w:rPr>
                          <w:t xml:space="preserve">aujų želdinių įsigijimui – </w:t>
                        </w:r>
                        <w:r>
                          <w:rPr>
                            <w:b/>
                            <w:bCs/>
                            <w:szCs w:val="24"/>
                            <w:lang w:eastAsia="lt-LT"/>
                          </w:rPr>
                          <w:t>2</w:t>
                        </w:r>
                        <w:r>
                          <w:rPr>
                            <w:b/>
                            <w:szCs w:val="24"/>
                            <w:lang w:eastAsia="lt-LT"/>
                          </w:rPr>
                          <w:t>00 €</w:t>
                        </w:r>
                        <w:r>
                          <w:rPr>
                            <w:bCs/>
                            <w:szCs w:val="24"/>
                            <w:lang w:eastAsia="lt-LT"/>
                          </w:rPr>
                          <w:t>.</w:t>
                        </w:r>
                      </w:p>
                    </w:tc>
                  </w:tr>
                  <w:tr>
                    <w:tc>
                      <w:tcPr>
                        <w:tcW w:w="742" w:type="dxa"/>
                      </w:tcPr>
                      <w:p>
                        <w:pPr>
                          <w:jc w:val="center"/>
                          <w:rPr>
                            <w:szCs w:val="24"/>
                            <w:lang w:eastAsia="lt-LT"/>
                          </w:rPr>
                        </w:pPr>
                        <w:r>
                          <w:rPr>
                            <w:szCs w:val="24"/>
                            <w:lang w:eastAsia="lt-LT"/>
                          </w:rPr>
                          <w:t>4</w:t>
                        </w:r>
                      </w:p>
                    </w:tc>
                    <w:tc>
                      <w:tcPr>
                        <w:tcW w:w="3013" w:type="dxa"/>
                      </w:tcPr>
                      <w:p>
                        <w:pPr>
                          <w:rPr>
                            <w:szCs w:val="24"/>
                            <w:lang w:eastAsia="lt-LT"/>
                          </w:rPr>
                        </w:pPr>
                        <w:r>
                          <w:rPr>
                            <w:szCs w:val="24"/>
                            <w:lang w:eastAsia="lt-LT"/>
                          </w:rPr>
                          <w:t>Pakalniškių seniūnija</w:t>
                        </w:r>
                      </w:p>
                    </w:tc>
                    <w:tc>
                      <w:tcPr>
                        <w:tcW w:w="1769" w:type="dxa"/>
                      </w:tcPr>
                      <w:p>
                        <w:pPr>
                          <w:jc w:val="center"/>
                          <w:rPr>
                            <w:szCs w:val="24"/>
                            <w:lang w:eastAsia="lt-LT"/>
                          </w:rPr>
                        </w:pPr>
                        <w:r>
                          <w:rPr>
                            <w:szCs w:val="24"/>
                            <w:lang w:eastAsia="lt-LT"/>
                          </w:rPr>
                          <w:t>2 500</w:t>
                        </w: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szCs w:val="24"/>
                            <w:lang w:eastAsia="lt-LT"/>
                          </w:rPr>
                          <w:t>1800 €</w:t>
                        </w:r>
                        <w:r>
                          <w:rPr>
                            <w:szCs w:val="24"/>
                            <w:lang w:eastAsia="lt-LT"/>
                          </w:rPr>
                          <w:t xml:space="preserve">; </w:t>
                        </w:r>
                        <w:r>
                          <w:rPr>
                            <w:rFonts w:cs="Tahoma"/>
                            <w:szCs w:val="24"/>
                          </w:rPr>
                          <w:t xml:space="preserve">kuras aplinkos, </w:t>
                        </w:r>
                        <w:r>
                          <w:rPr>
                            <w:szCs w:val="24"/>
                            <w:lang w:eastAsia="lt-LT"/>
                          </w:rPr>
                          <w:t>želdynų</w:t>
                        </w:r>
                        <w:r>
                          <w:rPr>
                            <w:rFonts w:cs="Tahoma"/>
                            <w:szCs w:val="24"/>
                          </w:rPr>
                          <w:t xml:space="preserve"> tvarkymui – </w:t>
                        </w:r>
                        <w:r>
                          <w:rPr>
                            <w:rFonts w:cs="Tahoma"/>
                            <w:b/>
                            <w:bCs/>
                            <w:szCs w:val="24"/>
                          </w:rPr>
                          <w:t>5</w:t>
                        </w:r>
                        <w:r>
                          <w:rPr>
                            <w:b/>
                            <w:szCs w:val="24"/>
                            <w:lang w:eastAsia="lt-LT"/>
                          </w:rPr>
                          <w:t>00 €</w:t>
                        </w:r>
                        <w:r>
                          <w:rPr>
                            <w:rFonts w:cs="Tahoma"/>
                            <w:szCs w:val="24"/>
                          </w:rPr>
                          <w:t>; n</w:t>
                        </w:r>
                        <w:r>
                          <w:rPr>
                            <w:szCs w:val="24"/>
                            <w:lang w:eastAsia="lt-LT"/>
                          </w:rPr>
                          <w:t xml:space="preserve">aujų želdinių įsigijimui </w:t>
                        </w:r>
                        <w:r>
                          <w:rPr>
                            <w:b/>
                            <w:bCs/>
                            <w:szCs w:val="24"/>
                            <w:lang w:eastAsia="lt-LT"/>
                          </w:rPr>
                          <w:t>– 20</w:t>
                        </w:r>
                        <w:r>
                          <w:rPr>
                            <w:b/>
                            <w:szCs w:val="24"/>
                            <w:lang w:eastAsia="lt-LT"/>
                          </w:rPr>
                          <w:t>0 €</w:t>
                        </w:r>
                        <w:r>
                          <w:rPr>
                            <w:bCs/>
                            <w:szCs w:val="24"/>
                            <w:lang w:eastAsia="lt-LT"/>
                          </w:rPr>
                          <w:t>.</w:t>
                        </w:r>
                      </w:p>
                    </w:tc>
                  </w:tr>
                  <w:tr>
                    <w:tc>
                      <w:tcPr>
                        <w:tcW w:w="742" w:type="dxa"/>
                      </w:tcPr>
                      <w:p>
                        <w:pPr>
                          <w:jc w:val="center"/>
                          <w:rPr>
                            <w:szCs w:val="24"/>
                            <w:lang w:eastAsia="lt-LT"/>
                          </w:rPr>
                        </w:pPr>
                        <w:r>
                          <w:rPr>
                            <w:szCs w:val="24"/>
                            <w:lang w:eastAsia="lt-LT"/>
                          </w:rPr>
                          <w:t>5</w:t>
                        </w:r>
                      </w:p>
                    </w:tc>
                    <w:tc>
                      <w:tcPr>
                        <w:tcW w:w="3013" w:type="dxa"/>
                      </w:tcPr>
                      <w:p>
                        <w:pPr>
                          <w:rPr>
                            <w:szCs w:val="24"/>
                            <w:lang w:eastAsia="lt-LT"/>
                          </w:rPr>
                        </w:pPr>
                        <w:r>
                          <w:rPr>
                            <w:szCs w:val="24"/>
                            <w:lang w:eastAsia="lt-LT"/>
                          </w:rPr>
                          <w:t>Radviliškio miesto seniūnija</w:t>
                        </w:r>
                      </w:p>
                    </w:tc>
                    <w:tc>
                      <w:tcPr>
                        <w:tcW w:w="1769" w:type="dxa"/>
                      </w:tcPr>
                      <w:p>
                        <w:pPr>
                          <w:jc w:val="center"/>
                          <w:rPr>
                            <w:szCs w:val="24"/>
                            <w:lang w:eastAsia="lt-LT"/>
                          </w:rPr>
                        </w:pPr>
                        <w:r>
                          <w:rPr>
                            <w:szCs w:val="24"/>
                            <w:lang w:eastAsia="lt-LT"/>
                          </w:rPr>
                          <w:t>10 000</w:t>
                        </w: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bCs/>
                            <w:szCs w:val="24"/>
                            <w:lang w:eastAsia="lt-LT"/>
                          </w:rPr>
                          <w:t>7000 €</w:t>
                        </w:r>
                        <w:r>
                          <w:rPr>
                            <w:szCs w:val="24"/>
                            <w:lang w:eastAsia="lt-LT"/>
                          </w:rPr>
                          <w:t xml:space="preserve">; </w:t>
                        </w:r>
                        <w:r>
                          <w:rPr>
                            <w:rFonts w:cs="Tahoma"/>
                            <w:szCs w:val="24"/>
                          </w:rPr>
                          <w:t xml:space="preserve">kuras aplinkos, </w:t>
                        </w:r>
                        <w:r>
                          <w:rPr>
                            <w:szCs w:val="24"/>
                            <w:lang w:eastAsia="lt-LT"/>
                          </w:rPr>
                          <w:t>želdynų</w:t>
                        </w:r>
                        <w:r>
                          <w:rPr>
                            <w:rFonts w:cs="Tahoma"/>
                            <w:szCs w:val="24"/>
                          </w:rPr>
                          <w:t xml:space="preserve"> tvarkymui – </w:t>
                        </w:r>
                        <w:r>
                          <w:rPr>
                            <w:rFonts w:cs="Tahoma"/>
                            <w:b/>
                            <w:bCs/>
                            <w:szCs w:val="24"/>
                          </w:rPr>
                          <w:t>1</w:t>
                        </w:r>
                        <w:r>
                          <w:rPr>
                            <w:b/>
                            <w:bCs/>
                            <w:szCs w:val="24"/>
                            <w:lang w:eastAsia="lt-LT"/>
                          </w:rPr>
                          <w:t>000 €</w:t>
                        </w:r>
                        <w:r>
                          <w:rPr>
                            <w:rFonts w:cs="Tahoma"/>
                            <w:szCs w:val="24"/>
                          </w:rPr>
                          <w:t>; n</w:t>
                        </w:r>
                        <w:r>
                          <w:rPr>
                            <w:szCs w:val="24"/>
                            <w:lang w:eastAsia="lt-LT"/>
                          </w:rPr>
                          <w:t xml:space="preserve">aujų želdinių įsigijimui – </w:t>
                        </w:r>
                        <w:r>
                          <w:rPr>
                            <w:b/>
                            <w:bCs/>
                            <w:szCs w:val="24"/>
                            <w:lang w:eastAsia="lt-LT"/>
                          </w:rPr>
                          <w:t>1000 €</w:t>
                        </w:r>
                        <w:r>
                          <w:rPr>
                            <w:szCs w:val="24"/>
                            <w:lang w:eastAsia="lt-LT"/>
                          </w:rPr>
                          <w:t xml:space="preserve">; griovių šlaitų šienavimas ir tvarkymui – </w:t>
                        </w:r>
                        <w:r>
                          <w:rPr>
                            <w:b/>
                            <w:bCs/>
                            <w:szCs w:val="24"/>
                            <w:lang w:eastAsia="lt-LT"/>
                          </w:rPr>
                          <w:t>1000 €</w:t>
                        </w:r>
                        <w:r>
                          <w:rPr>
                            <w:szCs w:val="24"/>
                            <w:lang w:eastAsia="lt-LT"/>
                          </w:rPr>
                          <w:t>.</w:t>
                        </w:r>
                      </w:p>
                    </w:tc>
                  </w:tr>
                  <w:tr>
                    <w:tc>
                      <w:tcPr>
                        <w:tcW w:w="742" w:type="dxa"/>
                      </w:tcPr>
                      <w:p>
                        <w:pPr>
                          <w:jc w:val="center"/>
                          <w:rPr>
                            <w:szCs w:val="24"/>
                            <w:lang w:eastAsia="lt-LT"/>
                          </w:rPr>
                        </w:pPr>
                        <w:r>
                          <w:rPr>
                            <w:szCs w:val="24"/>
                            <w:lang w:eastAsia="lt-LT"/>
                          </w:rPr>
                          <w:t>6</w:t>
                        </w:r>
                      </w:p>
                    </w:tc>
                    <w:tc>
                      <w:tcPr>
                        <w:tcW w:w="3013" w:type="dxa"/>
                      </w:tcPr>
                      <w:p>
                        <w:pPr>
                          <w:rPr>
                            <w:szCs w:val="24"/>
                            <w:lang w:eastAsia="lt-LT"/>
                          </w:rPr>
                        </w:pPr>
                        <w:r>
                          <w:rPr>
                            <w:szCs w:val="24"/>
                            <w:lang w:eastAsia="lt-LT"/>
                          </w:rPr>
                          <w:t>Radviliškio seniūnija</w:t>
                        </w:r>
                      </w:p>
                    </w:tc>
                    <w:tc>
                      <w:tcPr>
                        <w:tcW w:w="1769" w:type="dxa"/>
                      </w:tcPr>
                      <w:p>
                        <w:pPr>
                          <w:jc w:val="center"/>
                          <w:rPr>
                            <w:szCs w:val="24"/>
                            <w:lang w:eastAsia="lt-LT"/>
                          </w:rPr>
                        </w:pPr>
                        <w:r>
                          <w:rPr>
                            <w:szCs w:val="24"/>
                            <w:lang w:eastAsia="lt-LT"/>
                          </w:rPr>
                          <w:t>2 500</w:t>
                        </w:r>
                      </w:p>
                      <w:p>
                        <w:pPr>
                          <w:jc w:val="center"/>
                          <w:rPr>
                            <w:szCs w:val="24"/>
                            <w:u w:val="single"/>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bCs/>
                            <w:szCs w:val="24"/>
                            <w:lang w:eastAsia="lt-LT"/>
                          </w:rPr>
                          <w:t>20</w:t>
                        </w:r>
                        <w:r>
                          <w:rPr>
                            <w:b/>
                            <w:szCs w:val="24"/>
                            <w:lang w:eastAsia="lt-LT"/>
                          </w:rPr>
                          <w:t>00 €</w:t>
                        </w:r>
                        <w:r>
                          <w:rPr>
                            <w:bCs/>
                            <w:szCs w:val="24"/>
                            <w:lang w:eastAsia="lt-LT"/>
                          </w:rPr>
                          <w:t>.</w:t>
                        </w:r>
                        <w:r>
                          <w:rPr>
                            <w:rFonts w:cs="Tahoma"/>
                            <w:szCs w:val="24"/>
                          </w:rPr>
                          <w:t xml:space="preserve"> kuras aplinkos, </w:t>
                        </w:r>
                        <w:r>
                          <w:rPr>
                            <w:szCs w:val="24"/>
                            <w:lang w:eastAsia="lt-LT"/>
                          </w:rPr>
                          <w:t>želdynų</w:t>
                        </w:r>
                        <w:r>
                          <w:rPr>
                            <w:rFonts w:cs="Tahoma"/>
                            <w:szCs w:val="24"/>
                          </w:rPr>
                          <w:t xml:space="preserve"> tvarkymui – </w:t>
                        </w:r>
                        <w:r>
                          <w:rPr>
                            <w:rFonts w:cs="Tahoma"/>
                            <w:b/>
                            <w:szCs w:val="24"/>
                          </w:rPr>
                          <w:t>3</w:t>
                        </w:r>
                        <w:r>
                          <w:rPr>
                            <w:b/>
                            <w:bCs/>
                            <w:szCs w:val="24"/>
                            <w:lang w:eastAsia="lt-LT"/>
                          </w:rPr>
                          <w:t>0</w:t>
                        </w:r>
                        <w:r>
                          <w:rPr>
                            <w:b/>
                            <w:szCs w:val="24"/>
                            <w:lang w:eastAsia="lt-LT"/>
                          </w:rPr>
                          <w:t>0 €</w:t>
                        </w:r>
                        <w:r>
                          <w:rPr>
                            <w:rFonts w:cs="Tahoma"/>
                            <w:szCs w:val="24"/>
                          </w:rPr>
                          <w:t>; n</w:t>
                        </w:r>
                        <w:r>
                          <w:rPr>
                            <w:szCs w:val="24"/>
                            <w:lang w:eastAsia="lt-LT"/>
                          </w:rPr>
                          <w:t xml:space="preserve">aujų želdinių įsigijimui – </w:t>
                        </w:r>
                        <w:r>
                          <w:rPr>
                            <w:b/>
                            <w:bCs/>
                            <w:szCs w:val="24"/>
                            <w:lang w:eastAsia="lt-LT"/>
                          </w:rPr>
                          <w:t>2</w:t>
                        </w:r>
                        <w:r>
                          <w:rPr>
                            <w:b/>
                            <w:szCs w:val="24"/>
                            <w:lang w:eastAsia="lt-LT"/>
                          </w:rPr>
                          <w:t>00 €</w:t>
                        </w:r>
                        <w:r>
                          <w:rPr>
                            <w:bCs/>
                            <w:szCs w:val="24"/>
                            <w:lang w:eastAsia="lt-LT"/>
                          </w:rPr>
                          <w:t>.</w:t>
                        </w:r>
                      </w:p>
                    </w:tc>
                  </w:tr>
                  <w:tr>
                    <w:tc>
                      <w:tcPr>
                        <w:tcW w:w="742" w:type="dxa"/>
                      </w:tcPr>
                      <w:p>
                        <w:pPr>
                          <w:jc w:val="center"/>
                          <w:rPr>
                            <w:szCs w:val="24"/>
                            <w:lang w:eastAsia="lt-LT"/>
                          </w:rPr>
                        </w:pPr>
                        <w:r>
                          <w:rPr>
                            <w:szCs w:val="24"/>
                            <w:lang w:eastAsia="lt-LT"/>
                          </w:rPr>
                          <w:t>7</w:t>
                        </w:r>
                      </w:p>
                    </w:tc>
                    <w:tc>
                      <w:tcPr>
                        <w:tcW w:w="3013" w:type="dxa"/>
                      </w:tcPr>
                      <w:p>
                        <w:pPr>
                          <w:rPr>
                            <w:szCs w:val="24"/>
                            <w:lang w:eastAsia="lt-LT"/>
                          </w:rPr>
                        </w:pPr>
                        <w:r>
                          <w:rPr>
                            <w:szCs w:val="24"/>
                            <w:lang w:eastAsia="lt-LT"/>
                          </w:rPr>
                          <w:t>Sidabravo seniūnija</w:t>
                        </w:r>
                      </w:p>
                    </w:tc>
                    <w:tc>
                      <w:tcPr>
                        <w:tcW w:w="1769" w:type="dxa"/>
                      </w:tcPr>
                      <w:p>
                        <w:pPr>
                          <w:jc w:val="center"/>
                          <w:rPr>
                            <w:szCs w:val="24"/>
                            <w:lang w:eastAsia="lt-LT"/>
                          </w:rPr>
                        </w:pPr>
                        <w:r>
                          <w:rPr>
                            <w:szCs w:val="24"/>
                            <w:lang w:eastAsia="lt-LT"/>
                          </w:rPr>
                          <w:t>3 500</w:t>
                        </w: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bCs/>
                            <w:szCs w:val="24"/>
                            <w:lang w:eastAsia="lt-LT"/>
                          </w:rPr>
                          <w:t>25</w:t>
                        </w:r>
                        <w:r>
                          <w:rPr>
                            <w:b/>
                            <w:szCs w:val="24"/>
                            <w:lang w:eastAsia="lt-LT"/>
                          </w:rPr>
                          <w:t>00 €</w:t>
                        </w:r>
                        <w:r>
                          <w:rPr>
                            <w:szCs w:val="24"/>
                            <w:lang w:eastAsia="lt-LT"/>
                          </w:rPr>
                          <w:t xml:space="preserve">; </w:t>
                        </w:r>
                        <w:r>
                          <w:rPr>
                            <w:rFonts w:cs="Tahoma"/>
                            <w:szCs w:val="24"/>
                          </w:rPr>
                          <w:t xml:space="preserve">kuras aplinkos, </w:t>
                        </w:r>
                        <w:r>
                          <w:rPr>
                            <w:szCs w:val="24"/>
                            <w:lang w:eastAsia="lt-LT"/>
                          </w:rPr>
                          <w:t>želdynų</w:t>
                        </w:r>
                        <w:r>
                          <w:rPr>
                            <w:rFonts w:cs="Tahoma"/>
                            <w:szCs w:val="24"/>
                          </w:rPr>
                          <w:t xml:space="preserve"> tvarkymui – </w:t>
                        </w:r>
                        <w:r>
                          <w:rPr>
                            <w:b/>
                            <w:szCs w:val="24"/>
                            <w:lang w:eastAsia="lt-LT"/>
                          </w:rPr>
                          <w:t>500 €</w:t>
                        </w:r>
                        <w:r>
                          <w:rPr>
                            <w:rFonts w:cs="Tahoma"/>
                            <w:szCs w:val="24"/>
                          </w:rPr>
                          <w:t>; n</w:t>
                        </w:r>
                        <w:r>
                          <w:rPr>
                            <w:szCs w:val="24"/>
                            <w:lang w:eastAsia="lt-LT"/>
                          </w:rPr>
                          <w:t xml:space="preserve">aujų želdinių įsigijimui – </w:t>
                        </w:r>
                        <w:r>
                          <w:rPr>
                            <w:b/>
                            <w:szCs w:val="24"/>
                            <w:lang w:eastAsia="lt-LT"/>
                          </w:rPr>
                          <w:t>500 €</w:t>
                        </w:r>
                        <w:r>
                          <w:rPr>
                            <w:bCs/>
                            <w:szCs w:val="24"/>
                            <w:lang w:eastAsia="lt-LT"/>
                          </w:rPr>
                          <w:t>.</w:t>
                        </w:r>
                      </w:p>
                    </w:tc>
                  </w:tr>
                  <w:tr>
                    <w:tc>
                      <w:tcPr>
                        <w:tcW w:w="742" w:type="dxa"/>
                      </w:tcPr>
                      <w:p>
                        <w:pPr>
                          <w:jc w:val="center"/>
                          <w:rPr>
                            <w:szCs w:val="24"/>
                            <w:lang w:eastAsia="lt-LT"/>
                          </w:rPr>
                        </w:pPr>
                        <w:r>
                          <w:rPr>
                            <w:szCs w:val="24"/>
                            <w:lang w:eastAsia="lt-LT"/>
                          </w:rPr>
                          <w:t>8</w:t>
                        </w:r>
                      </w:p>
                    </w:tc>
                    <w:tc>
                      <w:tcPr>
                        <w:tcW w:w="3013" w:type="dxa"/>
                      </w:tcPr>
                      <w:p>
                        <w:pPr>
                          <w:rPr>
                            <w:szCs w:val="24"/>
                            <w:lang w:eastAsia="lt-LT"/>
                          </w:rPr>
                        </w:pPr>
                        <w:r>
                          <w:rPr>
                            <w:szCs w:val="24"/>
                            <w:lang w:eastAsia="lt-LT"/>
                          </w:rPr>
                          <w:t>Skėmių seniūnija</w:t>
                        </w:r>
                      </w:p>
                    </w:tc>
                    <w:tc>
                      <w:tcPr>
                        <w:tcW w:w="1769" w:type="dxa"/>
                      </w:tcPr>
                      <w:p>
                        <w:pPr>
                          <w:jc w:val="center"/>
                          <w:rPr>
                            <w:szCs w:val="24"/>
                            <w:lang w:eastAsia="lt-LT"/>
                          </w:rPr>
                        </w:pPr>
                        <w:r>
                          <w:rPr>
                            <w:szCs w:val="24"/>
                            <w:lang w:eastAsia="lt-LT"/>
                          </w:rPr>
                          <w:t>2 000</w:t>
                        </w:r>
                      </w:p>
                      <w:p>
                        <w:pPr>
                          <w:jc w:val="center"/>
                          <w:rPr>
                            <w:szCs w:val="24"/>
                            <w:lang w:eastAsia="lt-LT"/>
                          </w:rPr>
                        </w:pPr>
                      </w:p>
                    </w:tc>
                    <w:tc>
                      <w:tcPr>
                        <w:tcW w:w="4104" w:type="dxa"/>
                      </w:tcPr>
                      <w:p>
                        <w:pPr>
                          <w:ind w:firstLine="62"/>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szCs w:val="24"/>
                            <w:lang w:eastAsia="lt-LT"/>
                          </w:rPr>
                          <w:t>1300 €</w:t>
                        </w:r>
                        <w:r>
                          <w:rPr>
                            <w:szCs w:val="24"/>
                            <w:lang w:eastAsia="lt-LT"/>
                          </w:rPr>
                          <w:t xml:space="preserve">; </w:t>
                        </w:r>
                        <w:r>
                          <w:rPr>
                            <w:rFonts w:cs="Tahoma"/>
                            <w:szCs w:val="24"/>
                          </w:rPr>
                          <w:t xml:space="preserve">kuras aplinkos, </w:t>
                        </w:r>
                        <w:r>
                          <w:rPr>
                            <w:szCs w:val="24"/>
                            <w:lang w:eastAsia="lt-LT"/>
                          </w:rPr>
                          <w:t>želdynų</w:t>
                        </w:r>
                        <w:r>
                          <w:rPr>
                            <w:rFonts w:cs="Tahoma"/>
                            <w:szCs w:val="24"/>
                          </w:rPr>
                          <w:t xml:space="preserve"> tvarkymui – </w:t>
                        </w:r>
                        <w:r>
                          <w:rPr>
                            <w:rFonts w:cs="Tahoma"/>
                            <w:b/>
                            <w:bCs/>
                            <w:szCs w:val="24"/>
                          </w:rPr>
                          <w:t>3</w:t>
                        </w:r>
                        <w:r>
                          <w:rPr>
                            <w:b/>
                            <w:bCs/>
                            <w:szCs w:val="24"/>
                            <w:lang w:eastAsia="lt-LT"/>
                          </w:rPr>
                          <w:t>00</w:t>
                        </w:r>
                        <w:r>
                          <w:rPr>
                            <w:b/>
                            <w:szCs w:val="24"/>
                            <w:lang w:eastAsia="lt-LT"/>
                          </w:rPr>
                          <w:t xml:space="preserve"> €</w:t>
                        </w:r>
                        <w:r>
                          <w:rPr>
                            <w:rFonts w:cs="Tahoma"/>
                            <w:szCs w:val="24"/>
                          </w:rPr>
                          <w:t>; n</w:t>
                        </w:r>
                        <w:r>
                          <w:rPr>
                            <w:szCs w:val="24"/>
                            <w:lang w:eastAsia="lt-LT"/>
                          </w:rPr>
                          <w:t xml:space="preserve">aujų želdinių įsigijimui – </w:t>
                        </w:r>
                        <w:r>
                          <w:rPr>
                            <w:b/>
                            <w:szCs w:val="24"/>
                            <w:lang w:eastAsia="lt-LT"/>
                          </w:rPr>
                          <w:t>400 €</w:t>
                        </w:r>
                        <w:r>
                          <w:rPr>
                            <w:bCs/>
                            <w:szCs w:val="24"/>
                            <w:lang w:eastAsia="lt-LT"/>
                          </w:rPr>
                          <w:t>.</w:t>
                        </w:r>
                      </w:p>
                    </w:tc>
                  </w:tr>
                  <w:tr>
                    <w:tc>
                      <w:tcPr>
                        <w:tcW w:w="742" w:type="dxa"/>
                      </w:tcPr>
                      <w:p>
                        <w:pPr>
                          <w:jc w:val="center"/>
                          <w:rPr>
                            <w:szCs w:val="24"/>
                            <w:lang w:eastAsia="lt-LT"/>
                          </w:rPr>
                        </w:pPr>
                        <w:r>
                          <w:rPr>
                            <w:szCs w:val="24"/>
                            <w:lang w:eastAsia="lt-LT"/>
                          </w:rPr>
                          <w:t>9</w:t>
                        </w:r>
                      </w:p>
                    </w:tc>
                    <w:tc>
                      <w:tcPr>
                        <w:tcW w:w="3013" w:type="dxa"/>
                      </w:tcPr>
                      <w:p>
                        <w:pPr>
                          <w:rPr>
                            <w:szCs w:val="24"/>
                            <w:lang w:eastAsia="lt-LT"/>
                          </w:rPr>
                        </w:pPr>
                        <w:r>
                          <w:rPr>
                            <w:szCs w:val="24"/>
                            <w:lang w:eastAsia="lt-LT"/>
                          </w:rPr>
                          <w:t>Šaukoto seniūnija</w:t>
                        </w:r>
                      </w:p>
                    </w:tc>
                    <w:tc>
                      <w:tcPr>
                        <w:tcW w:w="1769" w:type="dxa"/>
                      </w:tcPr>
                      <w:p>
                        <w:pPr>
                          <w:jc w:val="center"/>
                          <w:rPr>
                            <w:szCs w:val="24"/>
                            <w:lang w:eastAsia="lt-LT"/>
                          </w:rPr>
                        </w:pPr>
                        <w:r>
                          <w:rPr>
                            <w:szCs w:val="24"/>
                            <w:lang w:eastAsia="lt-LT"/>
                          </w:rPr>
                          <w:t>1 500</w:t>
                        </w:r>
                      </w:p>
                      <w:p>
                        <w:pPr>
                          <w:ind w:firstLine="62"/>
                          <w:jc w:val="center"/>
                          <w:rPr>
                            <w:szCs w:val="24"/>
                            <w:lang w:eastAsia="lt-LT"/>
                          </w:rPr>
                        </w:pP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bCs/>
                            <w:szCs w:val="24"/>
                            <w:lang w:eastAsia="lt-LT"/>
                          </w:rPr>
                          <w:t>8</w:t>
                        </w:r>
                        <w:r>
                          <w:rPr>
                            <w:b/>
                            <w:szCs w:val="24"/>
                            <w:lang w:eastAsia="lt-LT"/>
                          </w:rPr>
                          <w:t>00 €</w:t>
                        </w:r>
                        <w:r>
                          <w:rPr>
                            <w:szCs w:val="24"/>
                            <w:lang w:eastAsia="lt-LT"/>
                          </w:rPr>
                          <w:t>;</w:t>
                        </w:r>
                        <w:r>
                          <w:rPr>
                            <w:rFonts w:cs="Tahoma"/>
                            <w:szCs w:val="24"/>
                          </w:rPr>
                          <w:t xml:space="preserve"> kuras aplinkos, </w:t>
                        </w:r>
                        <w:r>
                          <w:rPr>
                            <w:szCs w:val="24"/>
                            <w:lang w:eastAsia="lt-LT"/>
                          </w:rPr>
                          <w:t>želdynų</w:t>
                        </w:r>
                        <w:r>
                          <w:rPr>
                            <w:rFonts w:cs="Tahoma"/>
                            <w:szCs w:val="24"/>
                          </w:rPr>
                          <w:t xml:space="preserve"> tvarkymui – </w:t>
                        </w:r>
                        <w:r>
                          <w:rPr>
                            <w:rFonts w:cs="Tahoma"/>
                            <w:b/>
                            <w:bCs/>
                            <w:szCs w:val="24"/>
                          </w:rPr>
                          <w:t>2</w:t>
                        </w:r>
                        <w:r>
                          <w:rPr>
                            <w:b/>
                            <w:bCs/>
                            <w:szCs w:val="24"/>
                            <w:lang w:eastAsia="lt-LT"/>
                          </w:rPr>
                          <w:t>00</w:t>
                        </w:r>
                        <w:r>
                          <w:rPr>
                            <w:b/>
                            <w:szCs w:val="24"/>
                            <w:lang w:eastAsia="lt-LT"/>
                          </w:rPr>
                          <w:t xml:space="preserve"> €</w:t>
                        </w:r>
                        <w:r>
                          <w:rPr>
                            <w:rFonts w:cs="Tahoma"/>
                            <w:szCs w:val="24"/>
                          </w:rPr>
                          <w:t>; n</w:t>
                        </w:r>
                        <w:r>
                          <w:rPr>
                            <w:szCs w:val="24"/>
                            <w:lang w:eastAsia="lt-LT"/>
                          </w:rPr>
                          <w:t xml:space="preserve">aujų želdinių įsigijimui – </w:t>
                        </w:r>
                        <w:r>
                          <w:rPr>
                            <w:b/>
                            <w:bCs/>
                            <w:szCs w:val="24"/>
                            <w:lang w:eastAsia="lt-LT"/>
                          </w:rPr>
                          <w:t>500</w:t>
                        </w:r>
                        <w:r>
                          <w:rPr>
                            <w:b/>
                            <w:szCs w:val="24"/>
                            <w:lang w:eastAsia="lt-LT"/>
                          </w:rPr>
                          <w:t xml:space="preserve"> €</w:t>
                        </w:r>
                        <w:r>
                          <w:rPr>
                            <w:bCs/>
                            <w:szCs w:val="24"/>
                            <w:lang w:eastAsia="lt-LT"/>
                          </w:rPr>
                          <w:t>.</w:t>
                        </w:r>
                      </w:p>
                    </w:tc>
                  </w:tr>
                  <w:tr>
                    <w:tc>
                      <w:tcPr>
                        <w:tcW w:w="742" w:type="dxa"/>
                      </w:tcPr>
                      <w:p>
                        <w:pPr>
                          <w:jc w:val="center"/>
                          <w:rPr>
                            <w:szCs w:val="24"/>
                            <w:lang w:eastAsia="lt-LT"/>
                          </w:rPr>
                        </w:pPr>
                        <w:r>
                          <w:rPr>
                            <w:szCs w:val="24"/>
                            <w:lang w:eastAsia="lt-LT"/>
                          </w:rPr>
                          <w:t>10</w:t>
                        </w:r>
                      </w:p>
                    </w:tc>
                    <w:tc>
                      <w:tcPr>
                        <w:tcW w:w="3013" w:type="dxa"/>
                      </w:tcPr>
                      <w:p>
                        <w:pPr>
                          <w:rPr>
                            <w:szCs w:val="24"/>
                            <w:lang w:eastAsia="lt-LT"/>
                          </w:rPr>
                        </w:pPr>
                        <w:r>
                          <w:rPr>
                            <w:szCs w:val="24"/>
                            <w:lang w:eastAsia="lt-LT"/>
                          </w:rPr>
                          <w:t>Šeduvos miesto seniūnija</w:t>
                        </w:r>
                      </w:p>
                    </w:tc>
                    <w:tc>
                      <w:tcPr>
                        <w:tcW w:w="1769" w:type="dxa"/>
                      </w:tcPr>
                      <w:p>
                        <w:pPr>
                          <w:jc w:val="center"/>
                          <w:rPr>
                            <w:rFonts w:cs="Tahoma"/>
                            <w:szCs w:val="24"/>
                          </w:rPr>
                        </w:pPr>
                        <w:r>
                          <w:rPr>
                            <w:rFonts w:cs="Tahoma"/>
                            <w:szCs w:val="24"/>
                          </w:rPr>
                          <w:t>5 000</w:t>
                        </w: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bCs/>
                            <w:szCs w:val="24"/>
                            <w:lang w:eastAsia="lt-LT"/>
                          </w:rPr>
                          <w:t>36</w:t>
                        </w:r>
                        <w:r>
                          <w:rPr>
                            <w:b/>
                            <w:szCs w:val="24"/>
                            <w:lang w:eastAsia="lt-LT"/>
                          </w:rPr>
                          <w:t>00 €.</w:t>
                        </w:r>
                        <w:r>
                          <w:rPr>
                            <w:rFonts w:cs="Tahoma"/>
                            <w:szCs w:val="24"/>
                          </w:rPr>
                          <w:t xml:space="preserve"> kuras aplinkos, </w:t>
                        </w:r>
                        <w:r>
                          <w:rPr>
                            <w:szCs w:val="24"/>
                            <w:lang w:eastAsia="lt-LT"/>
                          </w:rPr>
                          <w:t>želdynų</w:t>
                        </w:r>
                        <w:r>
                          <w:rPr>
                            <w:rFonts w:cs="Tahoma"/>
                            <w:szCs w:val="24"/>
                          </w:rPr>
                          <w:t xml:space="preserve"> tvarkymui – </w:t>
                        </w:r>
                        <w:r>
                          <w:rPr>
                            <w:b/>
                            <w:szCs w:val="24"/>
                            <w:lang w:eastAsia="lt-LT"/>
                          </w:rPr>
                          <w:t>600 €</w:t>
                        </w:r>
                        <w:r>
                          <w:rPr>
                            <w:rFonts w:cs="Tahoma"/>
                            <w:szCs w:val="24"/>
                          </w:rPr>
                          <w:t>; n</w:t>
                        </w:r>
                        <w:r>
                          <w:rPr>
                            <w:szCs w:val="24"/>
                            <w:lang w:eastAsia="lt-LT"/>
                          </w:rPr>
                          <w:t xml:space="preserve">aujų želdinių įsigijimui – </w:t>
                        </w:r>
                        <w:r>
                          <w:rPr>
                            <w:b/>
                            <w:bCs/>
                            <w:szCs w:val="24"/>
                            <w:lang w:eastAsia="lt-LT"/>
                          </w:rPr>
                          <w:t>8</w:t>
                        </w:r>
                        <w:r>
                          <w:rPr>
                            <w:b/>
                            <w:szCs w:val="24"/>
                            <w:lang w:eastAsia="lt-LT"/>
                          </w:rPr>
                          <w:t>00 €</w:t>
                        </w:r>
                        <w:r>
                          <w:rPr>
                            <w:bCs/>
                            <w:szCs w:val="24"/>
                            <w:lang w:eastAsia="lt-LT"/>
                          </w:rPr>
                          <w:t>.</w:t>
                        </w:r>
                      </w:p>
                    </w:tc>
                  </w:tr>
                  <w:tr>
                    <w:tc>
                      <w:tcPr>
                        <w:tcW w:w="742" w:type="dxa"/>
                      </w:tcPr>
                      <w:p>
                        <w:pPr>
                          <w:jc w:val="center"/>
                          <w:rPr>
                            <w:szCs w:val="24"/>
                            <w:lang w:eastAsia="lt-LT"/>
                          </w:rPr>
                        </w:pPr>
                        <w:r>
                          <w:rPr>
                            <w:szCs w:val="24"/>
                            <w:lang w:eastAsia="lt-LT"/>
                          </w:rPr>
                          <w:t>11</w:t>
                        </w:r>
                      </w:p>
                    </w:tc>
                    <w:tc>
                      <w:tcPr>
                        <w:tcW w:w="3013" w:type="dxa"/>
                      </w:tcPr>
                      <w:p>
                        <w:pPr>
                          <w:rPr>
                            <w:szCs w:val="24"/>
                            <w:lang w:eastAsia="lt-LT"/>
                          </w:rPr>
                        </w:pPr>
                        <w:r>
                          <w:rPr>
                            <w:szCs w:val="24"/>
                            <w:lang w:eastAsia="lt-LT"/>
                          </w:rPr>
                          <w:t>Šiaulėnų seniūnija</w:t>
                        </w:r>
                      </w:p>
                      <w:p>
                        <w:pPr>
                          <w:rPr>
                            <w:szCs w:val="24"/>
                            <w:lang w:eastAsia="lt-LT"/>
                          </w:rPr>
                        </w:pPr>
                      </w:p>
                    </w:tc>
                    <w:tc>
                      <w:tcPr>
                        <w:tcW w:w="1769" w:type="dxa"/>
                      </w:tcPr>
                      <w:p>
                        <w:pPr>
                          <w:jc w:val="center"/>
                          <w:rPr>
                            <w:szCs w:val="24"/>
                            <w:lang w:eastAsia="lt-LT"/>
                          </w:rPr>
                        </w:pPr>
                        <w:r>
                          <w:rPr>
                            <w:szCs w:val="24"/>
                            <w:lang w:eastAsia="lt-LT"/>
                          </w:rPr>
                          <w:t>2 000</w:t>
                        </w: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bCs/>
                            <w:szCs w:val="24"/>
                            <w:lang w:eastAsia="lt-LT"/>
                          </w:rPr>
                          <w:t>17</w:t>
                        </w:r>
                        <w:r>
                          <w:rPr>
                            <w:b/>
                            <w:szCs w:val="24"/>
                            <w:lang w:eastAsia="lt-LT"/>
                          </w:rPr>
                          <w:t>00 €</w:t>
                        </w:r>
                        <w:r>
                          <w:rPr>
                            <w:szCs w:val="24"/>
                            <w:lang w:eastAsia="lt-LT"/>
                          </w:rPr>
                          <w:t>;</w:t>
                        </w:r>
                        <w:r>
                          <w:rPr>
                            <w:rFonts w:cs="Tahoma"/>
                            <w:szCs w:val="24"/>
                          </w:rPr>
                          <w:t xml:space="preserve"> kuras aplinkos, </w:t>
                        </w:r>
                        <w:r>
                          <w:rPr>
                            <w:szCs w:val="24"/>
                            <w:lang w:eastAsia="lt-LT"/>
                          </w:rPr>
                          <w:t>želdynų</w:t>
                        </w:r>
                        <w:r>
                          <w:rPr>
                            <w:rFonts w:cs="Tahoma"/>
                            <w:szCs w:val="24"/>
                          </w:rPr>
                          <w:t xml:space="preserve"> tvarkymui – </w:t>
                        </w:r>
                        <w:r>
                          <w:rPr>
                            <w:rFonts w:cs="Tahoma"/>
                            <w:b/>
                            <w:bCs/>
                            <w:szCs w:val="24"/>
                          </w:rPr>
                          <w:t>3</w:t>
                        </w:r>
                        <w:r>
                          <w:rPr>
                            <w:b/>
                            <w:szCs w:val="24"/>
                            <w:lang w:eastAsia="lt-LT"/>
                          </w:rPr>
                          <w:t>00 €</w:t>
                        </w:r>
                        <w:r>
                          <w:rPr>
                            <w:rFonts w:cs="Tahoma"/>
                            <w:szCs w:val="24"/>
                          </w:rPr>
                          <w:t xml:space="preserve">. </w:t>
                        </w:r>
                      </w:p>
                    </w:tc>
                  </w:tr>
                  <w:tr>
                    <w:tc>
                      <w:tcPr>
                        <w:tcW w:w="742" w:type="dxa"/>
                      </w:tcPr>
                      <w:p>
                        <w:pPr>
                          <w:jc w:val="center"/>
                          <w:rPr>
                            <w:szCs w:val="24"/>
                            <w:lang w:eastAsia="lt-LT"/>
                          </w:rPr>
                        </w:pPr>
                        <w:r>
                          <w:rPr>
                            <w:szCs w:val="24"/>
                            <w:lang w:eastAsia="lt-LT"/>
                          </w:rPr>
                          <w:t>12</w:t>
                        </w:r>
                      </w:p>
                    </w:tc>
                    <w:tc>
                      <w:tcPr>
                        <w:tcW w:w="3013" w:type="dxa"/>
                      </w:tcPr>
                      <w:p>
                        <w:pPr>
                          <w:rPr>
                            <w:szCs w:val="24"/>
                            <w:lang w:eastAsia="lt-LT"/>
                          </w:rPr>
                        </w:pPr>
                        <w:r>
                          <w:rPr>
                            <w:szCs w:val="24"/>
                            <w:lang w:eastAsia="lt-LT"/>
                          </w:rPr>
                          <w:t>Tyrulių seniūnija</w:t>
                        </w:r>
                      </w:p>
                    </w:tc>
                    <w:tc>
                      <w:tcPr>
                        <w:tcW w:w="1769" w:type="dxa"/>
                      </w:tcPr>
                      <w:p>
                        <w:pPr>
                          <w:jc w:val="center"/>
                          <w:rPr>
                            <w:szCs w:val="24"/>
                            <w:lang w:eastAsia="lt-LT"/>
                          </w:rPr>
                        </w:pPr>
                        <w:r>
                          <w:rPr>
                            <w:szCs w:val="24"/>
                            <w:lang w:eastAsia="lt-LT"/>
                          </w:rPr>
                          <w:t>2 000</w:t>
                        </w:r>
                      </w:p>
                      <w:p>
                        <w:pPr>
                          <w:jc w:val="center"/>
                          <w:rPr>
                            <w:szCs w:val="24"/>
                            <w:lang w:eastAsia="lt-LT"/>
                          </w:rPr>
                        </w:pPr>
                      </w:p>
                    </w:tc>
                    <w:tc>
                      <w:tcPr>
                        <w:tcW w:w="4104" w:type="dxa"/>
                      </w:tcPr>
                      <w:p>
                        <w:pPr>
                          <w:jc w:val="both"/>
                          <w:rPr>
                            <w:szCs w:val="24"/>
                            <w:lang w:eastAsia="lt-LT"/>
                          </w:rPr>
                        </w:pPr>
                        <w:r>
                          <w:rPr>
                            <w:szCs w:val="24"/>
                            <w:lang w:eastAsia="lt-LT"/>
                          </w:rPr>
                          <w:t xml:space="preserve">Pavojų keliančių ir sergančių medžių šalinimo darbai, medžių ir krūmų genėjimo darbams (ir elektros oro linijų apsaugos zonose) – </w:t>
                        </w:r>
                        <w:r>
                          <w:rPr>
                            <w:b/>
                            <w:bCs/>
                            <w:szCs w:val="24"/>
                            <w:lang w:eastAsia="lt-LT"/>
                          </w:rPr>
                          <w:t>16</w:t>
                        </w:r>
                        <w:r>
                          <w:rPr>
                            <w:b/>
                            <w:szCs w:val="24"/>
                            <w:lang w:eastAsia="lt-LT"/>
                          </w:rPr>
                          <w:t>00 €</w:t>
                        </w:r>
                        <w:r>
                          <w:rPr>
                            <w:szCs w:val="24"/>
                            <w:lang w:eastAsia="lt-LT"/>
                          </w:rPr>
                          <w:t>;</w:t>
                        </w:r>
                        <w:r>
                          <w:rPr>
                            <w:rFonts w:cs="Tahoma"/>
                            <w:szCs w:val="24"/>
                          </w:rPr>
                          <w:t xml:space="preserve"> kuras aplinkos, </w:t>
                        </w:r>
                        <w:r>
                          <w:rPr>
                            <w:szCs w:val="24"/>
                            <w:lang w:eastAsia="lt-LT"/>
                          </w:rPr>
                          <w:t>želdynų</w:t>
                        </w:r>
                        <w:r>
                          <w:rPr>
                            <w:rFonts w:cs="Tahoma"/>
                            <w:szCs w:val="24"/>
                          </w:rPr>
                          <w:t xml:space="preserve"> tvarkymui – </w:t>
                        </w:r>
                        <w:r>
                          <w:rPr>
                            <w:rFonts w:cs="Tahoma"/>
                            <w:b/>
                            <w:bCs/>
                            <w:szCs w:val="24"/>
                          </w:rPr>
                          <w:t>4</w:t>
                        </w:r>
                        <w:r>
                          <w:rPr>
                            <w:b/>
                            <w:szCs w:val="24"/>
                            <w:lang w:eastAsia="lt-LT"/>
                          </w:rPr>
                          <w:t>00 €</w:t>
                        </w:r>
                        <w:r>
                          <w:rPr>
                            <w:rFonts w:cs="Tahoma"/>
                            <w:szCs w:val="24"/>
                          </w:rPr>
                          <w:t xml:space="preserve">. </w:t>
                        </w:r>
                      </w:p>
                    </w:tc>
                  </w:tr>
                  <w:tr>
                    <w:tc>
                      <w:tcPr>
                        <w:tcW w:w="742" w:type="dxa"/>
                      </w:tcPr>
                      <w:p>
                        <w:pPr>
                          <w:jc w:val="center"/>
                          <w:rPr>
                            <w:szCs w:val="24"/>
                            <w:lang w:eastAsia="lt-LT"/>
                          </w:rPr>
                        </w:pPr>
                        <w:r>
                          <w:rPr>
                            <w:szCs w:val="24"/>
                            <w:lang w:eastAsia="lt-LT"/>
                          </w:rPr>
                          <w:t xml:space="preserve">13. </w:t>
                        </w:r>
                      </w:p>
                    </w:tc>
                    <w:tc>
                      <w:tcPr>
                        <w:tcW w:w="3013" w:type="dxa"/>
                      </w:tcPr>
                      <w:p>
                        <w:pPr>
                          <w:rPr>
                            <w:szCs w:val="24"/>
                            <w:lang w:eastAsia="lt-LT"/>
                          </w:rPr>
                        </w:pPr>
                        <w:r>
                          <w:rPr>
                            <w:szCs w:val="24"/>
                            <w:lang w:eastAsia="lt-LT"/>
                          </w:rPr>
                          <w:t xml:space="preserve">Savivaldybės administracija </w:t>
                        </w:r>
                      </w:p>
                    </w:tc>
                    <w:tc>
                      <w:tcPr>
                        <w:tcW w:w="1769" w:type="dxa"/>
                      </w:tcPr>
                      <w:p>
                        <w:pPr>
                          <w:jc w:val="center"/>
                          <w:rPr>
                            <w:szCs w:val="24"/>
                            <w:u w:val="single"/>
                            <w:lang w:eastAsia="lt-LT"/>
                          </w:rPr>
                        </w:pPr>
                        <w:r>
                          <w:rPr>
                            <w:szCs w:val="24"/>
                            <w:u w:val="single"/>
                            <w:lang w:eastAsia="lt-LT"/>
                          </w:rPr>
                          <w:t>2 372</w:t>
                        </w:r>
                      </w:p>
                    </w:tc>
                    <w:tc>
                      <w:tcPr>
                        <w:tcW w:w="4104" w:type="dxa"/>
                      </w:tcPr>
                      <w:p>
                        <w:pPr>
                          <w:jc w:val="both"/>
                          <w:rPr>
                            <w:szCs w:val="24"/>
                            <w:lang w:eastAsia="lt-LT"/>
                          </w:rPr>
                        </w:pPr>
                        <w:r>
                          <w:rPr>
                            <w:szCs w:val="24"/>
                            <w:lang w:eastAsia="lt-LT"/>
                          </w:rPr>
                          <w:t>Esant nenumatytiems atvejams.</w:t>
                        </w:r>
                      </w:p>
                    </w:tc>
                  </w:tr>
                  <w:tr>
                    <w:trPr>
                      <w:trHeight w:val="237"/>
                    </w:trPr>
                    <w:tc>
                      <w:tcPr>
                        <w:tcW w:w="742" w:type="dxa"/>
                      </w:tcPr>
                      <w:p>
                        <w:pPr>
                          <w:jc w:val="center"/>
                          <w:rPr>
                            <w:szCs w:val="24"/>
                            <w:lang w:eastAsia="lt-LT"/>
                          </w:rPr>
                        </w:pPr>
                      </w:p>
                    </w:tc>
                    <w:tc>
                      <w:tcPr>
                        <w:tcW w:w="3013" w:type="dxa"/>
                      </w:tcPr>
                      <w:p>
                        <w:pPr>
                          <w:ind w:firstLine="124"/>
                          <w:rPr>
                            <w:szCs w:val="24"/>
                            <w:lang w:eastAsia="lt-LT"/>
                          </w:rPr>
                        </w:pPr>
                        <w:r>
                          <w:rPr>
                            <w:szCs w:val="24"/>
                            <w:lang w:eastAsia="lt-LT"/>
                          </w:rPr>
                          <w:t xml:space="preserve">Viso:                                                </w:t>
                        </w:r>
                      </w:p>
                    </w:tc>
                    <w:tc>
                      <w:tcPr>
                        <w:tcW w:w="1769" w:type="dxa"/>
                      </w:tcPr>
                      <w:p>
                        <w:pPr>
                          <w:jc w:val="center"/>
                          <w:rPr>
                            <w:szCs w:val="24"/>
                            <w:lang w:eastAsia="lt-LT"/>
                          </w:rPr>
                        </w:pPr>
                        <w:r>
                          <w:rPr>
                            <w:szCs w:val="24"/>
                            <w:lang w:eastAsia="lt-LT"/>
                          </w:rPr>
                          <w:t>41 072</w:t>
                        </w:r>
                      </w:p>
                      <w:p>
                        <w:pPr>
                          <w:jc w:val="center"/>
                          <w:rPr>
                            <w:szCs w:val="24"/>
                            <w:lang w:eastAsia="lt-LT"/>
                          </w:rPr>
                        </w:pPr>
                      </w:p>
                    </w:tc>
                    <w:tc>
                      <w:tcPr>
                        <w:tcW w:w="4104" w:type="dxa"/>
                      </w:tcPr>
                      <w:p>
                        <w:pPr>
                          <w:jc w:val="center"/>
                          <w:rPr>
                            <w:szCs w:val="24"/>
                            <w:lang w:eastAsia="lt-LT"/>
                          </w:rPr>
                        </w:pPr>
                      </w:p>
                    </w:tc>
                  </w:tr>
                </w:tbl>
                <w:p>
                  <w:pPr>
                    <w:jc w:val="center"/>
                    <w:rPr>
                      <w:b/>
                      <w:szCs w:val="24"/>
                      <w:lang w:eastAsia="lt-LT"/>
                    </w:rPr>
                  </w:pPr>
                </w:p>
                <w:p>
                  <w:pPr>
                    <w:jc w:val="both"/>
                    <w:rPr>
                      <w:szCs w:val="24"/>
                      <w:lang w:eastAsia="lt-LT"/>
                    </w:rPr>
                  </w:pPr>
                </w:p>
                <w:p>
                  <w:pPr>
                    <w:jc w:val="both"/>
                    <w:rPr>
                      <w:szCs w:val="24"/>
                      <w:lang w:eastAsia="lt-LT"/>
                    </w:rPr>
                  </w:pPr>
                </w:p>
                <w:p>
                  <w:pPr>
                    <w:ind w:firstLine="62"/>
                    <w:jc w:val="both"/>
                    <w:rPr>
                      <w:szCs w:val="24"/>
                      <w:lang w:eastAsia="lt-LT"/>
                    </w:rPr>
                  </w:pPr>
                </w:p>
                <w:p>
                  <w:pPr>
                    <w:rPr>
                      <w:szCs w:val="24"/>
                      <w:lang w:eastAsia="lt-LT"/>
                    </w:rPr>
                  </w:pPr>
                </w:p>
                <w:p>
                  <w:pPr>
                    <w:jc w:val="right"/>
                    <w:rPr>
                      <w:szCs w:val="24"/>
                      <w:lang w:eastAsia="lt-LT"/>
                    </w:rPr>
                  </w:pPr>
                </w:p>
                <w:p>
                  <w:pPr>
                    <w:jc w:val="right"/>
                    <w:rPr>
                      <w:szCs w:val="24"/>
                      <w:lang w:eastAsia="lt-LT"/>
                    </w:rPr>
                  </w:pPr>
                </w:p>
              </w:sdtContent>
            </w:sdt>
          </w:sdtContent>
        </w:sdt>
      </w:sdtContent>
    </w:sdt>
    <w:sectPr>
      <w:headerReference w:type="default" r:id="rId9"/>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hAnsi="Thorndale" w:cs="Tahoma"/>
          <w:szCs w:val="24"/>
        </w:rPr>
      </w:pPr>
      <w:r>
        <w:rPr>
          <w:rFonts w:ascii="Thorndale" w:hAnsi="Thorndale" w:cs="Tahoma"/>
          <w:szCs w:val="24"/>
        </w:rPr>
        <w:separator/>
      </w:r>
    </w:p>
  </w:endnote>
  <w:endnote w:type="continuationSeparator" w:id="0">
    <w:p>
      <w:pPr>
        <w:widowControl w:val="0"/>
        <w:suppressAutoHyphens/>
        <w:rPr>
          <w:rFonts w:ascii="Thorndale" w:hAnsi="Thorndale" w:cs="Tahoma"/>
          <w:szCs w:val="24"/>
        </w:rPr>
      </w:pPr>
      <w:r>
        <w:rPr>
          <w:rFonts w:ascii="Thorndale" w:hAnsi="Thorndale" w:cs="Tahoma"/>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panose1 w:val="00000000000000000000"/>
    <w:charset w:val="BA"/>
    <w:family w:val="roman"/>
    <w:notTrueType/>
    <w:pitch w:val="variable"/>
    <w:sig w:usb0="00000005" w:usb1="00000000" w:usb2="00000000" w:usb3="00000000" w:csb0="00000080"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hAnsi="Thorndale" w:cs="Tahoma"/>
          <w:szCs w:val="24"/>
        </w:rPr>
      </w:pPr>
      <w:r>
        <w:rPr>
          <w:rFonts w:ascii="Thorndale" w:hAnsi="Thorndale" w:cs="Tahoma"/>
          <w:szCs w:val="24"/>
        </w:rPr>
        <w:separator/>
      </w:r>
    </w:p>
  </w:footnote>
  <w:footnote w:type="continuationSeparator" w:id="0">
    <w:p>
      <w:pPr>
        <w:widowControl w:val="0"/>
        <w:suppressAutoHyphens/>
        <w:rPr>
          <w:rFonts w:ascii="Thorndale" w:hAnsi="Thorndale" w:cs="Tahoma"/>
          <w:szCs w:val="24"/>
        </w:rPr>
      </w:pPr>
      <w:r>
        <w:rPr>
          <w:rFonts w:ascii="Thorndale" w:hAnsi="Thorndale" w:cs="Tahoma"/>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left" w:pos="3344"/>
        <w:tab w:val="left" w:pos="8291"/>
      </w:tabs>
      <w:suppressAutoHyphens/>
      <w:spacing w:before="120" w:after="60"/>
      <w:ind w:left="-17" w:firstLine="17"/>
      <w:jc w:val="center"/>
      <w:rPr>
        <w:rFonts w:ascii="Thorndale" w:hAnsi="Thorndale" w:cs="Tahoma"/>
        <w:b/>
        <w:bCs/>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chartTrackingRefBased/>
  <w15:docId w15:val="{0A6F1F64-DD1A-4A20-B1DC-6B63BF1D47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70869825">
      <w:bodyDiv w:val="1"/>
      <w:marLeft w:val="225"/>
      <w:marRight w:val="225"/>
      <w:marTop w:val="0"/>
      <w:marBottom w:val="0"/>
      <w:divBdr>
        <w:top w:val="none" w:sz="0" w:space="0" w:color="auto"/>
        <w:left w:val="none" w:sz="0" w:space="0" w:color="auto"/>
        <w:bottom w:val="none" w:sz="0" w:space="0" w:color="auto"/>
        <w:right w:val="none" w:sz="0" w:space="0" w:color="auto"/>
      </w:divBdr>
      <w:divsChild>
        <w:div w:id="1905406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6fe14c6646546a188a45fc120b3a753" PartId="3df7906f652241ed922d58af0b2011d2">
    <Part Type="preambule" DocPartId="b84c1593c5cd48e8872b4f21c8463b6e" PartId="cd9eb91f43294fc5a992f6f7df4940ab"/>
    <Part Type="pastraipa" DocPartId="2ab03164b6ec427ea66e3cbb2cc1eb5a" PartId="80e5a67453eb4dbeb001d997b4db82d3"/>
    <Part Type="punktas" Nr="1" Abbr="1 p." DocPartId="3e95de75910f4df5a764dbef52be9a25" PartId="1949e293a89045a8986cc2325c082328">
      <Part Type="citata" DocPartId="40bc82ce5a2f478090a7e6a4056ae41c" PartId="1fe9478586004c4cb0e8da1ce11c1d0a">
        <Part Type="punktas" Nr="1" Abbr="1 p." DocPartId="9fb2474a900944d1a9c48b9b85793f49" PartId="b865ba0a6ae440b197bf1ec682945697"/>
      </Part>
      <Part Type="pastraipa" DocPartId="53b4e1af3f564d4a8bd504914209afaa" PartId="93d9fcbf5cb34c51af90133e4a71b432"/>
      <Part Type="pastraipa" DocPartId="2a4dbfc7f24f4c0888a10cf6e1c77966" PartId="c048f98a5f934935ab43da453015c729"/>
    </Part>
    <Part Type="punktas" Nr="2" Abbr="2 p." DocPartId="f710ef8608ca4810b853b1d488fd3c8f" PartId="e66079e53606425b9493073d321206b8"/>
    <Part Type="punktas" Nr="3" Abbr="3 p." DocPartId="d676915169904dd6a0bb7bd10253e4d0" PartId="6570ffd3129f45c99e3444e5be053b69"/>
    <Part Type="punktas" Nr="4" Abbr="4 p." DocPartId="e3e3ce52e28c4c25bc1745a8d438ccf7" PartId="73ea948826bc403f8b9f0b52e34488d6"/>
    <Part Type="skirsnis" Title="RADVILIŠKIO RAJONO SAVIVALDYBĖS TARYBOS SPRENDIMO PROJEKTO „DĖL RADVILIŠKIO RAJONO SAVIVALDYBĖS TARYBOS 2026 M. VASARIO 12 D. SPRENDIMO NR. T-891 „DĖL RADVILIŠKIO RAJONO SAVIVALDYBĖS APLINKOS APSAUGOS RĖMIMO SPECIALIOSIOS PROGRAMOS 2026 METŲ PRIEMONIŲ VYKDYMO SĄMATOS PATVIRTINIMO“ PAKEITIMO“ AIŠKINAMASIS RAŠTAS" DocPartId="a66ffd25e1f14379bc488d609d85f2a3" PartId="71cc145f15a24b44bfcee7fee77ca475"/>
    <Part Type="skirsnis" Title="LYGINAMASIS SPRENDIMO PROJEKTO VARIANTAS" DocPartId="c3e12b58a99442edb3f30a78ab787079" PartId="13e7e2fcbe9e4e0eb0f31c9001e3384d"/>
    <Part Type="skirsnis" Title="RADVILIŠKIO RAJONO SAVIVALDYBĖS TARYBA" DocPartId="7b17910c25d44eb0b98dfbef7ad4031d" PartId="25e6e5f25c7a4e5eab9ee306ab06fafc"/>
    <Part Type="skirsnis" Title="SPRENDIMAS DĖL RADVILIŠKIO RAJONO SAVIVALDYBĖS APLINKOS APSAUGOS RĖMIMO SPECIALIOSIOS PROGRAMOS 2026 METŲ PRIEMONIŲ VYKDYMO SĄMATOS PATVIRTINIMO" DocPartId="e50faa1ed8ba4a24966ea2989e155cb4" PartId="1f212c9c45994da3920dfb3c33d8434d"/>
    <Part Type="signatura" DocPartId="04ca58a555ed4b6aabd6437aa5ae01f3" PartId="7eb311210b54418e99fbdd7a66ffbbeb"/>
  </Part>
  <Part Type="forma" Abbr="frm." Title="RADVILIŠKIO RAJONO SAVIVALDYBĖS ADMINISTRACIJA" DocPartId="aaac3671d32040afa0a68a8f16139b2c" PartId="6f074bbd67f24d3399a02a2eba9340fa">
    <Part Type="skirsnis" Title="RADVILIŠKIO RAJONO SAVIVALDYBĖS APLINKOS APSAUGOS RĖMIMO SPECIALIOSIOS PROGRAMOS 2026 METŲ SĄMATA" DocPartId="d34df9e9392243bf8281c19907db28d2" PartId="a7466a0eb6884d84995712d187ac9361">
      <Part Type="punktas" Nr="80" Abbr="frm. 80 p." Notes="Numeris ne iš eilės. Trūksta dalių? [DocDalys]" DocPartId="3f74d23be493429eb8b0db6f4b3fb81e" PartId="6156bde21b6e47be9b1d962205b4d0de"/>
      <Part Type="punktas" Nr="2" Abbr="frm. 2 p." Notes="Numeris ne iš eilės. Trūksta dalių? [DocDalys]" DocPartId="43ff2a8e8840446fa1eedda5b9249c59" PartId="2f9f05804c8240f396dd94cb51790972"/>
      <Part Type="punktas" Nr="3" Abbr="frm. 3 p." DocPartId="2862d8cf2f5f48adad54824cf2a24af8" PartId="67ecf022f7e2432e859de71f5cc5cb04"/>
      <Part Type="punktas" Nr="4" Abbr="frm. 4 p." DocPartId="06492513344c46aaa3d4c31c9b3d5ddb" PartId="1bfe114c088a4695be561aa17135dd2f"/>
      <Part Type="punktas" Nr="5" Abbr="frm. 5 p." DocPartId="1c148d9df344458b94bc7aec975a2a87" PartId="003643d573e54394801a58a5a089228e"/>
    </Part>
  </Part>
</Parts>
</file>

<file path=customXml/itemProps1.xml><?xml version="1.0" encoding="utf-8"?>
<ds:datastoreItem xmlns:ds="http://schemas.openxmlformats.org/officeDocument/2006/customXml" ds:itemID="{53277E1A-D61B-44B6-96D7-4DCCEF10B76A}">
  <ds:schemaRefs>
    <ds:schemaRef ds:uri="http://schemas.openxmlformats.org/officeDocument/2006/bibliography"/>
  </ds:schemaRefs>
</ds:datastoreItem>
</file>

<file path=customXml/itemProps2.xml><?xml version="1.0" encoding="utf-8"?>
<ds:datastoreItem xmlns:ds="http://schemas.openxmlformats.org/officeDocument/2006/customXml" ds:itemID="{1B80D95F-8603-4330-92BF-E434703915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3757</Words>
  <Characters>25661</Characters>
  <Application>Microsoft Office Word</Application>
  <DocSecurity>4</DocSecurity>
  <Lines>1350</Lines>
  <Paragraphs>525</Paragraphs>
  <ScaleCrop>false</ScaleCrop>
  <HeadingPairs>
    <vt:vector size="2" baseType="variant">
      <vt:variant>
        <vt:lpstr>Pavadinimas</vt:lpstr>
      </vt:variant>
      <vt:variant>
        <vt:i4>1</vt:i4>
      </vt:variant>
    </vt:vector>
  </HeadingPairs>
  <TitlesOfParts>
    <vt:vector size="1" baseType="lpstr">
      <vt:lpstr>ĮSAKYMAS</vt:lpstr>
    </vt:vector>
  </TitlesOfParts>
  <Company>Hewlett-Packard Company</Company>
  <LinksUpToDate>false</LinksUpToDate>
  <CharactersWithSpaces>28893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2026-05-20T05:40:00Z</dcterms:created>
  <dc:creator>A-Juozapaitis</dc:creator>
  <lastModifiedBy>adlibuser</lastModifiedBy>
  <lastPrinted>2026-05-20T04:59:00Z</lastPrinted>
  <dcterms:modified xsi:type="dcterms:W3CDTF">2026-05-20T05:40:00Z</dcterms:modified>
  <revision>2</revision>
  <dc:title>ĮSAKYMAS</dc:title>
</coreProperties>
</file>