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68A67FE" w14:textId="77777777">
      <w:pPr>
        <w:tabs>
          <w:tab w:val="center" w:pos="4819"/>
          <w:tab w:val="right" w:pos="9638"/>
        </w:tabs>
        <w:rPr>
          <w:sz w:val="22"/>
          <w:szCs w:val="22"/>
        </w:rPr>
      </w:pPr>
    </w:p>
    <w:p w14:paraId="64085B7A" w14:textId="42979340">
      <w:pPr>
        <w:ind w:left="7230"/>
        <w:outlineLvl w:val="2"/>
        <w:rPr>
          <w:b/>
          <w:bCs/>
          <w:szCs w:val="24"/>
        </w:rPr>
      </w:pPr>
      <w:r>
        <w:rPr>
          <w:b/>
          <w:bCs/>
          <w:szCs w:val="24"/>
        </w:rPr>
        <w:t>Projektas</w:t>
      </w:r>
    </w:p>
    <w:p w14:paraId="32BBFA92" w14:textId="77777777">
      <w:pPr>
        <w:ind w:left="6521"/>
        <w:jc w:val="center"/>
        <w:outlineLvl w:val="2"/>
        <w:rPr>
          <w:b/>
          <w:bCs/>
          <w:szCs w:val="24"/>
        </w:rPr>
      </w:pPr>
    </w:p>
    <w:p w14:paraId="70888A67" w14:textId="77777777">
      <w:pPr>
        <w:rPr>
          <w:rFonts w:eastAsia="Calibri"/>
          <w:szCs w:val="24"/>
        </w:rPr>
      </w:pPr>
    </w:p>
    <w:p w14:paraId="413289AE" w14:textId="77777777">
      <w:pPr>
        <w:jc w:val="center"/>
        <w:outlineLvl w:val="2"/>
        <w:rPr>
          <w:b/>
          <w:bCs/>
          <w:szCs w:val="24"/>
        </w:rPr>
      </w:pPr>
      <w:r>
        <w:rPr>
          <w:b/>
          <w:bCs/>
          <w:szCs w:val="24"/>
        </w:rPr>
        <w:t>LIETUVOS RESPUBLIKOS</w:t>
      </w:r>
    </w:p>
    <w:p w14:paraId="4AD8A037" w14:textId="70E4B367">
      <w:pPr>
        <w:jc w:val="center"/>
        <w:outlineLvl w:val="2"/>
        <w:rPr>
          <w:b/>
          <w:bCs/>
          <w:szCs w:val="24"/>
        </w:rPr>
      </w:pPr>
      <w:r>
        <w:rPr>
          <w:b/>
          <w:bCs/>
          <w:szCs w:val="24"/>
        </w:rPr>
        <w:t xml:space="preserve">SVEIKATOS DRAUDIMO ĮSTATYMO NR. I-1343 10 STRAIPSNIO PAKEITIMO </w:t>
      </w:r>
    </w:p>
    <w:p w14:paraId="73874D2C" w14:textId="77777777">
      <w:pPr>
        <w:jc w:val="center"/>
        <w:outlineLvl w:val="2"/>
        <w:rPr>
          <w:b/>
          <w:bCs/>
          <w:szCs w:val="24"/>
        </w:rPr>
      </w:pPr>
      <w:r>
        <w:rPr>
          <w:b/>
          <w:bCs/>
          <w:szCs w:val="24"/>
        </w:rPr>
        <w:t>ĮSTATYMAS</w:t>
      </w:r>
    </w:p>
    <w:p w14:paraId="28A8801B" w14:textId="77777777">
      <w:pPr>
        <w:jc w:val="center"/>
        <w:outlineLvl w:val="2"/>
        <w:rPr>
          <w:bCs/>
          <w:szCs w:val="24"/>
        </w:rPr>
      </w:pPr>
    </w:p>
    <w:p w14:paraId="63474DAB" w14:textId="22BDBB08">
      <w:pPr>
        <w:jc w:val="center"/>
        <w:outlineLvl w:val="2"/>
        <w:rPr>
          <w:bCs/>
          <w:szCs w:val="24"/>
        </w:rPr>
      </w:pPr>
      <w:r>
        <w:rPr>
          <w:bCs/>
          <w:szCs w:val="24"/>
        </w:rPr>
        <w:t>2022 m.</w:t>
        <w:tab/>
        <w:tab/>
        <w:t>d. Nr.</w:t>
      </w:r>
    </w:p>
    <w:p w14:paraId="417B8C5C" w14:textId="77777777">
      <w:pPr>
        <w:jc w:val="center"/>
        <w:outlineLvl w:val="2"/>
        <w:rPr>
          <w:bCs/>
          <w:szCs w:val="24"/>
        </w:rPr>
      </w:pPr>
      <w:r>
        <w:rPr>
          <w:bCs/>
          <w:szCs w:val="24"/>
        </w:rPr>
        <w:t>Vilnius</w:t>
      </w:r>
    </w:p>
    <w:p w14:paraId="3BC48D33" w14:textId="77777777">
      <w:pPr>
        <w:jc w:val="center"/>
        <w:outlineLvl w:val="2"/>
        <w:rPr>
          <w:bCs/>
          <w:szCs w:val="24"/>
        </w:rPr>
      </w:pPr>
    </w:p>
    <w:p w14:paraId="2EADC8F3" w14:textId="328055ED">
      <w:pPr>
        <w:ind w:left="600"/>
        <w:jc w:val="both"/>
        <w:rPr>
          <w:rFonts w:eastAsia="Calibri"/>
          <w:szCs w:val="24"/>
        </w:rPr>
      </w:pPr>
      <w:r>
        <w:rPr>
          <w:rFonts w:eastAsia="Calibri"/>
          <w:b/>
          <w:szCs w:val="24"/>
        </w:rPr>
        <w:t>1</w:t>
      </w:r>
      <w:r>
        <w:rPr>
          <w:rFonts w:eastAsia="Calibri"/>
          <w:b/>
          <w:szCs w:val="24"/>
        </w:rPr>
        <w:t xml:space="preserve"> straipsnis. </w:t>
      </w:r>
      <w:r>
        <w:rPr>
          <w:rFonts w:eastAsia="Calibri"/>
          <w:b/>
          <w:szCs w:val="24"/>
        </w:rPr>
        <w:t>10 straipsnio</w:t>
      </w:r>
      <w:r>
        <w:rPr>
          <w:rFonts w:eastAsia="Calibri"/>
          <w:szCs w:val="24"/>
        </w:rPr>
        <w:t xml:space="preserve"> </w:t>
      </w:r>
      <w:r>
        <w:rPr>
          <w:rFonts w:eastAsia="Calibri"/>
          <w:b/>
          <w:szCs w:val="24"/>
        </w:rPr>
        <w:t>pakeitimas</w:t>
      </w:r>
    </w:p>
    <w:p w14:paraId="3636DF25" w14:textId="258DAD14">
      <w:pPr>
        <w:ind w:firstLine="620"/>
        <w:jc w:val="both"/>
        <w:rPr>
          <w:rFonts w:eastAsia="Calibri"/>
          <w:szCs w:val="24"/>
        </w:rPr>
      </w:pPr>
      <w:r>
        <w:rPr>
          <w:rFonts w:eastAsia="Calibri"/>
          <w:szCs w:val="24"/>
        </w:rPr>
        <w:t>1</w:t>
      </w:r>
      <w:r>
        <w:rPr>
          <w:rFonts w:eastAsia="Calibri"/>
          <w:szCs w:val="24"/>
        </w:rPr>
        <w:t>. Pakeisti 10 straipsnio 1 dalį ir ją išdėstyti taip:</w:t>
      </w:r>
    </w:p>
    <w:p w14:paraId="721B55B2" w14:textId="24AE1AF2">
      <w:pPr>
        <w:ind w:firstLine="567"/>
        <w:jc w:val="both"/>
        <w:rPr>
          <w:rFonts w:eastAsia="Calibri"/>
          <w:szCs w:val="24"/>
        </w:rPr>
      </w:pPr>
      <w:r>
        <w:rPr>
          <w:rFonts w:eastAsia="Calibri"/>
          <w:szCs w:val="24"/>
        </w:rPr>
        <w:t>„</w:t>
      </w:r>
      <w:r>
        <w:rPr>
          <w:rFonts w:eastAsia="Calibri"/>
          <w:szCs w:val="24"/>
        </w:rPr>
        <w:t>1</w:t>
      </w:r>
      <w:r>
        <w:rPr>
          <w:rFonts w:eastAsia="Calibri"/>
          <w:szCs w:val="24"/>
        </w:rPr>
        <w:t xml:space="preserve">. Apdraustiesiems yra kompensuojamos išlaidos kompensuojamiesiems vaistams ir medicinos pagalbos priemonėms, išrašytiems ambulatoriniam gydymui </w:t>
      </w:r>
      <w:r>
        <w:rPr>
          <w:rFonts w:eastAsia="Calibri"/>
          <w:bCs/>
          <w:szCs w:val="24"/>
        </w:rPr>
        <w:t>s</w:t>
      </w:r>
      <w:r>
        <w:rPr>
          <w:rFonts w:eastAsia="Calibri"/>
          <w:szCs w:val="24"/>
        </w:rPr>
        <w:t xml:space="preserve">veikatos apsaugos ministro nustatyta tvarka. Ligų ir kompensuojamųjų vaistų joms gydyti, Kompensuojamųjų vaistų bei Kompensuojamųjų medicinos pagalbos priemonių sąrašus tvirtina </w:t>
      </w:r>
      <w:r>
        <w:rPr>
          <w:rFonts w:eastAsia="Calibri"/>
          <w:bCs/>
          <w:szCs w:val="24"/>
        </w:rPr>
        <w:t>s</w:t>
      </w:r>
      <w:r>
        <w:rPr>
          <w:rFonts w:eastAsia="Calibri"/>
          <w:szCs w:val="24"/>
        </w:rPr>
        <w:t xml:space="preserve">veikatos apsaugos ministras, įvertinęs Valstybinės ligonių kasos nuomonę. </w:t>
      </w:r>
      <w:r>
        <w:rPr>
          <w:rFonts w:eastAsia="Calibri"/>
          <w:bCs/>
          <w:szCs w:val="24"/>
        </w:rPr>
        <w:t>Kompensuojamųjų vaistų ir kompensuojamųjų medicinos pagalbos priemonių įsigijimo išlaidų kompensavimo tvarką nustato sveikatos apsaugos ministras, įvertinęs Valstybinės ligonių kasos ir Privalomojo sveikatos draudimo tarybos nuomones.</w:t>
      </w:r>
      <w:r>
        <w:rPr>
          <w:rFonts w:eastAsia="Calibri"/>
          <w:szCs w:val="24"/>
        </w:rPr>
        <w:t xml:space="preserve"> Išlaidos vaistams ir medicinos pagalbos priemonėms kompensuojamos pagal bazines kainas, apskaičiuotas Farmacijos įstatymo 57 straipsnyje nustatyta tvarka.“  </w:t>
      </w:r>
    </w:p>
    <w:p w14:paraId="321D8A67" w14:textId="4E4AC50D">
      <w:pPr>
        <w:ind w:firstLine="620"/>
        <w:rPr>
          <w:szCs w:val="24"/>
          <w:lang w:eastAsia="lt-LT"/>
        </w:rPr>
      </w:pPr>
      <w:r>
        <w:rPr>
          <w:szCs w:val="24"/>
          <w:lang w:eastAsia="lt-LT"/>
        </w:rPr>
        <w:t>2</w:t>
      </w:r>
      <w:r>
        <w:rPr>
          <w:szCs w:val="24"/>
          <w:lang w:eastAsia="lt-LT"/>
        </w:rPr>
        <w:t>. Pakeisti 10 straipsnio 6 dalį ir ją išdėstyti taip:</w:t>
      </w:r>
    </w:p>
    <w:p w14:paraId="3B324E58" w14:textId="10CA0B7F">
      <w:pPr>
        <w:ind w:firstLine="558"/>
        <w:jc w:val="both"/>
        <w:rPr>
          <w:bCs/>
          <w:szCs w:val="24"/>
          <w:lang w:eastAsia="lt-LT"/>
        </w:rPr>
      </w:pPr>
      <w:r>
        <w:rPr>
          <w:color w:val="000000"/>
          <w:szCs w:val="24"/>
          <w:lang w:eastAsia="lt-LT"/>
        </w:rPr>
        <w:t>„</w:t>
      </w:r>
      <w:r>
        <w:rPr>
          <w:color w:val="000000"/>
          <w:szCs w:val="24"/>
          <w:lang w:eastAsia="lt-LT"/>
        </w:rPr>
        <w:t>6</w:t>
      </w:r>
      <w:r>
        <w:rPr>
          <w:color w:val="000000"/>
          <w:szCs w:val="24"/>
          <w:lang w:eastAsia="lt-LT"/>
        </w:rPr>
        <w:t>.</w:t>
      </w:r>
      <w:r>
        <w:rPr>
          <w:color w:val="000000"/>
          <w:szCs w:val="24"/>
        </w:rPr>
        <w:t xml:space="preserve"> Paciento priemokos už kompensuojamuosius vaistus, įrašytus į Ligų ir kompensuojamųjų vaistų joms gydyti sąrašą bei į Kompensuojamųjų vaistų sąrašą, ir medicinos pagalbos priemones, įrašytas į Kompensuojamųjų medicinos pagalbos priemonių sąrašą, skiriamus senatvės pensijos amžių sukakusiems arba Lietuvos Respublikos neįgaliųjų socialinės integracijos įstatyme nurodytiems neįgaliesiems asmenims, kurių užpraeitą mėnesį gautų socialinio draudimo pensijų, išskyrus socialinio draudimo našlių pensiją (kartu su socialinio draudimo senatvės arba netekto darbingumo (invalidumo) pensijų priemokomis), šalpos išmokų, valstybinių pensijų, užsienio valstybės pensijų, pensijų išmokų, mokamų pagal Lietuvos Respublikos pensijų kaupimo įstatymą ir Lietuvos Respublikos papildomo savanoriško pensijų kaupimo įstatymą, kompensacinių išmokų profesionaliojo scenos meno įstaigų kūrybiniams darbuotojams, valstybinių signataro rentų, valstybinių signataro našlių ir našlaičių rentų, rentų buvusiems sportininkams, kompensacijų už ypatingas darbo sąlygas ir (ar) draudžiamųjų pajamų, kaip jos apibrėžtos Lietuvos Respublikos valstybinio socialinio draudimo įstatyme, suma sudaro mažiau kaip 100 procentų einamųjų metų minimalių vartojimo poreikių dydžio, apskaičiuoto Lietuvos Respublikos socialinės paramos išmokų atskaitos rodiklių ir bazinio bausmių ir nuobaudų dydžio nustatymo įstatymo nustatyta tvarka, arba 75 metų ir vyresniems asmenims padengiamos Vyriausybės nustatyta tvarka.</w:t>
      </w:r>
      <w:r>
        <w:rPr>
          <w:bCs/>
          <w:szCs w:val="24"/>
          <w:lang w:eastAsia="lt-LT"/>
        </w:rPr>
        <w:t xml:space="preserve"> Paciento priemoka dengiama tik už tą vaistą, už</w:t>
      </w:r>
      <w:r>
        <w:rPr>
          <w:bCs/>
          <w:color w:val="000000"/>
          <w:szCs w:val="24"/>
          <w:lang w:eastAsia="lt-LT"/>
        </w:rPr>
        <w:t xml:space="preserve"> kurio to paties bendrinio pavadinimo, stiprumo ir tos pačios farmacinės formos vaistinių preparatų dozuotę Kompensuojamųjų vaistinių preparatų kainyno grupėje bazinei kainai apskaičiuoti nustatyta paciento priemoka yra mažiausia, ir už tą medicinos pagalbos priemonę, už kurią Kompensuojamųjų medicinos pagalbos priemonių kainyno grupėje bazinei kainai apskaičiuoti nustatyta paciento priemoka yra mažiausia.</w:t>
      </w:r>
      <w:r>
        <w:rPr>
          <w:bCs/>
          <w:szCs w:val="24"/>
          <w:lang w:eastAsia="lt-LT"/>
        </w:rPr>
        <w:t>“</w:t>
      </w:r>
    </w:p>
    <w:p w14:paraId="08922DBA" w14:textId="685FD0AC">
      <w:pPr>
        <w:tabs>
          <w:tab w:val="left" w:pos="993"/>
          <w:tab w:val="left" w:pos="1134"/>
        </w:tabs>
        <w:ind w:firstLine="627"/>
        <w:jc w:val="both"/>
        <w:rPr>
          <w:szCs w:val="24"/>
          <w:lang w:eastAsia="lt-LT"/>
        </w:rPr>
      </w:pPr>
      <w:r>
        <w:rPr>
          <w:szCs w:val="24"/>
          <w:lang w:eastAsia="lt-LT"/>
        </w:rPr>
        <w:t>3</w:t>
      </w:r>
      <w:r>
        <w:rPr>
          <w:szCs w:val="24"/>
          <w:lang w:eastAsia="lt-LT"/>
        </w:rPr>
        <w:t>. Papildyti 10 straipsnį 7 dalimi:</w:t>
      </w:r>
    </w:p>
    <w:p w14:paraId="5A255AAC" w14:textId="1866F2AA">
      <w:pPr>
        <w:ind w:firstLine="558"/>
        <w:jc w:val="both"/>
        <w:rPr>
          <w:color w:val="000000"/>
          <w:szCs w:val="24"/>
          <w:lang w:eastAsia="lt-LT"/>
        </w:rPr>
      </w:pPr>
      <w:r>
        <w:rPr>
          <w:rFonts w:eastAsia="Calibri"/>
          <w:szCs w:val="24"/>
        </w:rPr>
        <w:t>„</w:t>
      </w:r>
      <w:r>
        <w:rPr>
          <w:rFonts w:eastAsia="Calibri"/>
          <w:szCs w:val="24"/>
          <w:lang w:val="en-US"/>
        </w:rPr>
        <w:t>7</w:t>
      </w:r>
      <w:r>
        <w:rPr>
          <w:rFonts w:eastAsia="Calibri"/>
          <w:szCs w:val="24"/>
        </w:rPr>
        <w:t xml:space="preserve">. Paciento priemokos </w:t>
      </w:r>
      <w:r>
        <w:rPr>
          <w:color w:val="000000"/>
          <w:szCs w:val="24"/>
        </w:rPr>
        <w:t xml:space="preserve">už kompensuojamuosius vaistus, įrašytus į Ligų ir kompensuojamųjų vaistų joms gydyti sąrašą bei į Kompensuojamųjų vaistų sąrašą, asmenims, išskyrus šio straipsnio 6 dalyje nurodytus asmenis, padengiamos Vyriausybės nustatyta tvarka, jei per kalendorinius metus  asmens sumokėtų paciento priemokų už vaistus</w:t>
      </w:r>
      <w:r>
        <w:rPr>
          <w:color w:val="000000"/>
          <w:szCs w:val="24"/>
          <w:lang w:eastAsia="lt-LT"/>
        </w:rPr>
        <w:t xml:space="preserve"> suma </w:t>
      </w:r>
      <w:r>
        <w:rPr>
          <w:color w:val="000000"/>
          <w:szCs w:val="24"/>
        </w:rPr>
        <w:t>yra didesnė negu trijų vidutinių metinių priemokų, apskaičiuotų pagal praėjusių kalendorinių metų duomenis, dydžių suma, tenkanti vienam asmeniui. Apskaičiuojant, ar asmens sumokėtų paciento priemokų už vaistus</w:t>
      </w:r>
      <w:r>
        <w:rPr>
          <w:color w:val="000000"/>
          <w:szCs w:val="24"/>
          <w:lang w:eastAsia="lt-LT"/>
        </w:rPr>
        <w:t xml:space="preserve"> suma </w:t>
      </w:r>
      <w:r>
        <w:rPr>
          <w:color w:val="000000"/>
          <w:szCs w:val="24"/>
        </w:rPr>
        <w:t xml:space="preserve"> yra didesnė nei nustatyta šioje dalyje, įtraukiamos ir paciento priemokos, dengiamos tik </w:t>
      </w:r>
      <w:r>
        <w:rPr>
          <w:szCs w:val="24"/>
          <w:lang w:eastAsia="lt-LT"/>
        </w:rPr>
        <w:t>už tuos vaistus, už</w:t>
      </w:r>
      <w:r>
        <w:rPr>
          <w:color w:val="000000"/>
          <w:szCs w:val="24"/>
          <w:lang w:eastAsia="lt-LT"/>
        </w:rPr>
        <w:t xml:space="preserve"> kurių to paties bendrinio pavadinimo, stiprumo ir tos pačios farmacinės formos vaistinių preparatų dozuotę Kompensuojamųjų vaistinių preparatų kainyno grupėje bazinei kainai apskaičiuoti nustatyta paciento priemoka yra mažiausia.“</w:t>
      </w:r>
    </w:p>
    <w:p w14:paraId="55CAED29" w14:textId="77777777">
      <w:pPr>
        <w:jc w:val="both"/>
        <w:rPr>
          <w:rFonts w:eastAsia="Calibri"/>
          <w:szCs w:val="24"/>
        </w:rPr>
      </w:pPr>
    </w:p>
    <w:p w14:paraId="2D7FE54A" w14:textId="6FF89891">
      <w:pPr>
        <w:ind w:firstLine="567"/>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Įstatymo įsigaliojimas ir įgyvendinimas</w:t>
      </w:r>
    </w:p>
    <w:p w14:paraId="370E683B" w14:textId="77777777">
      <w:pPr>
        <w:ind w:firstLine="496"/>
        <w:jc w:val="both"/>
        <w:rPr>
          <w:bCs/>
          <w:szCs w:val="24"/>
        </w:rPr>
      </w:pPr>
      <w:r>
        <w:rPr>
          <w:bCs/>
          <w:szCs w:val="24"/>
        </w:rPr>
        <w:t>1</w:t>
      </w:r>
      <w:r>
        <w:rPr>
          <w:bCs/>
          <w:szCs w:val="24"/>
        </w:rPr>
        <w:t xml:space="preserve">. Šis įstatymas, išskyrus šio straipsnio 2 dalį, įsigalioja 2023 m. sausio 1 d. </w:t>
      </w:r>
    </w:p>
    <w:p w14:paraId="1F70AF42" w14:textId="7061B927">
      <w:pPr>
        <w:ind w:firstLine="496"/>
        <w:jc w:val="both"/>
        <w:rPr>
          <w:bCs/>
          <w:szCs w:val="24"/>
        </w:rPr>
      </w:pPr>
      <w:r>
        <w:rPr>
          <w:bCs/>
          <w:szCs w:val="24"/>
        </w:rPr>
        <w:t>2</w:t>
      </w:r>
      <w:r>
        <w:rPr>
          <w:bCs/>
          <w:szCs w:val="24"/>
        </w:rPr>
        <w:t xml:space="preserve">. Lietuvos Respublikos Vyriausybė iki 2022 m. gruodžio 31 d. priima šio įstatymo įgyvendinamuosius teisės aktus. </w:t>
      </w:r>
    </w:p>
    <w:p w14:paraId="73CA3FB5" w14:textId="24CF9832">
      <w:pPr>
        <w:outlineLvl w:val="2"/>
        <w:rPr>
          <w:i/>
          <w:szCs w:val="24"/>
        </w:rPr>
      </w:pPr>
    </w:p>
    <w:p w14:paraId="4B0E82E4" w14:textId="299F0023">
      <w:pPr>
        <w:outlineLvl w:val="2"/>
        <w:rPr>
          <w:i/>
          <w:szCs w:val="24"/>
        </w:rPr>
      </w:pPr>
    </w:p>
    <w:p w14:paraId="53D50CF0" w14:textId="77777777">
      <w:pPr>
        <w:outlineLvl w:val="2"/>
        <w:rPr>
          <w:i/>
          <w:szCs w:val="24"/>
        </w:rPr>
      </w:pPr>
    </w:p>
    <w:p w14:paraId="30FAF432" w14:textId="77777777">
      <w:pPr>
        <w:spacing w:line="360" w:lineRule="auto"/>
        <w:ind w:firstLine="567"/>
        <w:outlineLvl w:val="2"/>
        <w:rPr>
          <w:i/>
          <w:szCs w:val="24"/>
        </w:rPr>
      </w:pPr>
      <w:r>
        <w:rPr>
          <w:i/>
          <w:szCs w:val="24"/>
        </w:rPr>
        <w:t>Skelbiu šį Lietuvos Respublikos Seimo priimtą įstatymą.</w:t>
      </w:r>
    </w:p>
    <w:p w14:paraId="2676FC4E" w14:textId="77777777">
      <w:pPr>
        <w:rPr>
          <w:rFonts w:ascii="EUAlbertina" w:hAnsi="EUAlbertina"/>
          <w:szCs w:val="24"/>
        </w:rPr>
      </w:pPr>
    </w:p>
    <w:p w14:paraId="3DBA0385" w14:textId="77777777">
      <w:pPr>
        <w:spacing w:line="360" w:lineRule="auto"/>
        <w:outlineLvl w:val="2"/>
        <w:rPr>
          <w:b/>
          <w:bCs/>
          <w:szCs w:val="24"/>
        </w:rPr>
      </w:pPr>
      <w:r>
        <w:rPr>
          <w:bCs/>
          <w:szCs w:val="24"/>
        </w:rPr>
        <w:t>Respublikos Prezidentas</w:t>
      </w:r>
    </w:p>
    <w:p w14:paraId="2425CE39" w14:textId="77777777"/>
    <w:sectPr>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1134" w:footer="1134"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F01B" w14:textId="77777777">
      <w:pPr>
        <w:rPr>
          <w:sz w:val="22"/>
          <w:szCs w:val="22"/>
        </w:rPr>
      </w:pPr>
      <w:r>
        <w:rPr>
          <w:sz w:val="22"/>
          <w:szCs w:val="22"/>
        </w:rPr>
        <w:separator/>
      </w:r>
    </w:p>
  </w:endnote>
  <w:endnote w:type="continuationSeparator" w:id="0">
    <w:p w14:paraId="4EE18C0D" w14:textId="77777777">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D908" w14:textId="77777777">
    <w:pPr>
      <w:tabs>
        <w:tab w:val="center" w:pos="4986"/>
        <w:tab w:val="right" w:pos="9972"/>
      </w:tabs>
      <w:rPr>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3656" w14:textId="77777777">
    <w:pPr>
      <w:tabs>
        <w:tab w:val="center" w:pos="4986"/>
        <w:tab w:val="right" w:pos="9972"/>
      </w:tabs>
      <w:rPr>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7CD1" w14:textId="77777777">
    <w:pPr>
      <w:tabs>
        <w:tab w:val="center" w:pos="4986"/>
        <w:tab w:val="right" w:pos="9972"/>
      </w:tabs>
      <w:rPr>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1D218" w14:textId="77777777">
      <w:pPr>
        <w:rPr>
          <w:sz w:val="22"/>
          <w:szCs w:val="22"/>
        </w:rPr>
      </w:pPr>
      <w:r>
        <w:rPr>
          <w:sz w:val="22"/>
          <w:szCs w:val="22"/>
        </w:rPr>
        <w:separator/>
      </w:r>
    </w:p>
  </w:footnote>
  <w:footnote w:type="continuationSeparator" w:id="0">
    <w:p w14:paraId="6C5A548F" w14:textId="77777777">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27F0" w14:textId="77777777">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4BC2" w14:textId="77777777">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Pr>
        <w:szCs w:val="24"/>
      </w:rPr>
      <w:t>6</w:t>
    </w:r>
    <w:r>
      <w:rPr>
        <w:szCs w:val="24"/>
      </w:rPr>
      <w:fldChar w:fldCharType="end"/>
    </w:r>
  </w:p>
  <w:p w14:paraId="4D030421" w14:textId="77777777">
    <w:pPr>
      <w:tabs>
        <w:tab w:val="center" w:pos="4819"/>
        <w:tab w:val="right" w:pos="9638"/>
      </w:tabs>
      <w:rPr>
        <w:szCs w:val="24"/>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CF5B" w14:textId="77777777">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44D7"/>
  <w15:chartTrackingRefBased/>
  <w15:docId w15:val="{68DD897D-6203-4AC2-983F-2F141608CB1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3755</Characters>
  <Application>Microsoft Office Word</Application>
  <DocSecurity>4</DocSecurity>
  <Lines>65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2022-04-22T05:51:00Z</dcterms:created>
  <dc:creator>Kristina Lesniauskaitė</dc:creator>
  <lastModifiedBy>adlibuser</lastModifiedBy>
  <lastPrinted>2018-12-18T08:51:00Z</lastPrinted>
  <dcterms:modified xsi:type="dcterms:W3CDTF">2022-04-22T05:51:00Z</dcterms:modified>
  <revision>2</revision>
</coreProperties>
</file>