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890d658a624f738bedb6d6c9680c8e"/>
        <w:lock w:val="sdtLocked"/>
        <w:richText/>
      </w:sdtPr>
      <w:sdtContent>
        <w:p>
          <w:pPr>
            <w:jc w:val="right"/>
            <w:rPr>
              <w:b/>
              <w:lang w:eastAsia="lt-LT"/>
            </w:rPr>
          </w:pPr>
          <w:r>
            <w:rPr>
              <w:b/>
              <w:lang w:eastAsia="lt-LT"/>
            </w:rPr>
            <w:t>Projektas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keepNext/>
            <w:jc w:val="center"/>
            <w:rPr>
              <w:b/>
              <w:lang w:eastAsia="lt-LT"/>
            </w:rPr>
          </w:pPr>
          <w:r>
            <w:rPr>
              <w:b/>
              <w:caps/>
              <w:lang w:eastAsia="lt-LT"/>
            </w:rPr>
            <w:t xml:space="preserve">DĖL LIETUVOS RESPUBLIKOS DARBO KODEKSO </w:t>
          </w:r>
          <w:r>
            <w:rPr>
              <w:b/>
              <w:bCs/>
              <w:caps/>
              <w:lang w:eastAsia="lt-LT"/>
            </w:rPr>
            <w:t>23, 26, 39, 40, 41, 42, 52, 71, 79, 140, 147, 148, 217, 219, 226 STRAIPSNIŲ</w:t>
          </w:r>
          <w:r>
            <w:rPr>
              <w:b/>
              <w:bCs/>
              <w:caps/>
              <w:szCs w:val="24"/>
              <w:lang w:eastAsia="lt-LT"/>
            </w:rPr>
            <w:t xml:space="preserve"> IR PRIEDO PAKEITIMO ĮSTATYMO, Lietuvos Respublikos administracinių nusižengimų kodekso 99 straipsnio ir priedo pakeitimo įstatymo, Lietuvos Respublikos viešųjų įstaigų, kurių savininkė ar dalininkė, turinti daugiau negu pusę balsų visuotiniame dalininkų susirinkime, yra valstybė ar savivaldybė, vadovų ir darbuotojų darbo apmokėjimo įstatymo Nr. XIV-2349 2 ir 3 straipsnių pakeitimo įstatymo, Lietuvos Respublikos biudžetinių įstaigų darbuotojų darbo apmokėjimo ir komisijų narių atlygio už darbą įstatymo Nr. XIII-198 5 straipsnio pakeitimo įstatymo, Lietuvos Respublikos valstybės tarnybos įstatymo Nr. VIII-1316 19 straipsnio pakeitimo įstatymo ir Lietuvos Respublikos valstybinio socialinio draudimo įstatymo Nr. I-1336 15 straipsnio pakeitimo įstatymo PROJEKTŲ</w:t>
          </w:r>
          <w:r>
            <w:rPr>
              <w:b/>
              <w:caps/>
              <w:lang w:eastAsia="lt-LT"/>
            </w:rPr>
            <w:t xml:space="preserve"> pateikimo lietuvos respublikos seimui</w:t>
          </w:r>
        </w:p>
        <w:p>
          <w:pPr>
            <w:widowControl w:val="0"/>
            <w:jc w:val="both"/>
            <w:rPr>
              <w:b/>
              <w:caps/>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jc w:val="center"/>
            <w:rPr>
              <w:lang w:eastAsia="lt-LT"/>
            </w:rPr>
          </w:pPr>
        </w:p>
        <w:sdt>
          <w:sdtPr>
            <w:alias w:val="preambule"/>
            <w:tag w:val="part_5778226e066a4d46a6161749bfcfa54d"/>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85c9e7e7300419a8b0954d35239ab6b"/>
            <w:lock w:val="sdtLocked"/>
            <w:richText/>
          </w:sdtPr>
          <w:sdtContent>
            <w:p>
              <w:pPr>
                <w:spacing w:line="360" w:lineRule="atLeast"/>
                <w:ind w:firstLine="709"/>
                <w:jc w:val="both"/>
                <w:rPr>
                  <w:szCs w:val="24"/>
                  <w:lang w:eastAsia="lt-LT"/>
                </w:rPr>
              </w:pPr>
              <w:sdt>
                <w:sdtPr>
                  <w:alias w:val="Numeris"/>
                  <w:tag w:val="nr_385c9e7e7300419a8b0954d35239ab6b"/>
                  <w:lock w:val="sdtLocked"/>
                  <w:richText/>
                </w:sdtPr>
                <w:sdtContent>
                  <w:r>
                    <w:rPr>
                      <w:szCs w:val="24"/>
                      <w:lang w:eastAsia="lt-LT"/>
                    </w:rPr>
                    <w:t>1</w:t>
                  </w:r>
                </w:sdtContent>
              </w:sdt>
              <w:r>
                <w:rPr>
                  <w:szCs w:val="24"/>
                  <w:lang w:eastAsia="lt-LT"/>
                </w:rPr>
                <w:t>. Pritarti Lietuvos Respublikos darbo kodekso 23, 26, 39, 40, 41, 42, 52, 71, 79, 140, 147, 148, 217, 219, 226 straipsnių ir priedo pakeitimo įstatymo, Lietuvos Respublikos administracinių nusižengimų kodekso 99 straipsnio ir priedo pakeitimo įstatymo, Lietuvos Respublikos viešųjų įstaigų, kurių savininkė ar dalininkė, turinti daugiau negu pusę balsų visuotiniame dalininkų susirinkime, yra valstybė ar savivaldybė, vadovų ir darbuotojų darbo apmokėjimo įstatymo Nr. XIV-2349 2 ir 3 straipsnių pakeitimo įstatymo, Lietuvos Respublikos biudžetinių įstaigų darbuotojų darbo apmokėjimo ir komisijų narių atlygio už darbą įstatymo Nr. XIII-198 5 straipsnio pakeitimo įstatymo, Lietuvos Respublikos valstybės tarnybos įstatymo Nr. VIII-1316 19 straipsnio pakeitimo įstatymo ir Lietuvos Respublikos valstybinio socialinio draudimo įstatymo Nr. I-1336 15 straipsnio pakeitimo įstatymo projektams ir pateikti juos Lietuvos Respublikos Seimui.</w:t>
              </w:r>
            </w:p>
          </w:sdtContent>
        </w:sdt>
        <w:sdt>
          <w:sdtPr>
            <w:alias w:val="2 p."/>
            <w:tag w:val="part_408d63d23372405bbb9a0fc60539b740"/>
            <w:lock w:val="sdtLocked"/>
            <w:richText/>
          </w:sdtPr>
          <w:sdtContent>
            <w:p>
              <w:pPr>
                <w:spacing w:line="360" w:lineRule="atLeast"/>
                <w:ind w:firstLine="720"/>
                <w:jc w:val="both"/>
                <w:rPr>
                  <w:szCs w:val="24"/>
                  <w:lang w:eastAsia="lt-LT"/>
                </w:rPr>
              </w:pPr>
              <w:sdt>
                <w:sdtPr>
                  <w:alias w:val="Numeris"/>
                  <w:tag w:val="nr_408d63d23372405bbb9a0fc60539b740"/>
                  <w:lock w:val="sdtLocked"/>
                  <w:richText/>
                </w:sdtPr>
                <w:sdtContent>
                  <w:r>
                    <w:rPr>
                      <w:szCs w:val="24"/>
                      <w:lang w:eastAsia="lt-LT"/>
                    </w:rPr>
                    <w:t>2</w:t>
                  </w:r>
                </w:sdtContent>
              </w:sdt>
              <w:r>
                <w:rPr>
                  <w:szCs w:val="24"/>
                  <w:lang w:eastAsia="lt-LT"/>
                </w:rPr>
                <w:t>. Įgalioti laikinai einančią socialinės apsaugos ir darbo ministrės pareigas Ingą Ruginienę, o jai negalint dalyvauti – socialinės apsaugos ir darbo viceministrę Aušrą Putk</w:t>
              </w:r>
              <w:r>
                <w:rPr>
                  <w:lang w:eastAsia="lt-LT"/>
                </w:rPr>
                <w:t xml:space="preserve"> </w:t>
              </w:r>
              <w:r>
                <w:rPr>
                  <w:szCs w:val="24"/>
                  <w:lang w:eastAsia="lt-LT"/>
                </w:rPr>
                <w:t>atstovauti Lietuvos Respublikos Vyriausybei, svarstant nurodytus įstatymų projektus Lietuvos Respublikos Seime.</w:t>
              </w:r>
              <w:r>
                <w:rPr>
                  <w:color w:val="000000"/>
                  <w:lang w:eastAsia="lt-LT"/>
                </w:rPr>
                <w:t xml:space="preserve"> Jeigu socialinės apsaugos ir darbo viceministrė Aušra Putk negali dalyvauti, Vyriausybei atstovauja socialinės apsaugos ir darbo viceministras Eitvydas Bingelis.</w:t>
              </w:r>
            </w:p>
            <w:p>
              <w:pPr>
                <w:widowControl w:val="0"/>
                <w:rPr>
                  <w:b/>
                  <w:caps/>
                  <w:lang w:eastAsia="lt-LT"/>
                </w:rPr>
              </w:pPr>
            </w:p>
            <w:p>
              <w:pPr>
                <w:jc w:val="both"/>
                <w:rPr>
                  <w:lang w:eastAsia="lt-LT"/>
                </w:rPr>
              </w:pPr>
            </w:p>
          </w:sdtContent>
        </w:sdt>
        <w:sdt>
          <w:sdtPr>
            <w:alias w:val="signatura"/>
            <w:tag w:val="part_5cc54594b9af4dc2bfd551a6c5c386d8"/>
            <w:lock w:val="sdtLocked"/>
            <w:richText/>
          </w:sdtPr>
          <w:sdtContent>
            <w:p>
              <w:pPr>
                <w:tabs>
                  <w:tab w:val="center" w:pos="-7800"/>
                  <w:tab w:val="left" w:pos="6237"/>
                  <w:tab w:val="right" w:pos="8306"/>
                </w:tabs>
                <w:rPr>
                  <w:lang w:eastAsia="lt-LT"/>
                </w:rPr>
              </w:pPr>
              <w:r>
                <w:rPr>
                  <w:lang w:eastAsia="lt-LT"/>
                </w:rPr>
                <w:t>Ministras Pirmininkas</w:t>
                <w:tab/>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Socialinės apsaugos ir darbo ministras</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A1A76D5A-C1E3-4B9D-9DB1-F0FC24DF3D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7416061">
      <w:bodyDiv w:val="1"/>
      <w:marLeft w:val="0"/>
      <w:marRight w:val="0"/>
      <w:marTop w:val="0"/>
      <w:marBottom w:val="0"/>
      <w:divBdr>
        <w:top w:val="none" w:sz="0" w:space="0" w:color="auto"/>
        <w:left w:val="none" w:sz="0" w:space="0" w:color="auto"/>
        <w:bottom w:val="none" w:sz="0" w:space="0" w:color="auto"/>
        <w:right w:val="none" w:sz="0" w:space="0" w:color="auto"/>
      </w:divBdr>
      <w:divsChild>
        <w:div w:id="1624771883">
          <w:marLeft w:val="0"/>
          <w:marRight w:val="0"/>
          <w:marTop w:val="0"/>
          <w:marBottom w:val="0"/>
          <w:divBdr>
            <w:top w:val="none" w:sz="0" w:space="0" w:color="auto"/>
            <w:left w:val="none" w:sz="0" w:space="0" w:color="auto"/>
            <w:bottom w:val="none" w:sz="0" w:space="0" w:color="auto"/>
            <w:right w:val="none" w:sz="0" w:space="0" w:color="auto"/>
          </w:divBdr>
          <w:divsChild>
            <w:div w:id="1560435348">
              <w:marLeft w:val="0"/>
              <w:marRight w:val="0"/>
              <w:marTop w:val="0"/>
              <w:marBottom w:val="0"/>
              <w:divBdr>
                <w:top w:val="none" w:sz="0" w:space="0" w:color="auto"/>
                <w:left w:val="none" w:sz="0" w:space="0" w:color="auto"/>
                <w:bottom w:val="none" w:sz="0" w:space="0" w:color="auto"/>
                <w:right w:val="none" w:sz="0" w:space="0" w:color="auto"/>
              </w:divBdr>
              <w:divsChild>
                <w:div w:id="2094693647">
                  <w:marLeft w:val="0"/>
                  <w:marRight w:val="0"/>
                  <w:marTop w:val="0"/>
                  <w:marBottom w:val="0"/>
                  <w:divBdr>
                    <w:top w:val="none" w:sz="0" w:space="0" w:color="auto"/>
                    <w:left w:val="none" w:sz="0" w:space="0" w:color="auto"/>
                    <w:bottom w:val="none" w:sz="0" w:space="0" w:color="auto"/>
                    <w:right w:val="none" w:sz="0" w:space="0" w:color="auto"/>
                  </w:divBdr>
                </w:div>
                <w:div w:id="1726876795">
                  <w:marLeft w:val="0"/>
                  <w:marRight w:val="0"/>
                  <w:marTop w:val="0"/>
                  <w:marBottom w:val="0"/>
                  <w:divBdr>
                    <w:top w:val="none" w:sz="0" w:space="0" w:color="auto"/>
                    <w:left w:val="none" w:sz="0" w:space="0" w:color="auto"/>
                    <w:bottom w:val="none" w:sz="0" w:space="0" w:color="auto"/>
                    <w:right w:val="none" w:sz="0" w:space="0" w:color="auto"/>
                  </w:divBdr>
                </w:div>
              </w:divsChild>
            </w:div>
            <w:div w:id="302123518">
              <w:marLeft w:val="0"/>
              <w:marRight w:val="0"/>
              <w:marTop w:val="0"/>
              <w:marBottom w:val="0"/>
              <w:divBdr>
                <w:top w:val="none" w:sz="0" w:space="0" w:color="auto"/>
                <w:left w:val="none" w:sz="0" w:space="0" w:color="auto"/>
                <w:bottom w:val="none" w:sz="0" w:space="0" w:color="auto"/>
                <w:right w:val="none" w:sz="0" w:space="0" w:color="auto"/>
              </w:divBdr>
              <w:divsChild>
                <w:div w:id="61560212">
                  <w:marLeft w:val="0"/>
                  <w:marRight w:val="0"/>
                  <w:marTop w:val="0"/>
                  <w:marBottom w:val="0"/>
                  <w:divBdr>
                    <w:top w:val="none" w:sz="0" w:space="0" w:color="auto"/>
                    <w:left w:val="none" w:sz="0" w:space="0" w:color="auto"/>
                    <w:bottom w:val="none" w:sz="0" w:space="0" w:color="auto"/>
                    <w:right w:val="none" w:sz="0" w:space="0" w:color="auto"/>
                  </w:divBdr>
                </w:div>
                <w:div w:id="527330729">
                  <w:marLeft w:val="0"/>
                  <w:marRight w:val="0"/>
                  <w:marTop w:val="0"/>
                  <w:marBottom w:val="0"/>
                  <w:divBdr>
                    <w:top w:val="none" w:sz="0" w:space="0" w:color="auto"/>
                    <w:left w:val="none" w:sz="0" w:space="0" w:color="auto"/>
                    <w:bottom w:val="none" w:sz="0" w:space="0" w:color="auto"/>
                    <w:right w:val="none" w:sz="0" w:space="0" w:color="auto"/>
                  </w:divBdr>
                </w:div>
              </w:divsChild>
            </w:div>
            <w:div w:id="143852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3c0db50992b40e3974da11faba19798" PartId="cb890d658a624f738bedb6d6c9680c8e">
    <Part Type="preambule" DocPartId="f1b6841a752249eba2ffa6acf3c5bc76" PartId="5778226e066a4d46a6161749bfcfa54d"/>
    <Part Type="punktas" Nr="1" Abbr="1 p." DocPartId="f760596b9d72450fa90316418ce7c8df" PartId="385c9e7e7300419a8b0954d35239ab6b"/>
    <Part Type="punktas" Nr="2" Abbr="2 p." DocPartId="1d8791e8d7024d80bcec8546d4901d2a" PartId="408d63d23372405bbb9a0fc60539b740"/>
    <Part Type="signatura" DocPartId="0377f6354dea4d6ab9b7677e7c78039d" PartId="5cc54594b9af4dc2bfd551a6c5c386d8"/>
  </Part>
</Parts>
</file>

<file path=customXml/itemProps1.xml><?xml version="1.0" encoding="utf-8"?>
<ds:datastoreItem xmlns:ds="http://schemas.openxmlformats.org/officeDocument/2006/customXml" ds:itemID="{1B49CA62-5762-4E0D-8E84-1310C398D460}">
  <ds:schemaRefs>
    <ds:schemaRef ds:uri="http://schemas.openxmlformats.org/officeDocument/2006/bibliography"/>
  </ds:schemaRefs>
</ds:datastoreItem>
</file>

<file path=customXml/itemProps2.xml><?xml version="1.0" encoding="utf-8"?>
<ds:datastoreItem xmlns:ds="http://schemas.openxmlformats.org/officeDocument/2006/customXml" ds:itemID="{491C7D8C-FABD-42E8-98A7-E1BE4B4B31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315</Words>
  <Characters>2170</Characters>
  <Application>Microsoft Office Word</Application>
  <DocSecurity>4</DocSecurity>
  <Lines>43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2476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2025-09-12T11:22:00Z</dcterms:created>
  <dc:creator>lrvk</dc:creator>
  <lastModifiedBy>adlibuser</lastModifiedBy>
  <lastPrinted>2017-06-01T05:28:00Z</lastPrinted>
  <dcterms:modified xsi:type="dcterms:W3CDTF">2025-09-12T11:22:00Z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