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faedc35d6e6e415dac498d8355337673"/>
        <w:lock w:val="sdtLocked"/>
        <w:richText/>
      </w:sdtPr>
      <w:sdtContent>
        <w:tbl>
          <w:tblPr>
            <w:tblW w:w="0" w:type="auto"/>
            <w:jc w:val="center"/>
            <w:tblLayout w:type="fixed"/>
            <w:tblLook w:val="0000" w:firstRow="0" w:lastRow="0" w:firstColumn="0" w:lastColumn="0" w:noHBand="0" w:noVBand="0"/>
          </w:tblPr>
          <w:tblGrid>
            <w:gridCol w:w="3284"/>
            <w:gridCol w:w="2919"/>
            <w:gridCol w:w="3649"/>
          </w:tblGrid>
          <w:tr>
            <w:trPr>
              <w:jc w:val="center"/>
            </w:trPr>
            <w:tc>
              <w:tcPr>
                <w:tcW w:w="3284" w:type="dxa"/>
              </w:tcPr>
              <w:p>
                <w:pPr>
                  <w:tabs>
                    <w:tab w:val="center" w:pos="4153"/>
                    <w:tab w:val="right" w:pos="8306"/>
                  </w:tabs>
                  <w:rPr>
                    <w:sz w:val="20"/>
                    <w:lang w:eastAsia="lt-LT"/>
                  </w:rPr>
                </w:pPr>
              </w:p>
              <w:p>
                <w:pPr>
                  <w:jc w:val="center"/>
                  <w:rPr>
                    <w:sz w:val="20"/>
                    <w:lang w:eastAsia="lt-LT"/>
                  </w:rPr>
                </w:pPr>
              </w:p>
            </w:tc>
            <w:tc>
              <w:tcPr>
                <w:tcW w:w="2919" w:type="dxa"/>
              </w:tcPr>
              <w:p>
                <w:pPr>
                  <w:jc w:val="center"/>
                  <w:rPr>
                    <w:sz w:val="20"/>
                    <w:lang w:eastAsia="lt-LT"/>
                  </w:rPr>
                </w:pPr>
              </w:p>
            </w:tc>
            <w:tc>
              <w:tcPr>
                <w:tcW w:w="3649" w:type="dxa"/>
              </w:tcPr>
              <w:p>
                <w:pPr>
                  <w:jc w:val="center"/>
                  <w:rPr>
                    <w:b/>
                    <w:lang w:eastAsia="lt-LT"/>
                  </w:rPr>
                </w:pPr>
                <w:r>
                  <w:rPr>
                    <w:b/>
                    <w:lang w:eastAsia="lt-LT"/>
                  </w:rPr>
                  <w:t>Projektas</w:t>
                </w:r>
              </w:p>
            </w:tc>
          </w:tr>
          <w:tr>
            <w:trPr>
              <w:jc w:val="center"/>
            </w:trPr>
            <w:tc>
              <w:tcPr>
                <w:tcW w:w="3284" w:type="dxa"/>
              </w:tcPr>
              <w:p>
                <w:pPr>
                  <w:jc w:val="center"/>
                  <w:rPr>
                    <w:sz w:val="20"/>
                    <w:lang w:eastAsia="lt-LT"/>
                  </w:rPr>
                </w:pPr>
              </w:p>
            </w:tc>
            <w:tc>
              <w:tcPr>
                <w:tcW w:w="2919" w:type="dxa"/>
              </w:tcPr>
              <w:p>
                <w:pPr>
                  <w:jc w:val="center"/>
                  <w:rPr>
                    <w:sz w:val="20"/>
                    <w:lang w:eastAsia="lt-LT"/>
                  </w:rPr>
                </w:pPr>
                <w:r>
                  <w:rPr>
                    <w:sz w:val="20"/>
                    <w:lang w:eastAsia="lt-LT"/>
                  </w:rPr>
                  <w:object w:dxaOrig="753" w:dyaOrig="830" w14:anchorId="15506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1.25pt" o:ole="" fillcolor="window">
                      <v:imagedata r:id="rId8" o:title="" gain="2147483647f" blacklevel=".5"/>
                    </v:shape>
                    <o:OLEObject Type="Embed" ProgID="Word.Picture.8" ShapeID="_x0000_i1025" DrawAspect="Content" ObjectID="_1584939915" r:id="rId9"/>
                  </w:object>
                </w:r>
              </w:p>
            </w:tc>
            <w:tc>
              <w:tcPr>
                <w:tcW w:w="3649" w:type="dxa"/>
              </w:tcPr>
              <w:p>
                <w:pPr>
                  <w:jc w:val="center"/>
                  <w:rPr>
                    <w:sz w:val="20"/>
                    <w:lang w:eastAsia="lt-LT"/>
                  </w:rPr>
                </w:pPr>
              </w:p>
            </w:tc>
          </w:tr>
        </w:tbl>
        <w:p>
          <w:pPr>
            <w:jc w:val="center"/>
            <w:rPr>
              <w:b/>
              <w:sz w:val="26"/>
              <w:lang w:eastAsia="lt-LT"/>
            </w:rPr>
          </w:pPr>
        </w:p>
        <w:sdt>
          <w:sdtPr>
            <w:alias w:val="skirsnis"/>
            <w:tag w:val="part_fc824dc50c3f42009a4ff1137a2c31ad"/>
            <w:lock w:val="sdtLocked"/>
            <w:richText/>
          </w:sdtPr>
          <w:sdtContent>
            <w:p>
              <w:pPr>
                <w:jc w:val="center"/>
                <w:rPr>
                  <w:b/>
                  <w:sz w:val="28"/>
                  <w:szCs w:val="28"/>
                  <w:lang w:eastAsia="lt-LT"/>
                </w:rPr>
              </w:pPr>
              <w:sdt>
                <w:sdtPr>
                  <w:alias w:val="Pavadinimas"/>
                  <w:tag w:val="title_fc824dc50c3f42009a4ff1137a2c31ad"/>
                  <w:lock w:val="sdtLocked"/>
                  <w:richText/>
                </w:sdtPr>
                <w:sdtContent>
                  <w:r>
                    <w:rPr>
                      <w:b/>
                      <w:sz w:val="28"/>
                      <w:szCs w:val="28"/>
                      <w:lang w:eastAsia="lt-LT"/>
                    </w:rPr>
                    <w:t>LIETUVOS RESPUBLIKOS VYRIAUSYBĖ</w:t>
                  </w:r>
                </w:sdtContent>
              </w:sdt>
            </w:p>
            <w:p>
              <w:pPr>
                <w:jc w:val="center"/>
                <w:rPr>
                  <w:b/>
                  <w:sz w:val="28"/>
                  <w:szCs w:val="28"/>
                  <w:lang w:eastAsia="lt-LT"/>
                </w:rPr>
              </w:pPr>
            </w:p>
            <w:p>
              <w:pPr>
                <w:jc w:val="center"/>
                <w:rPr>
                  <w:b/>
                  <w:sz w:val="28"/>
                  <w:szCs w:val="28"/>
                  <w:lang w:eastAsia="lt-LT"/>
                </w:rPr>
              </w:pPr>
            </w:p>
            <w:p>
              <w:pPr>
                <w:jc w:val="center"/>
                <w:rPr>
                  <w:b/>
                  <w:sz w:val="28"/>
                  <w:szCs w:val="28"/>
                  <w:lang w:eastAsia="lt-LT"/>
                </w:rPr>
              </w:pPr>
            </w:p>
          </w:sdtContent>
        </w:sdt>
        <w:sdt>
          <w:sdtPr>
            <w:alias w:val="skirsnis"/>
            <w:tag w:val="part_87ccf9cb65624a11b2ad071c75a1c76e"/>
            <w:lock w:val="sdtLocked"/>
            <w:richText/>
          </w:sdtPr>
          <w:sdtContent>
            <w:sdt>
              <w:sdtPr>
                <w:alias w:val="Pavadinimas"/>
                <w:tag w:val="title_87ccf9cb65624a11b2ad071c75a1c76e"/>
                <w:lock w:val="sdtLocked"/>
                <w:richText/>
              </w:sdtPr>
              <w:sdtContent>
                <w:p>
                  <w:pPr>
                    <w:jc w:val="center"/>
                    <w:rPr>
                      <w:b/>
                      <w:sz w:val="28"/>
                      <w:szCs w:val="28"/>
                      <w:lang w:eastAsia="lt-LT"/>
                    </w:rPr>
                  </w:pPr>
                  <w:r>
                    <w:rPr>
                      <w:b/>
                      <w:sz w:val="28"/>
                      <w:szCs w:val="28"/>
                      <w:lang w:eastAsia="lt-LT"/>
                    </w:rPr>
                    <w:t>NUTARIMAS</w:t>
                  </w:r>
                </w:p>
                <w:p>
                  <w:pPr>
                    <w:jc w:val="center"/>
                    <w:rPr>
                      <w:b/>
                      <w:sz w:val="28"/>
                      <w:szCs w:val="28"/>
                      <w:lang w:eastAsia="lt-LT"/>
                    </w:rPr>
                  </w:pPr>
                  <w:r>
                    <w:rPr>
                      <w:b/>
                      <w:sz w:val="28"/>
                      <w:lang w:eastAsia="lt-LT"/>
                    </w:rPr>
                    <w:t>DĖL LIETUVOS RESPUBLIKOS METROPOLITENO ĮGYVENDINIMO ĮSTATYMO PROJEKTO NR. XIIP-2375(3)</w:t>
                  </w:r>
                </w:p>
              </w:sdtContent>
            </w:sdt>
            <w:p>
              <w:pPr>
                <w:jc w:val="center"/>
                <w:rPr>
                  <w:b/>
                  <w:szCs w:val="24"/>
                  <w:lang w:eastAsia="lt-LT"/>
                </w:rPr>
              </w:pPr>
            </w:p>
            <w:p>
              <w:pPr>
                <w:jc w:val="center"/>
                <w:rPr>
                  <w:b/>
                  <w:szCs w:val="24"/>
                  <w:lang w:eastAsia="lt-LT"/>
                </w:rPr>
              </w:pPr>
            </w:p>
            <w:p>
              <w:pPr>
                <w:jc w:val="center"/>
                <w:rPr>
                  <w:szCs w:val="24"/>
                  <w:lang w:eastAsia="lt-LT"/>
                </w:rPr>
              </w:pPr>
              <w:r>
                <w:rPr>
                  <w:szCs w:val="24"/>
                  <w:lang w:eastAsia="lt-LT"/>
                </w:rPr>
                <w:t xml:space="preserve">2018 m. _________ __ d. Nr.       </w:t>
              </w:r>
            </w:p>
            <w:p>
              <w:pPr>
                <w:jc w:val="center"/>
                <w:rPr>
                  <w:szCs w:val="24"/>
                  <w:lang w:eastAsia="lt-LT"/>
                </w:rPr>
              </w:pPr>
              <w:r>
                <w:rPr>
                  <w:szCs w:val="24"/>
                  <w:lang w:eastAsia="lt-LT"/>
                </w:rPr>
                <w:t>Vilnius</w:t>
              </w:r>
            </w:p>
            <w:p>
              <w:pPr>
                <w:rPr>
                  <w:lang w:eastAsia="lt-LT"/>
                </w:rPr>
              </w:pPr>
            </w:p>
            <w:p>
              <w:pPr>
                <w:rPr>
                  <w:lang w:eastAsia="lt-LT"/>
                </w:rPr>
              </w:pPr>
            </w:p>
            <w:p>
              <w:pPr>
                <w:tabs>
                  <w:tab w:val="left" w:pos="6237"/>
                  <w:tab w:val="right" w:pos="8306"/>
                </w:tabs>
                <w:ind w:firstLine="709"/>
                <w:jc w:val="both"/>
                <w:rPr>
                  <w:szCs w:val="24"/>
                  <w:lang w:eastAsia="lt-LT"/>
                </w:rPr>
              </w:pPr>
              <w:r>
                <w:rPr>
                  <w:szCs w:val="24"/>
                  <w:lang w:eastAsia="lt-LT"/>
                </w:rPr>
                <w:t xml:space="preserve">Vadovaudamasi Lietuvos Respublikos Seimo statuto 138 straipsnio 3 dalimi ir atsižvelgdama į Seimo valdybos 2017 m. lapkričio 15 d. sprendimo Nr. SV-S-471 „Dėl  teisės aktų  projektų išvadų“ 1.1 papunktį, Lietuvos Respublikos Vyriausybė  n u t a r i a:</w:t>
              </w:r>
            </w:p>
            <w:p>
              <w:pPr>
                <w:ind w:firstLine="771"/>
                <w:jc w:val="both"/>
                <w:rPr>
                  <w:szCs w:val="24"/>
                  <w:lang w:eastAsia="lt-LT"/>
                </w:rPr>
              </w:pPr>
              <w:r>
                <w:rPr>
                  <w:szCs w:val="24"/>
                  <w:lang w:eastAsia="lt-LT"/>
                </w:rPr>
                <w:t xml:space="preserve">Iš esmės pritarti Lietuvos Respublikos metropoliteno įgyvendinimo įstatymo projektui            Nr. XIIP-2375(3) (toliau – įstatymo projektas), tačiau siūlyti jį tikslinti atsižvelgiant į toliau išdėstytas pastabas ir pasiūlymus:</w:t>
              </w:r>
            </w:p>
            <w:sdt>
              <w:sdtPr>
                <w:alias w:val="1 p."/>
                <w:tag w:val="part_bf1715609222455d8a9e453bc00f16c7"/>
                <w:lock w:val="sdtLocked"/>
                <w:richText/>
              </w:sdtPr>
              <w:sdtContent>
                <w:p>
                  <w:pPr>
                    <w:ind w:firstLine="771"/>
                    <w:jc w:val="both"/>
                    <w:rPr>
                      <w:szCs w:val="24"/>
                      <w:lang w:eastAsia="lt-LT"/>
                    </w:rPr>
                  </w:pPr>
                  <w:sdt>
                    <w:sdtPr>
                      <w:alias w:val="Numeris"/>
                      <w:tag w:val="nr_bf1715609222455d8a9e453bc00f16c7"/>
                      <w:lock w:val="sdtLocked"/>
                      <w:richText/>
                    </w:sdtPr>
                    <w:sdtContent>
                      <w:r>
                        <w:rPr>
                          <w:szCs w:val="24"/>
                          <w:lang w:eastAsia="lt-LT"/>
                        </w:rPr>
                        <w:t>1</w:t>
                      </w:r>
                    </w:sdtContent>
                  </w:sdt>
                  <w:r>
                    <w:rPr>
                      <w:szCs w:val="24"/>
                      <w:lang w:eastAsia="lt-LT"/>
                    </w:rPr>
                    <w:t>. Atsižvelgiant į tai, kad įstatymo projektas nustato tik kai kuriuos iš įstatymo projekto 1 straipsnio 2 dalyje nurodytų reguliuojamų teisinių santykių, siūlytina tikslinti įstatymo projekto 1 straipsnio 2 dalį (atsisakyti perteklinių, įstatyme neaptartų teisinių santykių) arba įstatymo projektą papildyti įstatymo projekto 1 straipsnio 2 dalyje nurodytomis nuostatomis (pvz., Lietuvos Respublikos Vyriausybės, investuotojų funkcijomis, jų ir metropolitenų projektų įgyvendinimo bendrovių tarpusavio santykių bendraisiais principais.</w:t>
                  </w:r>
                </w:p>
              </w:sdtContent>
            </w:sdt>
            <w:sdt>
              <w:sdtPr>
                <w:alias w:val="2 p."/>
                <w:tag w:val="part_ac08b06730934c10918d98748e2b1556"/>
                <w:lock w:val="sdtLocked"/>
                <w:richText/>
              </w:sdtPr>
              <w:sdtContent>
                <w:p>
                  <w:pPr>
                    <w:ind w:firstLine="709"/>
                    <w:jc w:val="both"/>
                    <w:rPr>
                      <w:szCs w:val="24"/>
                      <w:lang w:eastAsia="lt-LT"/>
                    </w:rPr>
                  </w:pPr>
                  <w:sdt>
                    <w:sdtPr>
                      <w:alias w:val="Numeris"/>
                      <w:tag w:val="nr_ac08b06730934c10918d98748e2b1556"/>
                      <w:lock w:val="sdtLocked"/>
                      <w:richText/>
                    </w:sdtPr>
                    <w:sdtContent>
                      <w:r>
                        <w:rPr>
                          <w:szCs w:val="24"/>
                          <w:lang w:eastAsia="lt-LT"/>
                        </w:rPr>
                        <w:t>2</w:t>
                      </w:r>
                    </w:sdtContent>
                  </w:sdt>
                  <w:r>
                    <w:rPr>
                      <w:szCs w:val="24"/>
                      <w:lang w:eastAsia="lt-LT"/>
                    </w:rPr>
                    <w:t xml:space="preserve">. Lietuvos Respublikos transporto veiklos pagrindų įstatymo 5 straipsnis, kuriame nurodomos transporto rūšys, neapibrėžia </w:t>
                  </w:r>
                  <w:r>
                    <w:rPr>
                      <w:i/>
                      <w:szCs w:val="24"/>
                      <w:lang w:eastAsia="lt-LT"/>
                    </w:rPr>
                    <w:t xml:space="preserve">bėginio transporto (metropoliteno) </w:t>
                  </w:r>
                  <w:r>
                    <w:rPr>
                      <w:szCs w:val="24"/>
                      <w:lang w:eastAsia="lt-LT"/>
                    </w:rPr>
                    <w:t>kaip atskiros transporto rūšies</w:t>
                  </w:r>
                  <w:r>
                    <w:rPr>
                      <w:i/>
                      <w:szCs w:val="24"/>
                      <w:lang w:eastAsia="lt-LT"/>
                    </w:rPr>
                    <w:t xml:space="preserve">. </w:t>
                  </w:r>
                  <w:r>
                    <w:rPr>
                      <w:szCs w:val="24"/>
                      <w:lang w:eastAsia="lt-LT"/>
                    </w:rPr>
                    <w:t>Atsižvelgiant į tai, siūlytina</w:t>
                  </w:r>
                  <w:r>
                    <w:rPr>
                      <w:i/>
                      <w:szCs w:val="24"/>
                      <w:lang w:eastAsia="lt-LT"/>
                    </w:rPr>
                    <w:t xml:space="preserve"> </w:t>
                  </w:r>
                  <w:r>
                    <w:rPr>
                      <w:szCs w:val="24"/>
                      <w:lang w:eastAsia="lt-LT"/>
                    </w:rPr>
                    <w:t>patikslinti</w:t>
                  </w:r>
                  <w:r>
                    <w:rPr>
                      <w:i/>
                      <w:szCs w:val="24"/>
                      <w:lang w:eastAsia="lt-LT"/>
                    </w:rPr>
                    <w:t xml:space="preserve"> </w:t>
                  </w:r>
                  <w:r>
                    <w:rPr>
                      <w:szCs w:val="24"/>
                      <w:lang w:eastAsia="lt-LT"/>
                    </w:rPr>
                    <w:t xml:space="preserve">įstatymo projekto 2 straipsnio 1 ir 6 dalyse pateiktų sąvokų apibrėžtis ir tiksliai nurodyti, kokia transporto rūšimi laikytinas metropoliteno transportas, arba parengti Lietuvos Respublikos transporto veiklos pagrindų įstatymo pakeitimo įstatymo projektą ir jame apibrėžti </w:t>
                  </w:r>
                  <w:r>
                    <w:rPr>
                      <w:i/>
                      <w:szCs w:val="24"/>
                      <w:lang w:eastAsia="lt-LT"/>
                    </w:rPr>
                    <w:t xml:space="preserve">bėginio transporto (metropoliteno) </w:t>
                  </w:r>
                  <w:r>
                    <w:rPr>
                      <w:szCs w:val="24"/>
                      <w:lang w:eastAsia="lt-LT"/>
                    </w:rPr>
                    <w:t xml:space="preserve">sąvoką. </w:t>
                  </w:r>
                </w:p>
              </w:sdtContent>
            </w:sdt>
            <w:sdt>
              <w:sdtPr>
                <w:alias w:val="3 p."/>
                <w:tag w:val="part_626af63993914e169cb68d3c397849d0"/>
                <w:lock w:val="sdtLocked"/>
                <w:richText/>
              </w:sdtPr>
              <w:sdtContent>
                <w:p>
                  <w:pPr>
                    <w:ind w:firstLine="709"/>
                    <w:jc w:val="both"/>
                    <w:rPr>
                      <w:color w:val="000000"/>
                      <w:szCs w:val="24"/>
                      <w:lang w:eastAsia="lt-LT"/>
                    </w:rPr>
                  </w:pPr>
                  <w:sdt>
                    <w:sdtPr>
                      <w:alias w:val="Numeris"/>
                      <w:tag w:val="nr_626af63993914e169cb68d3c397849d0"/>
                      <w:lock w:val="sdtLocked"/>
                      <w:richText/>
                    </w:sdtPr>
                    <w:sdtContent>
                      <w:r>
                        <w:rPr>
                          <w:szCs w:val="24"/>
                          <w:lang w:eastAsia="lt-LT"/>
                        </w:rPr>
                        <w:t>3</w:t>
                      </w:r>
                    </w:sdtContent>
                  </w:sdt>
                  <w:r>
                    <w:rPr>
                      <w:szCs w:val="24"/>
                      <w:lang w:eastAsia="lt-LT"/>
                    </w:rPr>
                    <w:t xml:space="preserve">. Siūlytina Įstatymo projekto 5 straipsnio 2 punkto formuluotę </w:t>
                  </w:r>
                  <w:r>
                    <w:rPr>
                      <w:i/>
                      <w:szCs w:val="24"/>
                      <w:lang w:eastAsia="lt-LT"/>
                    </w:rPr>
                    <w:t>i</w:t>
                  </w:r>
                  <w:r>
                    <w:rPr>
                      <w:i/>
                      <w:szCs w:val="24"/>
                      <w:shd w:val="clear" w:color="auto" w:fill="FFFFFF"/>
                      <w:lang w:eastAsia="lt-LT"/>
                    </w:rPr>
                    <w:t>nvesticijos valdžios ir privataus subjektų partnerystės pagrindu</w:t>
                  </w:r>
                  <w:r>
                    <w:rPr>
                      <w:szCs w:val="24"/>
                      <w:shd w:val="clear" w:color="auto" w:fill="FFFFFF"/>
                      <w:lang w:eastAsia="lt-LT"/>
                    </w:rPr>
                    <w:t xml:space="preserve"> suderinti su Lietuvos Respublikos investicijų įstatyme vartojamomis sąvokomis ir pakeisti į </w:t>
                  </w:r>
                  <w:r>
                    <w:rPr>
                      <w:i/>
                      <w:szCs w:val="24"/>
                      <w:lang w:eastAsia="lt-LT"/>
                    </w:rPr>
                    <w:t>valdžios ir privataus subjektų partnerystės sutarties pagrindu</w:t>
                  </w:r>
                  <w:r>
                    <w:rPr>
                      <w:i/>
                      <w:color w:val="000000"/>
                      <w:szCs w:val="24"/>
                      <w:lang w:eastAsia="lt-LT"/>
                    </w:rPr>
                    <w:t>.</w:t>
                  </w:r>
                  <w:r>
                    <w:rPr>
                      <w:color w:val="000000"/>
                      <w:szCs w:val="24"/>
                      <w:lang w:eastAsia="lt-LT"/>
                    </w:rPr>
                    <w:t xml:space="preserve"> </w:t>
                  </w:r>
                </w:p>
              </w:sdtContent>
            </w:sdt>
            <w:sdt>
              <w:sdtPr>
                <w:alias w:val="4 p."/>
                <w:tag w:val="part_a107883e5ae6404799c33980f5fe9c94"/>
                <w:lock w:val="sdtLocked"/>
                <w:richText/>
              </w:sdtPr>
              <w:sdtContent>
                <w:p>
                  <w:pPr>
                    <w:ind w:firstLine="709"/>
                    <w:jc w:val="both"/>
                    <w:rPr>
                      <w:bCs/>
                      <w:color w:val="000000"/>
                      <w:szCs w:val="24"/>
                      <w:lang w:eastAsia="lt-LT"/>
                    </w:rPr>
                  </w:pPr>
                  <w:sdt>
                    <w:sdtPr>
                      <w:alias w:val="Numeris"/>
                      <w:tag w:val="nr_a107883e5ae6404799c33980f5fe9c94"/>
                      <w:lock w:val="sdtLocked"/>
                      <w:richText/>
                    </w:sdtPr>
                    <w:sdtContent>
                      <w:r>
                        <w:rPr>
                          <w:bCs/>
                          <w:color w:val="000000"/>
                          <w:szCs w:val="24"/>
                          <w:lang w:eastAsia="lt-LT"/>
                        </w:rPr>
                        <w:t>4</w:t>
                      </w:r>
                    </w:sdtContent>
                  </w:sdt>
                  <w:r>
                    <w:rPr>
                      <w:bCs/>
                      <w:color w:val="000000"/>
                      <w:szCs w:val="24"/>
                      <w:lang w:eastAsia="lt-LT"/>
                    </w:rPr>
                    <w:t xml:space="preserve">. Atsižvelgiant į tai, kad Lietuvos Respublikos koncesijų įstatymo 17 straipsnis nenumato maksimalaus koncesijos sutarties termino, siūlytina atsisakyti </w:t>
                  </w:r>
                  <w:r>
                    <w:rPr>
                      <w:color w:val="000000"/>
                      <w:szCs w:val="24"/>
                      <w:lang w:eastAsia="lt-LT"/>
                    </w:rPr>
                    <w:t xml:space="preserve">6 straipsnio 1 dalies nuostatos, kad </w:t>
                  </w:r>
                  <w:r>
                    <w:rPr>
                      <w:i/>
                      <w:szCs w:val="24"/>
                      <w:lang w:eastAsia="lt-LT"/>
                    </w:rPr>
                    <w:t>koncesijos sutartis dėl metropoliteno projekto įgyvendinimo gali būti sudaroma ilgesniam kaip 25 metų laikotarpiui</w:t>
                  </w:r>
                  <w:r>
                    <w:rPr>
                      <w:szCs w:val="24"/>
                      <w:lang w:eastAsia="lt-LT"/>
                    </w:rPr>
                    <w:t>.</w:t>
                  </w:r>
                </w:p>
              </w:sdtContent>
            </w:sdt>
            <w:sdt>
              <w:sdtPr>
                <w:alias w:val="5 p."/>
                <w:tag w:val="part_6c64e192a958495e86b9e7295292375c"/>
                <w:lock w:val="sdtLocked"/>
                <w:richText/>
              </w:sdtPr>
              <w:sdtContent>
                <w:p>
                  <w:pPr>
                    <w:ind w:firstLine="709"/>
                    <w:jc w:val="both"/>
                    <w:rPr>
                      <w:color w:val="000000"/>
                      <w:szCs w:val="24"/>
                      <w:lang w:eastAsia="lt-LT"/>
                    </w:rPr>
                  </w:pPr>
                  <w:sdt>
                    <w:sdtPr>
                      <w:alias w:val="Numeris"/>
                      <w:tag w:val="nr_6c64e192a958495e86b9e7295292375c"/>
                      <w:lock w:val="sdtLocked"/>
                      <w:richText/>
                    </w:sdtPr>
                    <w:sdtContent>
                      <w:r>
                        <w:rPr>
                          <w:color w:val="000000"/>
                          <w:szCs w:val="24"/>
                          <w:lang w:eastAsia="lt-LT"/>
                        </w:rPr>
                        <w:t>5</w:t>
                      </w:r>
                    </w:sdtContent>
                  </w:sdt>
                  <w:r>
                    <w:rPr>
                      <w:color w:val="000000"/>
                      <w:szCs w:val="24"/>
                      <w:lang w:eastAsia="lt-LT"/>
                    </w:rPr>
                    <w:t>. Siūlytina patikslinti įstatymo projekto 6 straipsnio 3 dalies nuostatas ir nurodyti, kad metropoliteno sistemos statybai suteikiamas žemės sklypas ir žemės gelmių ertmės, o ne teritorijos.</w:t>
                  </w:r>
                </w:p>
              </w:sdtContent>
            </w:sdt>
            <w:sdt>
              <w:sdtPr>
                <w:alias w:val="6 p."/>
                <w:tag w:val="part_bde28983096146b0bfefce7c9cb44a48"/>
                <w:lock w:val="sdtLocked"/>
                <w:richText/>
              </w:sdtPr>
              <w:sdtContent>
                <w:p>
                  <w:pPr>
                    <w:ind w:firstLine="709"/>
                    <w:jc w:val="both"/>
                    <w:rPr>
                      <w:color w:val="000000"/>
                      <w:szCs w:val="24"/>
                      <w:lang w:eastAsia="lt-LT"/>
                    </w:rPr>
                  </w:pPr>
                  <w:sdt>
                    <w:sdtPr>
                      <w:alias w:val="Numeris"/>
                      <w:tag w:val="nr_bde28983096146b0bfefce7c9cb44a48"/>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Įstatymo projekto 7 straipsnis apibrėžia metropoliteno projekto įgyvendinimą taikant institucinės viešojo ir privataus sektorių partnerystės būdą, kuris nenurodytas </w:t>
                  </w:r>
                  <w:r>
                    <w:rPr>
                      <w:color w:val="000000"/>
                      <w:szCs w:val="24"/>
                      <w:lang w:eastAsia="lt-LT"/>
                    </w:rPr>
                    <w:t>įstatymo projekto 5 straipsnyje.</w:t>
                  </w:r>
                </w:p>
              </w:sdtContent>
            </w:sdt>
            <w:sdt>
              <w:sdtPr>
                <w:alias w:val="7 p."/>
                <w:tag w:val="part_e0bc8d68f1034543b3dc2570b954e8f4"/>
                <w:lock w:val="sdtLocked"/>
                <w:richText/>
              </w:sdtPr>
              <w:sdtContent>
                <w:p>
                  <w:pPr>
                    <w:ind w:firstLine="709"/>
                    <w:jc w:val="both"/>
                    <w:rPr>
                      <w:color w:val="000000"/>
                      <w:szCs w:val="24"/>
                      <w:lang w:eastAsia="lt-LT"/>
                    </w:rPr>
                  </w:pPr>
                  <w:sdt>
                    <w:sdtPr>
                      <w:alias w:val="Numeris"/>
                      <w:tag w:val="nr_e0bc8d68f1034543b3dc2570b954e8f4"/>
                      <w:lock w:val="sdtLocked"/>
                      <w:richText/>
                    </w:sdtPr>
                    <w:sdtContent>
                      <w:r>
                        <w:rPr>
                          <w:color w:val="000000"/>
                          <w:szCs w:val="24"/>
                          <w:lang w:eastAsia="lt-LT"/>
                        </w:rPr>
                        <w:t>7</w:t>
                      </w:r>
                    </w:sdtContent>
                  </w:sdt>
                  <w:r>
                    <w:rPr>
                      <w:color w:val="000000"/>
                      <w:szCs w:val="24"/>
                      <w:lang w:eastAsia="lt-LT"/>
                    </w:rPr>
                    <w:t xml:space="preserve">. Siekiant teisinio reguliavimo aiškumo įstatymo projekto  8 straipsnio 1 dalyje siūlytina nurodyti konkrečius teisės aktus, kuriais vadovaujantis bus nustatomos metropoliteno ribos. Taip pat ir kituose įstatymo projekto straipsniuose, siekiant aiškumo, siūlytina pateikti nuorodas į kitus teisės aktus (pvz., įstatymo projekto 4 straipsnio 2 dalis, 5 straipsnis, 8 straipsnio 2 dalis, 10 straipsnio 3 dalis).</w:t>
                  </w:r>
                </w:p>
              </w:sdtContent>
            </w:sdt>
            <w:sdt>
              <w:sdtPr>
                <w:alias w:val="8 p."/>
                <w:tag w:val="part_5a81a8cabfff40a0b9f4a14248c311b9"/>
                <w:lock w:val="sdtLocked"/>
                <w:richText/>
              </w:sdtPr>
              <w:sdtContent>
                <w:p>
                  <w:pPr>
                    <w:ind w:firstLine="709"/>
                    <w:jc w:val="both"/>
                    <w:rPr>
                      <w:color w:val="000000"/>
                      <w:szCs w:val="24"/>
                      <w:lang w:eastAsia="lt-LT"/>
                    </w:rPr>
                  </w:pPr>
                  <w:sdt>
                    <w:sdtPr>
                      <w:alias w:val="Numeris"/>
                      <w:tag w:val="nr_5a81a8cabfff40a0b9f4a14248c311b9"/>
                      <w:lock w:val="sdtLocked"/>
                      <w:richText/>
                    </w:sdtPr>
                    <w:sdtContent>
                      <w:r>
                        <w:rPr>
                          <w:color w:val="000000"/>
                          <w:szCs w:val="24"/>
                          <w:lang w:eastAsia="lt-LT"/>
                        </w:rPr>
                        <w:t>8</w:t>
                      </w:r>
                    </w:sdtContent>
                  </w:sdt>
                  <w:r>
                    <w:rPr>
                      <w:color w:val="000000"/>
                      <w:szCs w:val="24"/>
                      <w:lang w:eastAsia="lt-LT"/>
                    </w:rPr>
                    <w:t xml:space="preserve">. Įstatymo projekte neapibrėžtas įstatymo projekto 9 straipsnio 3 ir 6 dalių santykis: sertifikatų išdavimo metropoliteno įmonėms ir kitus teisinius santykius pagal įstatymo projekto       9 straipsnio 3 dalies nuostatas siūloma reglamentuoti įstatyme, o pagal to paties straipsnio 6 dalį tokius pačius teisinius santykius reglamentuojančią tvarką siūloma pavesti nustatyti Lietuvos Respublikos susisiekimo ministrui. Atsižvelgiant į Lietuvos Respublikos paslaugų įstatymo              5 straipsnio nuostatas reikalavimas metropoliteno įmonėms įgyti sertifikatą, jo išdavimo sąlygos, metropoliteno įmonės teisės ir pareigos, atsisakymo išduoti sertifikatą, jo galiojimo sustabdymo, galiojimo sustabdymo panaikinimo, galiojimo panaikinimo pagrindai turi būti nustatomi įstatymu. Be to, atsižvelgiant į tai, kad reikalavimas metropoliteno įmonei būti sertifikuotai laikytinas ūkinės veiklos ribojimu ir prilygintinas licencijavimui, siūlytina įstatymo projektą papildyti nuostatomis, reglamentuojančiomis esmines sertifikavimo sąlygas, taip pat ūkinės veiklos vykdymo sąlygas ir priežiūrą, ūkinės veiklos vykdytojo teises ir pareigas. </w:t>
                  </w:r>
                </w:p>
              </w:sdtContent>
            </w:sdt>
            <w:sdt>
              <w:sdtPr>
                <w:alias w:val="9 p."/>
                <w:tag w:val="part_1ef575eebe774351ad6f5cc3498734a7"/>
                <w:lock w:val="sdtLocked"/>
                <w:richText/>
              </w:sdtPr>
              <w:sdtContent>
                <w:p>
                  <w:pPr>
                    <w:ind w:firstLine="709"/>
                    <w:jc w:val="both"/>
                    <w:rPr>
                      <w:color w:val="000000"/>
                      <w:szCs w:val="24"/>
                      <w:lang w:eastAsia="lt-LT"/>
                    </w:rPr>
                  </w:pPr>
                  <w:sdt>
                    <w:sdtPr>
                      <w:alias w:val="Numeris"/>
                      <w:tag w:val="nr_1ef575eebe774351ad6f5cc3498734a7"/>
                      <w:lock w:val="sdtLocked"/>
                      <w:richText/>
                    </w:sdtPr>
                    <w:sdtContent>
                      <w:r>
                        <w:rPr>
                          <w:color w:val="000000"/>
                          <w:szCs w:val="24"/>
                          <w:lang w:eastAsia="lt-LT"/>
                        </w:rPr>
                        <w:t>9</w:t>
                      </w:r>
                    </w:sdtContent>
                  </w:sdt>
                  <w:r>
                    <w:rPr>
                      <w:color w:val="000000"/>
                      <w:szCs w:val="24"/>
                      <w:lang w:eastAsia="lt-LT"/>
                    </w:rPr>
                    <w:t>. Įstatymo projekto 10 straipsnio 2 dalies nuostatos dėl viešųjų paslaugų sutarčių sudarymo, 11 straipsnio nuostatos dėl Lietuvos Respublikos civilinės saugos įstatymo taikymo ir valstybės institucijų įgaliojimų civilinės saugos srityje siūlytina atsisakyti, nes jos nenustato savarankiško reguliavimo, o tik atkartoja kitų įstatymų nuostatas.</w:t>
                  </w:r>
                </w:p>
                <w:p>
                  <w:pPr>
                    <w:tabs>
                      <w:tab w:val="left" w:pos="851"/>
                    </w:tabs>
                    <w:ind w:firstLine="851"/>
                    <w:jc w:val="both"/>
                    <w:rPr>
                      <w:szCs w:val="24"/>
                      <w:lang w:eastAsia="lt-LT"/>
                    </w:rPr>
                  </w:pPr>
                </w:p>
              </w:sdtContent>
            </w:sdt>
          </w:sdtContent>
        </w:sdt>
      </w:sdtContent>
    </w:sdt>
    <w:sdt>
      <w:sdtPr>
        <w:alias w:val="lentele"/>
        <w:tag w:val="part_22e09fc556064e27b49177a840ae7a0f"/>
        <w:lock w:val="sdtLocked"/>
        <w:richText/>
      </w:sdtPr>
      <w:sdtContent>
        <w:tbl>
          <w:tblPr>
            <w:tblW w:w="0" w:type="auto"/>
            <w:tblLayout w:type="fixed"/>
            <w:tblLook w:val="0000" w:firstRow="0" w:lastRow="0" w:firstColumn="0" w:lastColumn="0" w:noHBand="0" w:noVBand="0"/>
          </w:tblPr>
          <w:tblGrid>
            <w:gridCol w:w="5070"/>
            <w:gridCol w:w="567"/>
            <w:gridCol w:w="4213"/>
          </w:tblGrid>
          <w:tr>
            <w:trPr>
              <w:trHeight w:val="240"/>
            </w:trPr>
            <w:tc>
              <w:tcPr>
                <w:tcW w:w="5070" w:type="dxa"/>
              </w:tcPr>
              <w:p>
                <w:pPr>
                  <w:rPr>
                    <w:sz w:val="42"/>
                    <w:szCs w:val="42"/>
                  </w:rPr>
                </w:pPr>
              </w:p>
              <w:p>
                <w:pPr>
                  <w:rPr>
                    <w:szCs w:val="24"/>
                    <w:lang w:eastAsia="lt-LT"/>
                  </w:rPr>
                </w:pPr>
                <w:r>
                  <w:rPr>
                    <w:szCs w:val="24"/>
                    <w:lang w:eastAsia="lt-LT"/>
                  </w:rPr>
                  <w:t>Ministras Pirmininkas</w:t>
                </w:r>
              </w:p>
            </w:tc>
            <w:tc>
              <w:tcPr>
                <w:tcW w:w="567" w:type="dxa"/>
              </w:tcPr>
              <w:p>
                <w:pPr>
                  <w:rPr>
                    <w:sz w:val="42"/>
                    <w:szCs w:val="42"/>
                  </w:rPr>
                </w:pPr>
              </w:p>
              <w:p>
                <w:pPr>
                  <w:rPr>
                    <w:szCs w:val="24"/>
                    <w:lang w:eastAsia="lt-LT"/>
                  </w:rPr>
                </w:pPr>
              </w:p>
            </w:tc>
            <w:tc>
              <w:tcPr>
                <w:tcW w:w="4213" w:type="dxa"/>
              </w:tcPr>
              <w:p>
                <w:pPr>
                  <w:rPr>
                    <w:sz w:val="42"/>
                    <w:szCs w:val="42"/>
                  </w:rPr>
                </w:pPr>
              </w:p>
              <w:p>
                <w:pPr>
                  <w:rPr>
                    <w:szCs w:val="24"/>
                    <w:lang w:eastAsia="lt-LT"/>
                  </w:rPr>
                </w:pPr>
              </w:p>
            </w:tc>
          </w:tr>
          <w:tr>
            <w:trPr>
              <w:trHeight w:val="240"/>
            </w:trPr>
            <w:tc>
              <w:tcPr>
                <w:tcW w:w="5070" w:type="dxa"/>
              </w:tcPr>
              <w:p>
                <w:pPr>
                  <w:rPr>
                    <w:sz w:val="42"/>
                    <w:szCs w:val="42"/>
                  </w:rPr>
                </w:pPr>
              </w:p>
              <w:p>
                <w:pPr>
                  <w:rPr>
                    <w:szCs w:val="24"/>
                    <w:lang w:eastAsia="lt-LT"/>
                  </w:rPr>
                </w:pPr>
                <w:r>
                  <w:rPr>
                    <w:szCs w:val="24"/>
                    <w:lang w:eastAsia="lt-LT"/>
                  </w:rPr>
                  <w:t>Susisiekimo ministras</w:t>
                </w:r>
              </w:p>
            </w:tc>
            <w:tc>
              <w:tcPr>
                <w:tcW w:w="567" w:type="dxa"/>
              </w:tcPr>
              <w:p>
                <w:pPr>
                  <w:rPr>
                    <w:sz w:val="42"/>
                    <w:szCs w:val="42"/>
                  </w:rPr>
                </w:pPr>
              </w:p>
              <w:p>
                <w:pPr>
                  <w:rPr>
                    <w:szCs w:val="24"/>
                    <w:lang w:eastAsia="lt-LT"/>
                  </w:rPr>
                </w:pPr>
              </w:p>
            </w:tc>
            <w:tc>
              <w:tcPr>
                <w:tcW w:w="4213" w:type="dxa"/>
              </w:tcPr>
              <w:p>
                <w:pPr>
                  <w:rPr>
                    <w:sz w:val="42"/>
                    <w:szCs w:val="42"/>
                  </w:rPr>
                </w:pPr>
              </w:p>
              <w:p>
                <w:pPr>
                  <w:rPr>
                    <w:szCs w:val="24"/>
                    <w:lang w:eastAsia="lt-LT"/>
                  </w:rPr>
                </w:pPr>
              </w:p>
            </w:tc>
          </w:tr>
        </w:tbl>
        <w:p>
          <w:pPr>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851" w:right="567" w:bottom="1134" w:left="1701" w:header="567" w:footer="851" w:gutter="0"/>
              <w:cols w:space="1296"/>
              <w:titlePg/>
            </w:sectPr>
          </w:pPr>
        </w:p>
        <w:p>
          <w:pPr>
            <w:tabs>
              <w:tab w:val="center" w:pos="4153"/>
              <w:tab w:val="right" w:pos="8306"/>
            </w:tabs>
            <w:rPr>
              <w:sz w:val="20"/>
              <w:lang w:eastAsia="lt-LT"/>
            </w:rPr>
          </w:pPr>
        </w:p>
        <w:p>
          <w:pPr>
            <w:rPr>
              <w:szCs w:val="24"/>
              <w:lang w:eastAsia="lt-LT"/>
            </w:rPr>
          </w:pPr>
        </w:p>
      </w:sdtContent>
    </w:sdt>
    <w:sectPr>
      <w:headerReference w:type="even" r:id="rId16"/>
      <w:headerReference w:type="default" r:id="rId17"/>
      <w:footerReference w:type="first" r:id="rId18"/>
      <w:type w:val="continuous"/>
      <w:pgSz w:w="11906" w:h="16838" w:code="9"/>
      <w:pgMar w:top="1134" w:right="567" w:bottom="1134" w:left="1701" w:header="567" w:footer="851" w:gutter="0"/>
      <w:cols w:space="1296"/>
      <w:titlePg/>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BAFF7F8" w15:done="0"/>
  <w15:commentEx w15:paraId="0EF8E725" w15:done="0"/>
  <w15:commentEx w15:paraId="2D2BD243" w15:done="0"/>
  <w15:commentEx w15:paraId="20FE215C" w15:done="0"/>
  <w15:commentEx w15:paraId="56AD940B" w15:done="0"/>
  <w15:commentEx w15:paraId="2309E187" w15:done="0"/>
</w15:commentsEx>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BAFF7F8" w16cid:durableId="1E75E9B7"/>
  <w16cid:commentId w16cid:paraId="0EF8E725" w16cid:durableId="1E75EAE2"/>
  <w16cid:commentId w16cid:paraId="2D2BD243" w16cid:durableId="1E75EC67"/>
  <w16cid:commentId w16cid:paraId="20FE215C" w16cid:durableId="1E75FABB"/>
  <w16cid:commentId w16cid:paraId="56AD940B" w16cid:durableId="1E75FBC9"/>
  <w16cid:commentId w16cid:paraId="2309E187" w16cid:durableId="1E75FCBB"/>
</w16cid:commentsIds>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rPr>
        <w:sz w:val="20"/>
        <w:lang w:eastAsia="lt-LT"/>
      </w:rPr>
    </w:pPr>
    <w:r>
      <w:rPr>
        <w:sz w:val="20"/>
        <w:lang w:eastAsia="lt-LT"/>
      </w:rPr>
      <w:tab/>
    </w: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rPr>
        <w:sz w:val="20"/>
        <w:lang w:eastAsia="lt-LT"/>
      </w:rPr>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right"/>
      <w:rPr>
        <w:sz w:val="20"/>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200" w:line="276" w:lineRule="auto"/>
      <w:rPr>
        <w:sz w:val="22"/>
        <w:szCs w:val="22"/>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spacing w:after="200" w:line="276" w:lineRule="auto"/>
      <w:rPr>
        <w:sz w:val="22"/>
        <w:szCs w:val="22"/>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after="200" w:line="276" w:lineRule="auto"/>
      <w:rPr>
        <w:sz w:val="22"/>
        <w:szCs w:val="22"/>
        <w:lang w:eastAsia="lt-LT"/>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200" w:line="276" w:lineRule="auto"/>
      <w:rPr>
        <w:sz w:val="22"/>
        <w:szCs w:val="22"/>
        <w:lang w:eastAsia="lt-LT"/>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200" w:line="276" w:lineRule="auto"/>
      <w:rPr>
        <w:sz w:val="22"/>
        <w:szCs w:val="22"/>
        <w:lang w:eastAsia="lt-LT"/>
      </w:rPr>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nieguolė Bakaitė">
    <w15:presenceInfo w15:providerId="None" w15:userId="Snieguolė Bakaitė"/>
  </w15:person>
</w15:people>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94"/>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6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2" Type="http://schemas.microsoft.com/office/2011/relationships/people" Target="people.xml"/>
  <Relationship Id="rId23" Type="http://schemas.microsoft.com/office/2011/relationships/commentsExtended" Target="commentsExtended.xml"/>
  <Relationship Id="rId24" Type="http://schemas.microsoft.com/office/2016/09/relationships/commentsIds" Target="commentsIds.xml"/>
  <Relationship Id="rId25"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wmf"/>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lentele" DocPartId="85c1efdf434f4d6496755f534e1ac167" PartId="faedc35d6e6e415dac498d8355337673">
    <Part Type="skirsnis" Title="LIETUVOS RESPUBLIKOS VYRIAUSYBĖ" DocPartId="8a211e9c91444bae86786189b6784993" PartId="fc824dc50c3f42009a4ff1137a2c31ad"/>
    <Part Type="skirsnis" Title="NUTARIMAS DĖL LIETUVOS RESPUBLIKOS METROPOLITENO ĮGYVENDINIMO ĮSTATYMO PROJEKTO NR. XIIP-2375(3)" DocPartId="32e087873d7148f1920f4dd6110d13b3" PartId="87ccf9cb65624a11b2ad071c75a1c76e">
      <Part Type="punktas" Nr="1" Abbr="1 p." DocPartId="50cb59ef63e14ee98ce6169a87b05892" PartId="bf1715609222455d8a9e453bc00f16c7"/>
      <Part Type="punktas" Nr="2" Abbr="2 p." DocPartId="df0ef99765d74e43b0e1e381e778a414" PartId="ac08b06730934c10918d98748e2b1556"/>
      <Part Type="punktas" Nr="3" Abbr="3 p." DocPartId="4d5ee5a401c2463684dabf40511eebbb" PartId="626af63993914e169cb68d3c397849d0"/>
      <Part Type="punktas" Nr="4" Abbr="4 p." DocPartId="94bd9ab3c2314bfeb361ed03a4c90fc6" PartId="a107883e5ae6404799c33980f5fe9c94"/>
      <Part Type="punktas" Nr="5" Abbr="5 p." DocPartId="22eb00f6153c46808a6a2cb314a41583" PartId="6c64e192a958495e86b9e7295292375c"/>
      <Part Type="punktas" Nr="6" Abbr="6 p." DocPartId="31d17422b7e4451f80eaf7499fe5b357" PartId="bde28983096146b0bfefce7c9cb44a48"/>
      <Part Type="punktas" Nr="7" Abbr="7 p." DocPartId="cb52e7fd59c64e80b0a850003b2bb779" PartId="e0bc8d68f1034543b3dc2570b954e8f4"/>
      <Part Type="punktas" Nr="8" Abbr="8 p." DocPartId="15a9f1b8ed3045abac1b40aa96f061d9" PartId="5a81a8cabfff40a0b9f4a14248c311b9"/>
      <Part Type="punktas" Nr="9" Abbr="9 p." DocPartId="2733c077905c44bf93efd53d95713009" PartId="1ef575eebe774351ad6f5cc3498734a7"/>
    </Part>
  </Part>
  <Part Type="lentele" DocPartId="25a594a9ba564525a02410c312b2925d" PartId="22e09fc556064e27b49177a840ae7a0f"/>
</Parts>
</file>

<file path=customXml/itemProps1.xml><?xml version="1.0" encoding="utf-8"?>
<ds:datastoreItem xmlns:ds="http://schemas.openxmlformats.org/officeDocument/2006/customXml" ds:itemID="{F4BF8392-8BB0-4D0B-B6D5-E63825956A22}">
  <ds:schemaRefs>
    <ds:schemaRef ds:uri="http://schemas.openxmlformats.org/officeDocument/2006/bibliography"/>
  </ds:schemaRefs>
</ds:datastoreItem>
</file>

<file path=customXml/itemProps2.xml><?xml version="1.0" encoding="utf-8"?>
<ds:datastoreItem xmlns:ds="http://schemas.openxmlformats.org/officeDocument/2006/customXml" ds:itemID="{AECBCF7A-95B8-419C-9D9B-86DA1788AB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580</Words>
  <Characters>4153</Characters>
  <Application>Microsoft Office Word</Application>
  <DocSecurity>4</DocSecurity>
  <Lines>81</Lines>
  <Paragraphs>22</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4711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2018-04-11T05:18:00Z</dcterms:created>
  <dc:creator>Vidmantas Tamulis</dc:creator>
  <lastModifiedBy>adlibuser</lastModifiedBy>
  <lastPrinted>2014-07-16T14:08:00Z</lastPrinted>
  <dcterms:modified xsi:type="dcterms:W3CDTF">2018-04-11T05:18:00Z</dcterms:modified>
  <revision>2</revision>
</coreProperties>
</file>