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70072b47a24babac7c59dce83a1958"/>
        <w:lock w:val="sdtLocked"/>
        <w:richText/>
      </w:sdtPr>
      <w:sdtContent>
        <w:p>
          <w:pPr>
            <w:ind w:left="6480" w:firstLine="1296"/>
            <w:rPr>
              <w:b/>
              <w:bCs/>
              <w:szCs w:val="24"/>
            </w:rPr>
          </w:pPr>
          <w:r>
            <w:rPr>
              <w:b/>
              <w:bCs/>
              <w:szCs w:val="24"/>
            </w:rPr>
            <w:t>Projektas</w:t>
          </w:r>
        </w:p>
        <w:p>
          <w:pPr>
            <w:ind w:left="6480" w:firstLine="1296"/>
            <w:rPr>
              <w:szCs w:val="24"/>
            </w:rPr>
          </w:pPr>
          <w:r>
            <w:rPr>
              <w:szCs w:val="24"/>
            </w:rPr>
            <w:t>Nr. TSP-</w:t>
          </w:r>
        </w:p>
        <w:p>
          <w:pPr>
            <w:jc w:val="center"/>
            <w:rPr>
              <w:b/>
              <w:bCs/>
              <w:szCs w:val="24"/>
            </w:rPr>
          </w:pPr>
        </w:p>
        <w:p>
          <w:pPr>
            <w:jc w:val="center"/>
            <w:rPr>
              <w:b/>
              <w:bCs/>
              <w:szCs w:val="24"/>
            </w:rPr>
          </w:pPr>
          <w:r>
            <w:rPr>
              <w:b/>
              <w:bCs/>
              <w:szCs w:val="24"/>
            </w:rPr>
            <w:t>RADVILIŠKIO RAJONO SAVIVALDYBĖS TARYBA</w:t>
          </w:r>
        </w:p>
        <w:p>
          <w:pPr>
            <w:tabs>
              <w:tab w:val="left" w:pos="2010"/>
            </w:tabs>
            <w:ind w:firstLine="2010"/>
            <w:rPr>
              <w:b/>
              <w:bCs/>
              <w:sz w:val="16"/>
              <w:szCs w:val="16"/>
            </w:rPr>
          </w:pPr>
        </w:p>
        <w:p>
          <w:pPr>
            <w:jc w:val="center"/>
            <w:rPr>
              <w:b/>
              <w:bCs/>
              <w:szCs w:val="24"/>
            </w:rPr>
          </w:pPr>
          <w:r>
            <w:rPr>
              <w:b/>
              <w:bCs/>
              <w:szCs w:val="24"/>
            </w:rPr>
            <w:t>SPRENDIMAS</w:t>
          </w:r>
        </w:p>
        <w:p>
          <w:pPr>
            <w:jc w:val="center"/>
            <w:rPr>
              <w:b/>
              <w:szCs w:val="24"/>
            </w:rPr>
          </w:pPr>
          <w:r>
            <w:rPr>
              <w:b/>
              <w:szCs w:val="24"/>
            </w:rPr>
            <w:t xml:space="preserve">DĖL RADVILIŠKIO RAJONO SAVIVALDYBĖS APLINKOS APSAUGOS RĖMIMO SPECIALIOSIOS PROGRAMOS 2024 METŲ PRIEMONIŲ VYKDYMO ATASKAITOS PATVIRTINIMO </w:t>
          </w:r>
        </w:p>
        <w:p>
          <w:pPr>
            <w:jc w:val="center"/>
            <w:rPr>
              <w:b/>
              <w:szCs w:val="24"/>
            </w:rPr>
          </w:pPr>
        </w:p>
        <w:p>
          <w:pPr>
            <w:jc w:val="center"/>
            <w:rPr>
              <w:szCs w:val="24"/>
            </w:rPr>
          </w:pPr>
          <w:r>
            <w:rPr>
              <w:szCs w:val="24"/>
            </w:rPr>
            <w:t xml:space="preserve">2025 m.                       Nr. T-</w:t>
          </w:r>
        </w:p>
        <w:p>
          <w:pPr>
            <w:jc w:val="center"/>
            <w:rPr>
              <w:szCs w:val="24"/>
            </w:rPr>
          </w:pPr>
          <w:r>
            <w:rPr>
              <w:szCs w:val="24"/>
            </w:rPr>
            <w:t>Radviliškis</w:t>
          </w:r>
        </w:p>
        <w:p>
          <w:pPr>
            <w:suppressAutoHyphens/>
            <w:ind w:right="530"/>
            <w:rPr>
              <w:szCs w:val="24"/>
              <w:lang w:eastAsia="ar-SA"/>
            </w:rPr>
          </w:pPr>
        </w:p>
        <w:sdt>
          <w:sdtPr>
            <w:alias w:val="preambule"/>
            <w:tag w:val="part_d3f19b5f9ee74899bbc12756cb4b25e8"/>
            <w:lock w:val="sdtLocked"/>
            <w:richText/>
          </w:sdtPr>
          <w:sdtContent>
            <w:p>
              <w:pPr>
                <w:tabs>
                  <w:tab w:val="left" w:pos="969"/>
                  <w:tab w:val="left" w:pos="1482"/>
                </w:tabs>
                <w:ind w:right="5" w:firstLine="709"/>
                <w:jc w:val="both"/>
                <w:rPr>
                  <w:spacing w:val="50"/>
                  <w:szCs w:val="24"/>
                  <w:lang w:eastAsia="lt-LT"/>
                </w:rPr>
              </w:pPr>
              <w:r>
                <w:rPr>
                  <w:szCs w:val="24"/>
                  <w:lang w:eastAsia="lt-LT"/>
                </w:rPr>
                <w:t xml:space="preserve">Vadovaudamasi Lietuvos Respublikos vietos savivaldos įstatymo 15 straipsnio 4 dalimi, Savivaldybių aplinkos apsaugos rėmimo specialiosios programos priemonių vykdymo patikrinimo tvarkos aprašo, patvirtinto Lietuvos Respublikos aplinkos ministro 2011 m. kovo 4 d. įsakymu Nr. D1-201 „Dėl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 4 punktu, Radviliškio rajono savivaldybės taryba </w:t>
              </w:r>
              <w:r>
                <w:rPr>
                  <w:spacing w:val="50"/>
                  <w:szCs w:val="24"/>
                  <w:lang w:eastAsia="lt-LT"/>
                </w:rPr>
                <w:t>nusprendži</w:t>
              </w:r>
              <w:r>
                <w:rPr>
                  <w:szCs w:val="24"/>
                  <w:lang w:eastAsia="lt-LT"/>
                </w:rPr>
                <w:t>a</w:t>
              </w:r>
              <w:r>
                <w:rPr>
                  <w:spacing w:val="50"/>
                  <w:szCs w:val="24"/>
                  <w:lang w:eastAsia="lt-LT"/>
                </w:rPr>
                <w:t>:</w:t>
              </w:r>
            </w:p>
          </w:sdtContent>
        </w:sdt>
        <w:sdt>
          <w:sdtPr>
            <w:alias w:val="pastraipa"/>
            <w:tag w:val="part_1c082777fe534c628e1abbce2f674eae"/>
            <w:lock w:val="sdtLocked"/>
            <w:richText/>
          </w:sdtPr>
          <w:sdtContent>
            <w:p>
              <w:pPr>
                <w:tabs>
                  <w:tab w:val="left" w:pos="969"/>
                  <w:tab w:val="left" w:pos="1482"/>
                </w:tabs>
                <w:ind w:right="5" w:firstLine="709"/>
                <w:jc w:val="both"/>
                <w:rPr>
                  <w:szCs w:val="24"/>
                  <w:lang w:eastAsia="lt-LT"/>
                </w:rPr>
              </w:pPr>
              <w:r>
                <w:rPr>
                  <w:szCs w:val="24"/>
                  <w:lang w:eastAsia="lt-LT"/>
                </w:rPr>
                <w:t>Patvirtinti</w:t>
              </w:r>
              <w:r>
                <w:rPr>
                  <w:spacing w:val="42"/>
                  <w:szCs w:val="24"/>
                  <w:lang w:eastAsia="lt-LT"/>
                </w:rPr>
                <w:t xml:space="preserve"> </w:t>
              </w:r>
              <w:r>
                <w:rPr>
                  <w:szCs w:val="24"/>
                  <w:lang w:eastAsia="lt-LT"/>
                </w:rPr>
                <w:t>Radviliškio rajono savivaldybės aplinkos apsaugos rėmimo specialiosios programos 2024 metų priemonių vykdymo ataskaitą (pridedama).</w:t>
              </w:r>
            </w:p>
            <w:p>
              <w:pPr>
                <w:tabs>
                  <w:tab w:val="left" w:pos="969"/>
                  <w:tab w:val="left" w:pos="1482"/>
                </w:tabs>
                <w:ind w:right="5" w:firstLine="709"/>
                <w:jc w:val="both"/>
                <w:rPr>
                  <w:szCs w:val="24"/>
                  <w:lang w:eastAsia="lt-LT"/>
                </w:rPr>
              </w:pPr>
            </w:p>
            <w:p>
              <w:pPr>
                <w:tabs>
                  <w:tab w:val="left" w:pos="969"/>
                  <w:tab w:val="left" w:pos="1482"/>
                </w:tabs>
                <w:ind w:right="5" w:firstLine="709"/>
                <w:jc w:val="both"/>
                <w:rPr>
                  <w:szCs w:val="24"/>
                  <w:lang w:eastAsia="lt-LT"/>
                </w:rPr>
              </w:pPr>
            </w:p>
            <w:p>
              <w:pPr>
                <w:tabs>
                  <w:tab w:val="left" w:pos="969"/>
                  <w:tab w:val="left" w:pos="1482"/>
                </w:tabs>
                <w:ind w:right="5" w:firstLine="709"/>
                <w:jc w:val="both"/>
                <w:rPr>
                  <w:szCs w:val="24"/>
                  <w:lang w:eastAsia="lt-LT"/>
                </w:rPr>
              </w:pPr>
            </w:p>
          </w:sdtContent>
        </w:sdt>
        <w:sdt>
          <w:sdtPr>
            <w:alias w:val="signatura"/>
            <w:tag w:val="part_e8b825e6f7b945948c4eb94c8483eb8e"/>
            <w:lock w:val="sdtLocked"/>
            <w:richText/>
          </w:sdtPr>
          <w:sdtContent>
            <w:p>
              <w:pPr>
                <w:rPr>
                  <w:szCs w:val="24"/>
                </w:rPr>
              </w:pPr>
              <w:r>
                <w:rPr>
                  <w:szCs w:val="24"/>
                </w:rPr>
                <w:t xml:space="preserve">Savivaldybės meras                                                                                 </w:t>
              </w:r>
            </w:p>
            <w:p>
              <w:pPr>
                <w:rPr>
                  <w:szCs w:val="24"/>
                </w:rPr>
              </w:pPr>
            </w:p>
            <w:p>
              <w:pPr>
                <w:rPr>
                  <w:szCs w:val="24"/>
                </w:rPr>
              </w:pPr>
            </w:p>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p>
              <w:pPr>
                <w:widowControl w:val="0"/>
                <w:suppressAutoHyphens/>
                <w:rPr>
                  <w:rFonts w:ascii="Thorndale" w:hAnsi="Thorndale" w:cs="Tahoma"/>
                  <w:szCs w:val="24"/>
                </w:rPr>
              </w:pPr>
            </w:p>
          </w:sdtContent>
        </w:sdt>
      </w:sdtContent>
    </w:sdt>
    <w:sdt>
      <w:sdtPr>
        <w:alias w:val="patvirtinta"/>
        <w:tag w:val="part_d40bd7c889284f3a91cb10bc754238b5"/>
        <w:lock w:val="sdtLocked"/>
        <w:richText/>
      </w:sdtPr>
      <w:sdtContent>
        <w:p>
          <w:pPr>
            <w:widowControl w:val="0"/>
            <w:suppressAutoHyphens/>
            <w:ind w:firstLine="5270"/>
            <w:rPr>
              <w:szCs w:val="24"/>
            </w:rPr>
          </w:pPr>
          <w:r>
            <w:rPr>
              <w:szCs w:val="24"/>
            </w:rPr>
            <w:t>PATVIRTINTA</w:t>
          </w:r>
        </w:p>
        <w:p>
          <w:pPr>
            <w:ind w:firstLine="5270"/>
            <w:rPr>
              <w:szCs w:val="24"/>
            </w:rPr>
          </w:pPr>
          <w:r>
            <w:rPr>
              <w:szCs w:val="24"/>
            </w:rPr>
            <w:t>Radviliškio rajono savivaldybės tarybos</w:t>
          </w:r>
        </w:p>
        <w:p>
          <w:pPr>
            <w:ind w:firstLine="5270"/>
            <w:rPr>
              <w:szCs w:val="24"/>
            </w:rPr>
          </w:pPr>
          <w:r>
            <w:rPr>
              <w:szCs w:val="24"/>
            </w:rPr>
            <w:t xml:space="preserve">2025 m.                   d. sprendimu Nr. T-</w:t>
          </w:r>
        </w:p>
        <w:p>
          <w:pPr>
            <w:tabs>
              <w:tab w:val="left" w:pos="1304"/>
              <w:tab w:val="left" w:pos="1457"/>
              <w:tab w:val="left" w:pos="1604"/>
              <w:tab w:val="left" w:pos="1757"/>
            </w:tabs>
            <w:ind w:firstLine="2170"/>
            <w:rPr>
              <w:szCs w:val="24"/>
            </w:rPr>
          </w:pPr>
        </w:p>
        <w:p>
          <w:pPr>
            <w:widowControl w:val="0"/>
            <w:suppressAutoHyphens/>
            <w:jc w:val="center"/>
            <w:rPr>
              <w:b/>
              <w:szCs w:val="24"/>
            </w:rPr>
          </w:pPr>
          <w:sdt>
            <w:sdtPr>
              <w:alias w:val="Pavadinimas"/>
              <w:tag w:val="title_d40bd7c889284f3a91cb10bc754238b5"/>
              <w:lock w:val="sdtLocked"/>
              <w:richText/>
            </w:sdtPr>
            <w:sdtContent>
              <w:r>
                <w:rPr>
                  <w:b/>
                  <w:szCs w:val="24"/>
                </w:rPr>
                <w:t>RADVILIŠKIO RAJONO SAVIVALDYBĖS ADMINISTRACIJA</w:t>
              </w:r>
            </w:sdtContent>
          </w:sdt>
        </w:p>
        <w:p>
          <w:pPr>
            <w:widowControl w:val="0"/>
            <w:suppressAutoHyphens/>
            <w:ind w:firstLine="2976"/>
            <w:jc w:val="center"/>
            <w:rPr>
              <w:szCs w:val="24"/>
            </w:rPr>
          </w:pPr>
        </w:p>
        <w:sdt>
          <w:sdtPr>
            <w:alias w:val="skirsnis"/>
            <w:tag w:val="part_523c4912aa7948ec86325fd42c7c319a"/>
            <w:lock w:val="sdtLocked"/>
            <w:richText/>
          </w:sdtPr>
          <w:sdtContent>
            <w:p>
              <w:pPr>
                <w:widowControl w:val="0"/>
                <w:suppressAutoHyphens/>
                <w:jc w:val="center"/>
                <w:rPr>
                  <w:b/>
                  <w:szCs w:val="24"/>
                </w:rPr>
              </w:pPr>
              <w:sdt>
                <w:sdtPr>
                  <w:alias w:val="Pavadinimas"/>
                  <w:tag w:val="title_523c4912aa7948ec86325fd42c7c319a"/>
                  <w:lock w:val="sdtLocked"/>
                  <w:richText/>
                </w:sdtPr>
                <w:sdtContent>
                  <w:r>
                    <w:rPr>
                      <w:b/>
                      <w:szCs w:val="24"/>
                    </w:rPr>
                    <w:t>RADVILIŠKIO RAJONO SAVIVALDYBĖS APLINKOS APSAUGOS RĖMIMO SPECIALIOSIOS PROGRAMOS 2024 METŲ ATASKAITA</w:t>
                  </w:r>
                </w:sdtContent>
              </w:sdt>
            </w:p>
            <w:p>
              <w:pPr>
                <w:jc w:val="both"/>
                <w:rPr>
                  <w:b/>
                  <w:szCs w:val="24"/>
                </w:rPr>
              </w:pPr>
            </w:p>
            <w:sdt>
              <w:sdtPr>
                <w:alias w:val="1 p."/>
                <w:tag w:val="part_ade4f1e1abf64b39bd569908206a0636"/>
                <w:lock w:val="sdtLocked"/>
                <w:richText/>
              </w:sdtPr>
              <w:sdtContent>
                <w:p>
                  <w:pPr>
                    <w:ind w:firstLine="312"/>
                    <w:jc w:val="both"/>
                    <w:rPr>
                      <w:b/>
                      <w:szCs w:val="24"/>
                    </w:rPr>
                  </w:pPr>
                  <w:sdt>
                    <w:sdtPr>
                      <w:alias w:val="Numeris"/>
                      <w:tag w:val="nr_ade4f1e1abf64b39bd569908206a0636"/>
                      <w:lock w:val="sdtLocked"/>
                      <w:richText/>
                    </w:sdtPr>
                    <w:sdtContent>
                      <w:r>
                        <w:rPr>
                          <w:b/>
                          <w:szCs w:val="24"/>
                        </w:rPr>
                        <w:t>1</w:t>
                      </w:r>
                    </w:sdtContent>
                  </w:sdt>
                  <w:r>
                    <w:rPr>
                      <w:b/>
                      <w:szCs w:val="24"/>
                    </w:rPr>
                    <w:t>. Informacija apie Savivaldybių aplinkos apsaugos rėmimo specialiosios programos (toliau – Programa) lėšas</w:t>
                  </w:r>
                </w:p>
                <w:p>
                  <w:pPr>
                    <w:ind w:firstLine="312"/>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9"/>
                    <w:gridCol w:w="6961"/>
                    <w:gridCol w:w="1311"/>
                  </w:tblGrid>
                  <w:tr>
                    <w:tc>
                      <w:tcPr>
                        <w:tcW w:w="789" w:type="dxa"/>
                      </w:tcPr>
                      <w:p>
                        <w:pPr>
                          <w:jc w:val="center"/>
                          <w:rPr>
                            <w:b/>
                            <w:szCs w:val="24"/>
                          </w:rPr>
                        </w:pPr>
                        <w:r>
                          <w:rPr>
                            <w:b/>
                            <w:szCs w:val="24"/>
                          </w:rPr>
                          <w:t>Eil. Nr.</w:t>
                        </w:r>
                      </w:p>
                    </w:tc>
                    <w:tc>
                      <w:tcPr>
                        <w:tcW w:w="6961" w:type="dxa"/>
                      </w:tcPr>
                      <w:p>
                        <w:pPr>
                          <w:ind w:firstLine="312"/>
                          <w:jc w:val="center"/>
                          <w:rPr>
                            <w:b/>
                            <w:szCs w:val="24"/>
                          </w:rPr>
                        </w:pPr>
                        <w:r>
                          <w:rPr>
                            <w:b/>
                            <w:szCs w:val="24"/>
                          </w:rPr>
                          <w:t>(1) Programos finansavimo šaltiniai</w:t>
                        </w:r>
                      </w:p>
                    </w:tc>
                    <w:tc>
                      <w:tcPr>
                        <w:tcW w:w="1311" w:type="dxa"/>
                      </w:tcPr>
                      <w:p>
                        <w:pPr>
                          <w:jc w:val="center"/>
                          <w:rPr>
                            <w:b/>
                            <w:szCs w:val="24"/>
                          </w:rPr>
                        </w:pPr>
                        <w:r>
                          <w:rPr>
                            <w:b/>
                            <w:szCs w:val="24"/>
                          </w:rPr>
                          <w:t>Lėšos Eur</w:t>
                        </w:r>
                      </w:p>
                    </w:tc>
                  </w:tr>
                  <w:tr>
                    <w:tc>
                      <w:tcPr>
                        <w:tcW w:w="789" w:type="dxa"/>
                      </w:tcPr>
                      <w:p>
                        <w:pPr>
                          <w:widowControl w:val="0"/>
                          <w:suppressAutoHyphens/>
                          <w:jc w:val="both"/>
                          <w:rPr>
                            <w:szCs w:val="24"/>
                          </w:rPr>
                        </w:pPr>
                        <w:r>
                          <w:rPr>
                            <w:szCs w:val="24"/>
                          </w:rPr>
                          <w:t>1.1.</w:t>
                        </w:r>
                      </w:p>
                    </w:tc>
                    <w:tc>
                      <w:tcPr>
                        <w:tcW w:w="6961" w:type="dxa"/>
                      </w:tcPr>
                      <w:p>
                        <w:pPr>
                          <w:widowControl w:val="0"/>
                          <w:suppressAutoHyphens/>
                          <w:jc w:val="both"/>
                          <w:rPr>
                            <w:szCs w:val="24"/>
                          </w:rPr>
                        </w:pPr>
                        <w:r>
                          <w:rPr>
                            <w:szCs w:val="24"/>
                          </w:rPr>
                          <w:t>Mokesčiai už teršalų išmetimą į aplinką</w:t>
                        </w:r>
                      </w:p>
                    </w:tc>
                    <w:tc>
                      <w:tcPr>
                        <w:tcW w:w="1311" w:type="dxa"/>
                      </w:tcPr>
                      <w:p>
                        <w:pPr>
                          <w:widowControl w:val="0"/>
                          <w:suppressAutoHyphens/>
                          <w:jc w:val="center"/>
                          <w:rPr>
                            <w:szCs w:val="24"/>
                            <w:highlight w:val="yellow"/>
                          </w:rPr>
                        </w:pPr>
                        <w:r>
                          <w:rPr>
                            <w:szCs w:val="24"/>
                          </w:rPr>
                          <w:t>116 658</w:t>
                        </w:r>
                      </w:p>
                    </w:tc>
                  </w:tr>
                  <w:tr>
                    <w:tc>
                      <w:tcPr>
                        <w:tcW w:w="789" w:type="dxa"/>
                      </w:tcPr>
                      <w:p>
                        <w:pPr>
                          <w:widowControl w:val="0"/>
                          <w:suppressAutoHyphens/>
                          <w:jc w:val="both"/>
                          <w:rPr>
                            <w:szCs w:val="24"/>
                          </w:rPr>
                        </w:pPr>
                        <w:r>
                          <w:rPr>
                            <w:szCs w:val="24"/>
                          </w:rPr>
                          <w:t>1.2.</w:t>
                        </w:r>
                      </w:p>
                    </w:tc>
                    <w:tc>
                      <w:tcPr>
                        <w:tcW w:w="6961" w:type="dxa"/>
                      </w:tcPr>
                      <w:p>
                        <w:pPr>
                          <w:widowControl w:val="0"/>
                          <w:suppressAutoHyphens/>
                          <w:jc w:val="both"/>
                          <w:rPr>
                            <w:szCs w:val="24"/>
                          </w:rPr>
                        </w:pPr>
                        <w:r>
                          <w:rPr>
                            <w:szCs w:val="24"/>
                          </w:rPr>
                          <w:t>Mokesčiai už valstybinius gamtos išteklius</w:t>
                        </w:r>
                      </w:p>
                    </w:tc>
                    <w:tc>
                      <w:tcPr>
                        <w:tcW w:w="1311" w:type="dxa"/>
                      </w:tcPr>
                      <w:p>
                        <w:pPr>
                          <w:widowControl w:val="0"/>
                          <w:suppressAutoHyphens/>
                          <w:jc w:val="center"/>
                          <w:rPr>
                            <w:szCs w:val="24"/>
                            <w:highlight w:val="yellow"/>
                          </w:rPr>
                        </w:pPr>
                        <w:r>
                          <w:rPr>
                            <w:szCs w:val="24"/>
                          </w:rPr>
                          <w:t>64 377</w:t>
                        </w:r>
                      </w:p>
                    </w:tc>
                  </w:tr>
                  <w:tr>
                    <w:tc>
                      <w:tcPr>
                        <w:tcW w:w="789" w:type="dxa"/>
                      </w:tcPr>
                      <w:p>
                        <w:pPr>
                          <w:widowControl w:val="0"/>
                          <w:suppressAutoHyphens/>
                          <w:jc w:val="both"/>
                          <w:rPr>
                            <w:szCs w:val="24"/>
                          </w:rPr>
                        </w:pPr>
                        <w:r>
                          <w:rPr>
                            <w:szCs w:val="24"/>
                          </w:rPr>
                          <w:t>1.3.</w:t>
                        </w:r>
                      </w:p>
                    </w:tc>
                    <w:tc>
                      <w:tcPr>
                        <w:tcW w:w="6961" w:type="dxa"/>
                      </w:tcPr>
                      <w:p>
                        <w:pPr>
                          <w:widowControl w:val="0"/>
                          <w:suppressAutoHyphens/>
                          <w:jc w:val="both"/>
                          <w:rPr>
                            <w:szCs w:val="24"/>
                          </w:rPr>
                        </w:pPr>
                        <w:r>
                          <w:rPr>
                            <w:szCs w:val="24"/>
                          </w:rPr>
                          <w:t>Lėšos, gautos kaip želdinių atkuriamosios vertės kompensacija</w:t>
                        </w:r>
                      </w:p>
                    </w:tc>
                    <w:tc>
                      <w:tcPr>
                        <w:tcW w:w="1311" w:type="dxa"/>
                      </w:tcPr>
                      <w:p>
                        <w:pPr>
                          <w:widowControl w:val="0"/>
                          <w:suppressAutoHyphens/>
                          <w:jc w:val="center"/>
                          <w:rPr>
                            <w:szCs w:val="24"/>
                            <w:highlight w:val="yellow"/>
                          </w:rPr>
                        </w:pPr>
                        <w:r>
                          <w:rPr>
                            <w:szCs w:val="24"/>
                          </w:rPr>
                          <w:t>2 225</w:t>
                        </w:r>
                      </w:p>
                    </w:tc>
                  </w:tr>
                  <w:tr>
                    <w:tc>
                      <w:tcPr>
                        <w:tcW w:w="789" w:type="dxa"/>
                      </w:tcPr>
                      <w:p>
                        <w:pPr>
                          <w:widowControl w:val="0"/>
                          <w:suppressAutoHyphens/>
                          <w:jc w:val="both"/>
                          <w:rPr>
                            <w:szCs w:val="24"/>
                          </w:rPr>
                        </w:pPr>
                        <w:r>
                          <w:rPr>
                            <w:szCs w:val="24"/>
                          </w:rPr>
                          <w:t>1.4.</w:t>
                        </w:r>
                      </w:p>
                    </w:tc>
                    <w:tc>
                      <w:tcPr>
                        <w:tcW w:w="6961" w:type="dxa"/>
                      </w:tcPr>
                      <w:p>
                        <w:pPr>
                          <w:widowControl w:val="0"/>
                          <w:suppressAutoHyphens/>
                          <w:jc w:val="both"/>
                          <w:rPr>
                            <w:szCs w:val="24"/>
                          </w:rPr>
                        </w:pPr>
                        <w:r>
                          <w:rPr>
                            <w:szCs w:val="24"/>
                          </w:rPr>
                          <w:t>Savanoriškos juridinių ir fizinių asmenų įmokos ir kitos teisėtai gautos lėšos</w:t>
                        </w:r>
                      </w:p>
                    </w:tc>
                    <w:tc>
                      <w:tcPr>
                        <w:tcW w:w="1311" w:type="dxa"/>
                      </w:tcPr>
                      <w:p>
                        <w:pPr>
                          <w:widowControl w:val="0"/>
                          <w:suppressAutoHyphens/>
                          <w:jc w:val="center"/>
                          <w:rPr>
                            <w:szCs w:val="24"/>
                            <w:highlight w:val="yellow"/>
                          </w:rPr>
                        </w:pPr>
                        <w:r>
                          <w:rPr>
                            <w:szCs w:val="24"/>
                          </w:rPr>
                          <w:t>8 304</w:t>
                        </w:r>
                      </w:p>
                    </w:tc>
                  </w:tr>
                  <w:tr>
                    <w:tc>
                      <w:tcPr>
                        <w:tcW w:w="789" w:type="dxa"/>
                      </w:tcPr>
                      <w:p>
                        <w:pPr>
                          <w:widowControl w:val="0"/>
                          <w:suppressAutoHyphens/>
                          <w:jc w:val="both"/>
                          <w:rPr>
                            <w:szCs w:val="24"/>
                          </w:rPr>
                        </w:pPr>
                        <w:r>
                          <w:rPr>
                            <w:szCs w:val="24"/>
                          </w:rPr>
                          <w:t>1.5.</w:t>
                        </w:r>
                      </w:p>
                    </w:tc>
                    <w:tc>
                      <w:tcPr>
                        <w:tcW w:w="6961" w:type="dxa"/>
                      </w:tcPr>
                      <w:p>
                        <w:pPr>
                          <w:widowControl w:val="0"/>
                          <w:suppressAutoHyphens/>
                          <w:jc w:val="both"/>
                          <w:rPr>
                            <w:szCs w:val="24"/>
                          </w:rPr>
                        </w:pPr>
                        <w:r>
                          <w:rPr>
                            <w:szCs w:val="24"/>
                          </w:rPr>
                          <w:t>Iš viso (1.1 + 1.2 + 1.3 + 1.4):</w:t>
                        </w:r>
                      </w:p>
                    </w:tc>
                    <w:tc>
                      <w:tcPr>
                        <w:tcW w:w="1311" w:type="dxa"/>
                      </w:tcPr>
                      <w:p>
                        <w:pPr>
                          <w:widowControl w:val="0"/>
                          <w:suppressAutoHyphens/>
                          <w:jc w:val="center"/>
                          <w:rPr>
                            <w:szCs w:val="24"/>
                            <w:highlight w:val="yellow"/>
                          </w:rPr>
                        </w:pPr>
                        <w:r>
                          <w:rPr>
                            <w:szCs w:val="24"/>
                          </w:rPr>
                          <w:t>191 564</w:t>
                        </w:r>
                      </w:p>
                    </w:tc>
                  </w:tr>
                  <w:tr>
                    <w:tc>
                      <w:tcPr>
                        <w:tcW w:w="789" w:type="dxa"/>
                      </w:tcPr>
                      <w:p>
                        <w:pPr>
                          <w:widowControl w:val="0"/>
                          <w:suppressAutoHyphens/>
                          <w:jc w:val="both"/>
                          <w:rPr>
                            <w:szCs w:val="24"/>
                          </w:rPr>
                        </w:pPr>
                        <w:r>
                          <w:rPr>
                            <w:szCs w:val="24"/>
                          </w:rPr>
                          <w:t>1.6.</w:t>
                        </w:r>
                      </w:p>
                    </w:tc>
                    <w:tc>
                      <w:tcPr>
                        <w:tcW w:w="6961" w:type="dxa"/>
                      </w:tcPr>
                      <w:p>
                        <w:pPr>
                          <w:widowControl w:val="0"/>
                          <w:suppressAutoHyphens/>
                          <w:jc w:val="both"/>
                          <w:rPr>
                            <w:szCs w:val="24"/>
                          </w:rPr>
                        </w:pPr>
                        <w:r>
                          <w:rPr>
                            <w:szCs w:val="24"/>
                          </w:rPr>
                          <w:t>Mokesčiai, sumokėti už medžiojamųjų gyvūnų išteklių naudojimą</w:t>
                        </w:r>
                      </w:p>
                    </w:tc>
                    <w:tc>
                      <w:tcPr>
                        <w:tcW w:w="1311" w:type="dxa"/>
                      </w:tcPr>
                      <w:p>
                        <w:pPr>
                          <w:widowControl w:val="0"/>
                          <w:suppressAutoHyphens/>
                          <w:jc w:val="center"/>
                          <w:rPr>
                            <w:szCs w:val="24"/>
                            <w:highlight w:val="yellow"/>
                          </w:rPr>
                        </w:pPr>
                        <w:r>
                          <w:rPr>
                            <w:szCs w:val="24"/>
                          </w:rPr>
                          <w:t>46 069</w:t>
                        </w:r>
                      </w:p>
                    </w:tc>
                  </w:tr>
                  <w:tr>
                    <w:tc>
                      <w:tcPr>
                        <w:tcW w:w="789" w:type="dxa"/>
                      </w:tcPr>
                      <w:p>
                        <w:pPr>
                          <w:widowControl w:val="0"/>
                          <w:suppressAutoHyphens/>
                          <w:jc w:val="both"/>
                          <w:rPr>
                            <w:szCs w:val="24"/>
                          </w:rPr>
                        </w:pPr>
                        <w:r>
                          <w:rPr>
                            <w:szCs w:val="24"/>
                          </w:rPr>
                          <w:t>1.7.</w:t>
                        </w:r>
                      </w:p>
                    </w:tc>
                    <w:tc>
                      <w:tcPr>
                        <w:tcW w:w="6961" w:type="dxa"/>
                      </w:tcPr>
                      <w:p>
                        <w:pPr>
                          <w:widowControl w:val="0"/>
                          <w:suppressAutoHyphens/>
                          <w:jc w:val="both"/>
                          <w:rPr>
                            <w:szCs w:val="24"/>
                          </w:rPr>
                        </w:pPr>
                        <w:r>
                          <w:rPr>
                            <w:szCs w:val="24"/>
                          </w:rPr>
                          <w:t xml:space="preserve">Ankstesnio ataskaitinio laikotarpio ataskaitos atitinkamų lėšų likutis </w:t>
                        </w:r>
                      </w:p>
                    </w:tc>
                    <w:tc>
                      <w:tcPr>
                        <w:tcW w:w="1311" w:type="dxa"/>
                      </w:tcPr>
                      <w:p>
                        <w:pPr>
                          <w:widowControl w:val="0"/>
                          <w:suppressAutoHyphens/>
                          <w:jc w:val="center"/>
                          <w:rPr>
                            <w:b/>
                            <w:bCs/>
                            <w:szCs w:val="24"/>
                            <w:highlight w:val="yellow"/>
                          </w:rPr>
                        </w:pPr>
                        <w:r>
                          <w:rPr>
                            <w:szCs w:val="24"/>
                          </w:rPr>
                          <w:t>51 026</w:t>
                        </w:r>
                      </w:p>
                    </w:tc>
                  </w:tr>
                  <w:tr>
                    <w:tc>
                      <w:tcPr>
                        <w:tcW w:w="789" w:type="dxa"/>
                      </w:tcPr>
                      <w:p>
                        <w:pPr>
                          <w:widowControl w:val="0"/>
                          <w:suppressAutoHyphens/>
                          <w:jc w:val="both"/>
                          <w:rPr>
                            <w:szCs w:val="24"/>
                          </w:rPr>
                        </w:pPr>
                        <w:r>
                          <w:rPr>
                            <w:szCs w:val="24"/>
                          </w:rPr>
                          <w:t>1.8.</w:t>
                        </w:r>
                      </w:p>
                    </w:tc>
                    <w:tc>
                      <w:tcPr>
                        <w:tcW w:w="6961" w:type="dxa"/>
                      </w:tcPr>
                      <w:p>
                        <w:pPr>
                          <w:widowControl w:val="0"/>
                          <w:suppressAutoHyphens/>
                          <w:jc w:val="both"/>
                          <w:rPr>
                            <w:szCs w:val="24"/>
                          </w:rPr>
                        </w:pPr>
                        <w:r>
                          <w:rPr>
                            <w:szCs w:val="24"/>
                          </w:rPr>
                          <w:t>Iš viso (1.6 + 1.7):</w:t>
                        </w:r>
                      </w:p>
                    </w:tc>
                    <w:tc>
                      <w:tcPr>
                        <w:tcW w:w="1311" w:type="dxa"/>
                      </w:tcPr>
                      <w:p>
                        <w:pPr>
                          <w:widowControl w:val="0"/>
                          <w:suppressAutoHyphens/>
                          <w:jc w:val="center"/>
                          <w:rPr>
                            <w:szCs w:val="24"/>
                            <w:highlight w:val="yellow"/>
                          </w:rPr>
                        </w:pPr>
                        <w:r>
                          <w:rPr>
                            <w:szCs w:val="24"/>
                          </w:rPr>
                          <w:t>97 095</w:t>
                        </w:r>
                      </w:p>
                    </w:tc>
                  </w:tr>
                  <w:tr>
                    <w:tc>
                      <w:tcPr>
                        <w:tcW w:w="789" w:type="dxa"/>
                      </w:tcPr>
                      <w:p>
                        <w:pPr>
                          <w:widowControl w:val="0"/>
                          <w:suppressAutoHyphens/>
                          <w:jc w:val="both"/>
                          <w:rPr>
                            <w:szCs w:val="24"/>
                          </w:rPr>
                        </w:pPr>
                        <w:r>
                          <w:rPr>
                            <w:szCs w:val="24"/>
                          </w:rPr>
                          <w:t>1.9.</w:t>
                        </w:r>
                      </w:p>
                    </w:tc>
                    <w:tc>
                      <w:tcPr>
                        <w:tcW w:w="6961" w:type="dxa"/>
                      </w:tcPr>
                      <w:p>
                        <w:pPr>
                          <w:widowControl w:val="0"/>
                          <w:suppressAutoHyphens/>
                          <w:jc w:val="both"/>
                          <w:rPr>
                            <w:szCs w:val="24"/>
                          </w:rPr>
                        </w:pPr>
                        <w:r>
                          <w:rPr>
                            <w:szCs w:val="24"/>
                          </w:rPr>
                          <w:t>Faktinės ataskaitinio laikotarpio Programos lėšos (1.5 + 1.8)</w:t>
                        </w:r>
                      </w:p>
                    </w:tc>
                    <w:tc>
                      <w:tcPr>
                        <w:tcW w:w="1311" w:type="dxa"/>
                      </w:tcPr>
                      <w:p>
                        <w:pPr>
                          <w:widowControl w:val="0"/>
                          <w:suppressAutoHyphens/>
                          <w:jc w:val="center"/>
                          <w:rPr>
                            <w:szCs w:val="24"/>
                            <w:highlight w:val="yellow"/>
                          </w:rPr>
                        </w:pPr>
                        <w:r>
                          <w:rPr>
                            <w:szCs w:val="24"/>
                          </w:rPr>
                          <w:t>288 659</w:t>
                        </w:r>
                      </w:p>
                    </w:tc>
                  </w:tr>
                </w:tbl>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7052"/>
                    <w:gridCol w:w="1313"/>
                  </w:tblGrid>
                  <w:tr>
                    <w:tc>
                      <w:tcPr>
                        <w:tcW w:w="696" w:type="dxa"/>
                      </w:tcPr>
                      <w:p>
                        <w:pPr>
                          <w:jc w:val="center"/>
                          <w:rPr>
                            <w:b/>
                            <w:szCs w:val="24"/>
                          </w:rPr>
                        </w:pPr>
                        <w:r>
                          <w:rPr>
                            <w:b/>
                            <w:szCs w:val="24"/>
                          </w:rPr>
                          <w:t>Eil. Nr.</w:t>
                        </w:r>
                      </w:p>
                    </w:tc>
                    <w:tc>
                      <w:tcPr>
                        <w:tcW w:w="7052" w:type="dxa"/>
                      </w:tcPr>
                      <w:p>
                        <w:pPr>
                          <w:ind w:firstLine="312"/>
                          <w:jc w:val="center"/>
                          <w:rPr>
                            <w:b/>
                            <w:szCs w:val="24"/>
                          </w:rPr>
                        </w:pPr>
                        <w:r>
                          <w:rPr>
                            <w:b/>
                            <w:szCs w:val="24"/>
                          </w:rPr>
                          <w:t>(2) Savivaldybės visuomenės sveikatos rėmimo specialiajai programai skirtinos lėšos</w:t>
                        </w:r>
                      </w:p>
                    </w:tc>
                    <w:tc>
                      <w:tcPr>
                        <w:tcW w:w="1313" w:type="dxa"/>
                      </w:tcPr>
                      <w:p>
                        <w:pPr>
                          <w:jc w:val="center"/>
                          <w:rPr>
                            <w:b/>
                            <w:szCs w:val="24"/>
                          </w:rPr>
                        </w:pPr>
                        <w:r>
                          <w:rPr>
                            <w:b/>
                            <w:szCs w:val="24"/>
                          </w:rPr>
                          <w:t>Lėšos Eur</w:t>
                        </w:r>
                      </w:p>
                    </w:tc>
                  </w:tr>
                  <w:tr>
                    <w:tc>
                      <w:tcPr>
                        <w:tcW w:w="696" w:type="dxa"/>
                      </w:tcPr>
                      <w:p>
                        <w:pPr>
                          <w:widowControl w:val="0"/>
                          <w:suppressAutoHyphens/>
                          <w:jc w:val="both"/>
                          <w:rPr>
                            <w:szCs w:val="24"/>
                          </w:rPr>
                        </w:pPr>
                        <w:r>
                          <w:rPr>
                            <w:szCs w:val="24"/>
                          </w:rPr>
                          <w:t>1.10.</w:t>
                        </w:r>
                      </w:p>
                    </w:tc>
                    <w:tc>
                      <w:tcPr>
                        <w:tcW w:w="7052" w:type="dxa"/>
                      </w:tcPr>
                      <w:p>
                        <w:pPr>
                          <w:widowControl w:val="0"/>
                          <w:suppressAutoHyphens/>
                          <w:jc w:val="both"/>
                          <w:rPr>
                            <w:szCs w:val="24"/>
                          </w:rPr>
                        </w:pPr>
                        <w:r>
                          <w:rPr>
                            <w:szCs w:val="24"/>
                          </w:rPr>
                          <w:t>20 procentų Savivaldybių aplinkos apsaugos rėmimo specialiosios programos lėšų, neįskaitant įplaukų už medžioklės plotų naudotojų mokesčius, mokamus įstatymų nustatytomis proporcijomis ir tvarka už medžiojamųjų gyvūnų išteklių naudojimą</w:t>
                        </w:r>
                      </w:p>
                    </w:tc>
                    <w:tc>
                      <w:tcPr>
                        <w:tcW w:w="1313" w:type="dxa"/>
                      </w:tcPr>
                      <w:p>
                        <w:pPr>
                          <w:widowControl w:val="0"/>
                          <w:suppressAutoHyphens/>
                          <w:jc w:val="center"/>
                          <w:rPr>
                            <w:szCs w:val="24"/>
                            <w:highlight w:val="yellow"/>
                          </w:rPr>
                        </w:pPr>
                        <w:r>
                          <w:rPr>
                            <w:szCs w:val="24"/>
                          </w:rPr>
                          <w:t>38 313</w:t>
                        </w:r>
                      </w:p>
                    </w:tc>
                  </w:tr>
                  <w:tr>
                    <w:tc>
                      <w:tcPr>
                        <w:tcW w:w="696" w:type="dxa"/>
                      </w:tcPr>
                      <w:p>
                        <w:pPr>
                          <w:widowControl w:val="0"/>
                          <w:suppressAutoHyphens/>
                          <w:jc w:val="both"/>
                          <w:rPr>
                            <w:szCs w:val="24"/>
                          </w:rPr>
                        </w:pPr>
                        <w:r>
                          <w:rPr>
                            <w:szCs w:val="24"/>
                          </w:rPr>
                          <w:t>1.11.</w:t>
                        </w:r>
                      </w:p>
                    </w:tc>
                    <w:tc>
                      <w:tcPr>
                        <w:tcW w:w="7052" w:type="dxa"/>
                      </w:tcPr>
                      <w:p>
                        <w:pPr>
                          <w:widowControl w:val="0"/>
                          <w:suppressAutoHyphens/>
                          <w:jc w:val="both"/>
                          <w:rPr>
                            <w:szCs w:val="24"/>
                          </w:rPr>
                        </w:pPr>
                        <w:r>
                          <w:rPr>
                            <w:szCs w:val="24"/>
                          </w:rPr>
                          <w:t xml:space="preserve">Ankstesnio ataskaitinio laikotarpio ataskaitos atitinkamų lėšų likutis </w:t>
                        </w:r>
                      </w:p>
                    </w:tc>
                    <w:tc>
                      <w:tcPr>
                        <w:tcW w:w="1313" w:type="dxa"/>
                      </w:tcPr>
                      <w:p>
                        <w:pPr>
                          <w:widowControl w:val="0"/>
                          <w:suppressAutoHyphens/>
                          <w:jc w:val="center"/>
                          <w:rPr>
                            <w:szCs w:val="24"/>
                            <w:highlight w:val="yellow"/>
                          </w:rPr>
                        </w:pPr>
                        <w:r>
                          <w:rPr>
                            <w:szCs w:val="24"/>
                          </w:rPr>
                          <w:t>16 156</w:t>
                        </w:r>
                      </w:p>
                    </w:tc>
                  </w:tr>
                  <w:tr>
                    <w:tc>
                      <w:tcPr>
                        <w:tcW w:w="696" w:type="dxa"/>
                      </w:tcPr>
                      <w:p>
                        <w:pPr>
                          <w:widowControl w:val="0"/>
                          <w:suppressAutoHyphens/>
                          <w:jc w:val="both"/>
                          <w:rPr>
                            <w:szCs w:val="24"/>
                          </w:rPr>
                        </w:pPr>
                        <w:r>
                          <w:rPr>
                            <w:szCs w:val="24"/>
                          </w:rPr>
                          <w:t>1.12.</w:t>
                        </w:r>
                      </w:p>
                    </w:tc>
                    <w:tc>
                      <w:tcPr>
                        <w:tcW w:w="7052" w:type="dxa"/>
                      </w:tcPr>
                      <w:p>
                        <w:pPr>
                          <w:widowControl w:val="0"/>
                          <w:suppressAutoHyphens/>
                          <w:jc w:val="both"/>
                          <w:rPr>
                            <w:szCs w:val="24"/>
                          </w:rPr>
                        </w:pPr>
                        <w:r>
                          <w:rPr>
                            <w:szCs w:val="24"/>
                          </w:rPr>
                          <w:t>Iš viso (1.10 + 1.11):</w:t>
                        </w:r>
                      </w:p>
                    </w:tc>
                    <w:tc>
                      <w:tcPr>
                        <w:tcW w:w="1313" w:type="dxa"/>
                      </w:tcPr>
                      <w:p>
                        <w:pPr>
                          <w:widowControl w:val="0"/>
                          <w:suppressAutoHyphens/>
                          <w:jc w:val="center"/>
                          <w:rPr>
                            <w:szCs w:val="24"/>
                            <w:highlight w:val="yellow"/>
                            <w:lang w:val="en-US"/>
                          </w:rPr>
                        </w:pPr>
                        <w:r>
                          <w:rPr>
                            <w:szCs w:val="24"/>
                            <w:lang w:val="en-US"/>
                          </w:rPr>
                          <w:t>54 469</w:t>
                        </w:r>
                      </w:p>
                    </w:tc>
                  </w:tr>
                  <w:tr>
                    <w:tc>
                      <w:tcPr>
                        <w:tcW w:w="696" w:type="dxa"/>
                      </w:tcPr>
                      <w:p>
                        <w:pPr>
                          <w:widowControl w:val="0"/>
                          <w:suppressAutoHyphens/>
                          <w:jc w:val="both"/>
                          <w:rPr>
                            <w:b/>
                            <w:szCs w:val="24"/>
                          </w:rPr>
                        </w:pPr>
                        <w:r>
                          <w:rPr>
                            <w:b/>
                            <w:szCs w:val="24"/>
                          </w:rPr>
                          <w:t>Eil. Nr.</w:t>
                        </w:r>
                      </w:p>
                    </w:tc>
                    <w:tc>
                      <w:tcPr>
                        <w:tcW w:w="7052" w:type="dxa"/>
                      </w:tcPr>
                      <w:p>
                        <w:pPr>
                          <w:ind w:firstLine="312"/>
                          <w:jc w:val="center"/>
                          <w:rPr>
                            <w:b/>
                            <w:szCs w:val="24"/>
                          </w:rPr>
                        </w:pPr>
                        <w:r>
                          <w:rPr>
                            <w:b/>
                            <w:szCs w:val="24"/>
                          </w:rPr>
                          <w:t>(3) Kitoms Programos priemonėms skirtinos lėšos</w:t>
                        </w:r>
                      </w:p>
                    </w:tc>
                    <w:tc>
                      <w:tcPr>
                        <w:tcW w:w="1313" w:type="dxa"/>
                      </w:tcPr>
                      <w:p>
                        <w:pPr>
                          <w:jc w:val="center"/>
                          <w:rPr>
                            <w:b/>
                            <w:szCs w:val="24"/>
                          </w:rPr>
                        </w:pPr>
                        <w:r>
                          <w:rPr>
                            <w:b/>
                            <w:szCs w:val="24"/>
                          </w:rPr>
                          <w:t>Lėšos, Eur</w:t>
                        </w:r>
                      </w:p>
                    </w:tc>
                  </w:tr>
                  <w:tr>
                    <w:tc>
                      <w:tcPr>
                        <w:tcW w:w="696" w:type="dxa"/>
                      </w:tcPr>
                      <w:p>
                        <w:pPr>
                          <w:widowControl w:val="0"/>
                          <w:suppressAutoHyphens/>
                          <w:jc w:val="both"/>
                          <w:rPr>
                            <w:szCs w:val="24"/>
                          </w:rPr>
                        </w:pPr>
                        <w:r>
                          <w:rPr>
                            <w:szCs w:val="24"/>
                          </w:rPr>
                          <w:t>1.13.</w:t>
                        </w:r>
                      </w:p>
                    </w:tc>
                    <w:tc>
                      <w:tcPr>
                        <w:tcW w:w="7052" w:type="dxa"/>
                      </w:tcPr>
                      <w:p>
                        <w:pPr>
                          <w:widowControl w:val="0"/>
                          <w:suppressAutoHyphens/>
                          <w:jc w:val="both"/>
                          <w:rPr>
                            <w:szCs w:val="24"/>
                          </w:rPr>
                        </w:pPr>
                        <w:r>
                          <w:rPr>
                            <w:szCs w:val="24"/>
                          </w:rPr>
                          <w:t>80 procentų Savivaldybių aplinkos apsaugos rėmimo specialiosios programos lėšų, neįskaitant įplaukų už medžioklės plotų naudotojų mokesčius, mokamus įstatymų nustatytomis proporcijomis ir tvarka už medžiojamųjų gyvūnų išteklių naudojimą</w:t>
                        </w:r>
                      </w:p>
                    </w:tc>
                    <w:tc>
                      <w:tcPr>
                        <w:tcW w:w="1313" w:type="dxa"/>
                      </w:tcPr>
                      <w:p>
                        <w:pPr>
                          <w:widowControl w:val="0"/>
                          <w:suppressAutoHyphens/>
                          <w:jc w:val="center"/>
                          <w:rPr>
                            <w:szCs w:val="24"/>
                            <w:highlight w:val="yellow"/>
                            <w:lang w:val="en-US"/>
                          </w:rPr>
                        </w:pPr>
                        <w:r>
                          <w:rPr>
                            <w:szCs w:val="24"/>
                            <w:lang w:val="en-US"/>
                          </w:rPr>
                          <w:t>153 251</w:t>
                        </w:r>
                      </w:p>
                    </w:tc>
                  </w:tr>
                  <w:tr>
                    <w:tc>
                      <w:tcPr>
                        <w:tcW w:w="696" w:type="dxa"/>
                      </w:tcPr>
                      <w:p>
                        <w:pPr>
                          <w:widowControl w:val="0"/>
                          <w:suppressAutoHyphens/>
                          <w:jc w:val="both"/>
                          <w:rPr>
                            <w:szCs w:val="24"/>
                          </w:rPr>
                        </w:pPr>
                        <w:r>
                          <w:rPr>
                            <w:szCs w:val="24"/>
                          </w:rPr>
                          <w:t>1.14.</w:t>
                        </w:r>
                      </w:p>
                    </w:tc>
                    <w:tc>
                      <w:tcPr>
                        <w:tcW w:w="7052" w:type="dxa"/>
                      </w:tcPr>
                      <w:p>
                        <w:pPr>
                          <w:widowControl w:val="0"/>
                          <w:suppressAutoHyphens/>
                          <w:jc w:val="both"/>
                          <w:rPr>
                            <w:szCs w:val="24"/>
                          </w:rPr>
                        </w:pPr>
                        <w:r>
                          <w:rPr>
                            <w:szCs w:val="24"/>
                          </w:rPr>
                          <w:t xml:space="preserve">Ankstesnio ataskaitinio laikotarpio ataskaitos atitinkamų lėšų likutis </w:t>
                        </w:r>
                      </w:p>
                    </w:tc>
                    <w:tc>
                      <w:tcPr>
                        <w:tcW w:w="1313" w:type="dxa"/>
                      </w:tcPr>
                      <w:p>
                        <w:pPr>
                          <w:widowControl w:val="0"/>
                          <w:suppressAutoHyphens/>
                          <w:jc w:val="center"/>
                          <w:rPr>
                            <w:szCs w:val="24"/>
                            <w:highlight w:val="yellow"/>
                          </w:rPr>
                        </w:pPr>
                        <w:r>
                          <w:rPr>
                            <w:szCs w:val="24"/>
                          </w:rPr>
                          <w:t>77 980</w:t>
                        </w:r>
                      </w:p>
                    </w:tc>
                  </w:tr>
                  <w:tr>
                    <w:tc>
                      <w:tcPr>
                        <w:tcW w:w="696" w:type="dxa"/>
                      </w:tcPr>
                      <w:p>
                        <w:pPr>
                          <w:widowControl w:val="0"/>
                          <w:suppressAutoHyphens/>
                          <w:jc w:val="both"/>
                          <w:rPr>
                            <w:szCs w:val="24"/>
                          </w:rPr>
                        </w:pPr>
                        <w:r>
                          <w:rPr>
                            <w:szCs w:val="24"/>
                          </w:rPr>
                          <w:t>1.15.</w:t>
                        </w:r>
                      </w:p>
                    </w:tc>
                    <w:tc>
                      <w:tcPr>
                        <w:tcW w:w="7052" w:type="dxa"/>
                      </w:tcPr>
                      <w:p>
                        <w:pPr>
                          <w:widowControl w:val="0"/>
                          <w:suppressAutoHyphens/>
                          <w:jc w:val="both"/>
                          <w:rPr>
                            <w:szCs w:val="24"/>
                          </w:rPr>
                        </w:pPr>
                        <w:r>
                          <w:rPr>
                            <w:szCs w:val="24"/>
                          </w:rPr>
                          <w:t>Iš viso (1.13 + 1.14):</w:t>
                        </w:r>
                      </w:p>
                    </w:tc>
                    <w:tc>
                      <w:tcPr>
                        <w:tcW w:w="1313" w:type="dxa"/>
                      </w:tcPr>
                      <w:p>
                        <w:pPr>
                          <w:widowControl w:val="0"/>
                          <w:suppressAutoHyphens/>
                          <w:jc w:val="center"/>
                          <w:rPr>
                            <w:szCs w:val="24"/>
                            <w:highlight w:val="yellow"/>
                          </w:rPr>
                        </w:pPr>
                        <w:r>
                          <w:rPr>
                            <w:szCs w:val="24"/>
                          </w:rPr>
                          <w:t>231 231</w:t>
                        </w:r>
                      </w:p>
                    </w:tc>
                  </w:tr>
                </w:tbl>
                <w:p>
                  <w:pPr>
                    <w:widowControl w:val="0"/>
                    <w:suppressAutoHyphens/>
                    <w:rPr>
                      <w:rFonts w:ascii="Thorndale" w:hAnsi="Thorndale" w:cs="Tahoma"/>
                      <w:b/>
                      <w:szCs w:val="24"/>
                    </w:rPr>
                  </w:pPr>
                </w:p>
                <w:p>
                  <w:pPr>
                    <w:rPr>
                      <w:sz w:val="10"/>
                      <w:szCs w:val="10"/>
                    </w:rPr>
                  </w:pPr>
                </w:p>
              </w:sdtContent>
            </w:sdt>
            <w:sdt>
              <w:sdtPr>
                <w:alias w:val="2 p."/>
                <w:tag w:val="part_912c919035fc47ee8d14aa9b19319974"/>
                <w:lock w:val="sdtLocked"/>
                <w:richText/>
              </w:sdtPr>
              <w:sdtContent>
                <w:p>
                  <w:pPr>
                    <w:widowControl w:val="0"/>
                    <w:suppressAutoHyphens/>
                    <w:rPr>
                      <w:rFonts w:cs="Tahoma"/>
                      <w:b/>
                      <w:szCs w:val="24"/>
                    </w:rPr>
                  </w:pPr>
                  <w:sdt>
                    <w:sdtPr>
                      <w:alias w:val="Numeris"/>
                      <w:tag w:val="nr_912c919035fc47ee8d14aa9b19319974"/>
                      <w:lock w:val="sdtLocked"/>
                      <w:richText/>
                    </w:sdtPr>
                    <w:sdtContent>
                      <w:r>
                        <w:rPr>
                          <w:rFonts w:ascii="Thorndale" w:hAnsi="Thorndale" w:cs="Tahoma"/>
                          <w:b/>
                          <w:szCs w:val="24"/>
                        </w:rPr>
                        <w:t>2</w:t>
                      </w:r>
                    </w:sdtContent>
                  </w:sdt>
                  <w:r>
                    <w:rPr>
                      <w:rFonts w:ascii="Thorndale" w:hAnsi="Thorndale" w:cs="Tahoma"/>
                      <w:b/>
                      <w:szCs w:val="24"/>
                    </w:rPr>
                    <w:t xml:space="preserve">. </w:t>
                  </w:r>
                  <w:r>
                    <w:rPr>
                      <w:rFonts w:cs="Tahoma"/>
                      <w:b/>
                      <w:szCs w:val="24"/>
                    </w:rPr>
                    <w:t>Priemonės, kurioms finansuoti naudojamos lėšos, surinktos už medžiojamųjų gyvūnų išteklių naudojimą</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2460"/>
                    <w:gridCol w:w="4474"/>
                    <w:gridCol w:w="1371"/>
                  </w:tblGrid>
                  <w:tr>
                    <w:tc>
                      <w:tcPr>
                        <w:tcW w:w="756" w:type="dxa"/>
                      </w:tcPr>
                      <w:p>
                        <w:pPr>
                          <w:widowControl w:val="0"/>
                          <w:suppressAutoHyphens/>
                          <w:jc w:val="both"/>
                          <w:rPr>
                            <w:b/>
                            <w:szCs w:val="24"/>
                          </w:rPr>
                        </w:pPr>
                        <w:r>
                          <w:rPr>
                            <w:b/>
                            <w:szCs w:val="24"/>
                          </w:rPr>
                          <w:t>Eil. Nr.</w:t>
                        </w:r>
                      </w:p>
                    </w:tc>
                    <w:tc>
                      <w:tcPr>
                        <w:tcW w:w="2460" w:type="dxa"/>
                      </w:tcPr>
                      <w:p>
                        <w:pPr>
                          <w:widowControl w:val="0"/>
                          <w:suppressAutoHyphens/>
                          <w:rPr>
                            <w:szCs w:val="24"/>
                          </w:rPr>
                        </w:pPr>
                        <w:r>
                          <w:rPr>
                            <w:b/>
                            <w:szCs w:val="24"/>
                          </w:rPr>
                          <w:t>Priemonės pavadinimas</w:t>
                        </w:r>
                      </w:p>
                    </w:tc>
                    <w:tc>
                      <w:tcPr>
                        <w:tcW w:w="4474" w:type="dxa"/>
                      </w:tcPr>
                      <w:p>
                        <w:pPr>
                          <w:widowControl w:val="0"/>
                          <w:suppressAutoHyphens/>
                          <w:ind w:firstLine="312"/>
                          <w:jc w:val="both"/>
                          <w:rPr>
                            <w:b/>
                            <w:szCs w:val="24"/>
                          </w:rPr>
                        </w:pPr>
                        <w:r>
                          <w:rPr>
                            <w:b/>
                            <w:szCs w:val="24"/>
                          </w:rPr>
                          <w:t>Detalus priemonės vykdymo aprašymas</w:t>
                        </w:r>
                      </w:p>
                    </w:tc>
                    <w:tc>
                      <w:tcPr>
                        <w:tcW w:w="1371" w:type="dxa"/>
                      </w:tcPr>
                      <w:p>
                        <w:pPr>
                          <w:widowControl w:val="0"/>
                          <w:suppressAutoHyphens/>
                          <w:jc w:val="both"/>
                          <w:rPr>
                            <w:b/>
                            <w:szCs w:val="24"/>
                          </w:rPr>
                        </w:pPr>
                        <w:r>
                          <w:rPr>
                            <w:b/>
                            <w:szCs w:val="24"/>
                          </w:rPr>
                          <w:t>Panaudota lėšų Eur</w:t>
                        </w:r>
                      </w:p>
                    </w:tc>
                  </w:tr>
                  <w:tr>
                    <w:tc>
                      <w:tcPr>
                        <w:tcW w:w="756" w:type="dxa"/>
                      </w:tcPr>
                      <w:p>
                        <w:pPr>
                          <w:widowControl w:val="0"/>
                          <w:suppressAutoHyphens/>
                          <w:jc w:val="both"/>
                          <w:rPr>
                            <w:szCs w:val="24"/>
                          </w:rPr>
                        </w:pPr>
                        <w:r>
                          <w:rPr>
                            <w:szCs w:val="24"/>
                          </w:rPr>
                          <w:t>2.1.</w:t>
                        </w:r>
                      </w:p>
                    </w:tc>
                    <w:tc>
                      <w:tcPr>
                        <w:tcW w:w="6934" w:type="dxa"/>
                        <w:gridSpan w:val="2"/>
                      </w:tcPr>
                      <w:p>
                        <w:pPr>
                          <w:widowControl w:val="0"/>
                          <w:suppressAutoHyphens/>
                          <w:jc w:val="both"/>
                          <w:rPr>
                            <w:szCs w:val="24"/>
                          </w:rPr>
                        </w:pPr>
                        <w:r>
                          <w:rPr>
                            <w:szCs w:val="24"/>
                          </w:rPr>
                          <w:t>Miško sklypų, kuriuose medžioklė nėra uždrausta, savininkų, valdytojų ir naudotojų, įgyvendinamos žalos prevencijos priemonės, kuriomis jie siekia išvengti medžiojamųjų gyvūnų daromos žalos miškui</w:t>
                        </w:r>
                      </w:p>
                    </w:tc>
                    <w:tc>
                      <w:tcPr>
                        <w:tcW w:w="1371" w:type="dxa"/>
                      </w:tcPr>
                      <w:p>
                        <w:pPr>
                          <w:widowControl w:val="0"/>
                          <w:suppressAutoHyphens/>
                          <w:jc w:val="center"/>
                          <w:rPr>
                            <w:szCs w:val="24"/>
                          </w:rPr>
                        </w:pPr>
                      </w:p>
                    </w:tc>
                  </w:tr>
                  <w:tr>
                    <w:tc>
                      <w:tcPr>
                        <w:tcW w:w="756" w:type="dxa"/>
                      </w:tcPr>
                      <w:p>
                        <w:pPr>
                          <w:widowControl w:val="0"/>
                          <w:suppressAutoHyphens/>
                          <w:jc w:val="both"/>
                          <w:rPr>
                            <w:szCs w:val="24"/>
                          </w:rPr>
                        </w:pPr>
                        <w:r>
                          <w:rPr>
                            <w:szCs w:val="24"/>
                          </w:rPr>
                          <w:t>2.1.1.</w:t>
                        </w:r>
                      </w:p>
                    </w:tc>
                    <w:tc>
                      <w:tcPr>
                        <w:tcW w:w="2460" w:type="dxa"/>
                      </w:tcPr>
                      <w:p>
                        <w:pPr>
                          <w:widowControl w:val="0"/>
                          <w:suppressAutoHyphens/>
                          <w:jc w:val="both"/>
                          <w:rPr>
                            <w:szCs w:val="24"/>
                          </w:rPr>
                        </w:pPr>
                        <w:r>
                          <w:rPr>
                            <w:szCs w:val="24"/>
                          </w:rPr>
                          <w:t xml:space="preserve">Miškų valdytojų ir savininkų repelentų įsigijimas, miške esančių želdinių ir žėlinių apdorojimo repelentais darbai, miškų aptvėrimo tvoromis darbai ir šiems darbams atlikti reikalingų medžiagų įsigijimas  </w:t>
                        </w:r>
                      </w:p>
                    </w:tc>
                    <w:tc>
                      <w:tcPr>
                        <w:tcW w:w="4474" w:type="dxa"/>
                      </w:tcPr>
                      <w:p>
                        <w:pPr>
                          <w:widowControl w:val="0"/>
                          <w:suppressAutoHyphens/>
                          <w:jc w:val="both"/>
                          <w:rPr>
                            <w:szCs w:val="24"/>
                          </w:rPr>
                        </w:pPr>
                        <w:r>
                          <w:rPr>
                            <w:szCs w:val="24"/>
                          </w:rPr>
                          <w:t>Asignavimų valdytojas – Radviliškio rajono savivaldybės administracija, atsakingas – Žemės ūkio skyrius. Vykdytojas – VĮ Valstybinių miškų urėdija Radviliškio regioninis padalinys. Vykdymo pradžia 2024 m. I ketv., pabaiga – 2024 m. IV ketv.</w:t>
                        </w:r>
                      </w:p>
                      <w:p>
                        <w:pPr>
                          <w:widowControl w:val="0"/>
                          <w:suppressAutoHyphens/>
                          <w:ind w:firstLine="312"/>
                          <w:jc w:val="both"/>
                          <w:rPr>
                            <w:szCs w:val="24"/>
                          </w:rPr>
                        </w:pPr>
                        <w:r>
                          <w:rPr>
                            <w:szCs w:val="24"/>
                          </w:rPr>
                          <w:t>Cheminė miško želdinių ir žėlinių apsauga nuo žvėrių (tepant), mechaninė miško želdinių apsauga nuo žvėrių, tvoros tvėrimas, taisymas. Įsigyta: tvoros tinklas – 4275 m; impregnuoti mediniai kuolai – 1623 vnt.; medelių kamienų apsauga – 5000 vnt., tvoros tvėrimas apsaugai nuo žvėrių – 4165 m; tvoros taisymas – 9085 m. Želdinių ir žėlinių apsauga nuo žvėrių tepant repelentus – 171700 vnt.</w:t>
                        </w:r>
                      </w:p>
                    </w:tc>
                    <w:tc>
                      <w:tcPr>
                        <w:tcW w:w="1371" w:type="dxa"/>
                      </w:tcPr>
                      <w:p>
                        <w:pPr>
                          <w:widowControl w:val="0"/>
                          <w:suppressAutoHyphens/>
                          <w:jc w:val="center"/>
                          <w:rPr>
                            <w:szCs w:val="24"/>
                          </w:rPr>
                        </w:pPr>
                        <w:r>
                          <w:rPr>
                            <w:szCs w:val="24"/>
                          </w:rPr>
                          <w:t>50 000</w:t>
                        </w:r>
                      </w:p>
                      <w:p>
                        <w:pPr>
                          <w:widowControl w:val="0"/>
                          <w:suppressAutoHyphens/>
                          <w:jc w:val="center"/>
                          <w:rPr>
                            <w:szCs w:val="24"/>
                          </w:rPr>
                        </w:pPr>
                      </w:p>
                    </w:tc>
                  </w:tr>
                  <w:tr>
                    <w:tc>
                      <w:tcPr>
                        <w:tcW w:w="756" w:type="dxa"/>
                      </w:tcPr>
                      <w:p>
                        <w:pPr>
                          <w:widowControl w:val="0"/>
                          <w:suppressAutoHyphens/>
                          <w:jc w:val="both"/>
                          <w:rPr>
                            <w:sz w:val="22"/>
                            <w:szCs w:val="22"/>
                          </w:rPr>
                        </w:pPr>
                        <w:r>
                          <w:rPr>
                            <w:sz w:val="22"/>
                            <w:szCs w:val="22"/>
                          </w:rPr>
                          <w:t>2.1.2.</w:t>
                        </w:r>
                      </w:p>
                    </w:tc>
                    <w:tc>
                      <w:tcPr>
                        <w:tcW w:w="2460" w:type="dxa"/>
                      </w:tcPr>
                      <w:p>
                        <w:pPr>
                          <w:widowControl w:val="0"/>
                          <w:suppressAutoHyphens/>
                          <w:jc w:val="both"/>
                          <w:rPr>
                            <w:szCs w:val="24"/>
                          </w:rPr>
                        </w:pPr>
                        <w:r>
                          <w:rPr>
                            <w:szCs w:val="24"/>
                          </w:rPr>
                          <w:t xml:space="preserve">Miškų valdytojų ir savininkų repelentų įsigijimas, miške esančių želdinių ir žėlinių apdorojimo repelentais darbai, miškų aptvėrimo tvoromis darbai ir šiems darbams atlikti reikalingų medžiagų įsigijimas  </w:t>
                        </w:r>
                      </w:p>
                    </w:tc>
                    <w:tc>
                      <w:tcPr>
                        <w:tcW w:w="4474" w:type="dxa"/>
                      </w:tcPr>
                      <w:p>
                        <w:pPr>
                          <w:widowControl w:val="0"/>
                          <w:suppressAutoHyphens/>
                          <w:jc w:val="both"/>
                          <w:rPr>
                            <w:szCs w:val="24"/>
                          </w:rPr>
                        </w:pPr>
                        <w:r>
                          <w:rPr>
                            <w:szCs w:val="24"/>
                          </w:rPr>
                          <w:t>Asignavimų valdytojas – Radviliškio rajono savivaldybės administracija, atsakingas – Žemės ūkio skyrius. Vykdytojas – ................ Vykdymo pradžia – 2024 m. I ketv., pabaiga – 2024 m. IV ketv.</w:t>
                        </w:r>
                      </w:p>
                      <w:p>
                        <w:pPr>
                          <w:widowControl w:val="0"/>
                          <w:suppressAutoHyphens/>
                          <w:jc w:val="both"/>
                          <w:rPr>
                            <w:sz w:val="22"/>
                            <w:szCs w:val="22"/>
                          </w:rPr>
                        </w:pPr>
                        <w:r>
                          <w:rPr>
                            <w:szCs w:val="24"/>
                          </w:rPr>
                          <w:t>Nebuvo pateikta paraiškų.</w:t>
                        </w:r>
                      </w:p>
                    </w:tc>
                    <w:tc>
                      <w:tcPr>
                        <w:tcW w:w="1371" w:type="dxa"/>
                      </w:tcPr>
                      <w:p>
                        <w:pPr>
                          <w:widowControl w:val="0"/>
                          <w:suppressAutoHyphens/>
                          <w:jc w:val="center"/>
                          <w:rPr>
                            <w:sz w:val="22"/>
                            <w:szCs w:val="22"/>
                          </w:rPr>
                        </w:pPr>
                        <w:r>
                          <w:rPr>
                            <w:sz w:val="22"/>
                            <w:szCs w:val="22"/>
                          </w:rPr>
                          <w:t>0</w:t>
                        </w:r>
                      </w:p>
                      <w:p>
                        <w:pPr>
                          <w:widowControl w:val="0"/>
                          <w:suppressAutoHyphens/>
                          <w:jc w:val="center"/>
                          <w:rPr>
                            <w:sz w:val="22"/>
                            <w:szCs w:val="22"/>
                          </w:rPr>
                        </w:pPr>
                      </w:p>
                    </w:tc>
                  </w:tr>
                  <w:tr>
                    <w:tc>
                      <w:tcPr>
                        <w:tcW w:w="756" w:type="dxa"/>
                      </w:tcPr>
                      <w:p>
                        <w:pPr>
                          <w:widowControl w:val="0"/>
                          <w:suppressAutoHyphens/>
                          <w:jc w:val="both"/>
                          <w:rPr>
                            <w:szCs w:val="24"/>
                          </w:rPr>
                        </w:pPr>
                        <w:r>
                          <w:rPr>
                            <w:szCs w:val="24"/>
                          </w:rPr>
                          <w:t>2.2.</w:t>
                        </w:r>
                      </w:p>
                    </w:tc>
                    <w:tc>
                      <w:tcPr>
                        <w:tcW w:w="6934" w:type="dxa"/>
                        <w:gridSpan w:val="2"/>
                      </w:tcPr>
                      <w:p>
                        <w:pPr>
                          <w:widowControl w:val="0"/>
                          <w:suppressAutoHyphens/>
                          <w:jc w:val="both"/>
                          <w:rPr>
                            <w:szCs w:val="24"/>
                          </w:rPr>
                        </w:pPr>
                        <w:r>
                          <w:rPr>
                            <w:szCs w:val="24"/>
                          </w:rPr>
                          <w:t>Kartografinės ir kitos medžiagos, reikalingos pagal Medžioklės įstatymo reikalavimus rengiamiems medžioklės plotų vienetų sudarymo ar jų ribų pakeitimo projektų parengimo priemonės</w:t>
                        </w:r>
                      </w:p>
                      <w:p>
                        <w:pPr>
                          <w:widowControl w:val="0"/>
                          <w:suppressAutoHyphens/>
                          <w:ind w:firstLine="312"/>
                          <w:jc w:val="both"/>
                          <w:rPr>
                            <w:szCs w:val="24"/>
                          </w:rPr>
                        </w:pPr>
                      </w:p>
                    </w:tc>
                    <w:tc>
                      <w:tcPr>
                        <w:tcW w:w="1371" w:type="dxa"/>
                      </w:tcPr>
                      <w:p>
                        <w:pPr>
                          <w:widowControl w:val="0"/>
                          <w:suppressAutoHyphens/>
                          <w:jc w:val="center"/>
                          <w:rPr>
                            <w:szCs w:val="24"/>
                          </w:rPr>
                        </w:pPr>
                      </w:p>
                    </w:tc>
                  </w:tr>
                  <w:tr>
                    <w:tc>
                      <w:tcPr>
                        <w:tcW w:w="756" w:type="dxa"/>
                      </w:tcPr>
                      <w:p>
                        <w:pPr>
                          <w:widowControl w:val="0"/>
                          <w:suppressAutoHyphens/>
                          <w:jc w:val="both"/>
                          <w:rPr>
                            <w:szCs w:val="24"/>
                          </w:rPr>
                        </w:pPr>
                        <w:r>
                          <w:rPr>
                            <w:szCs w:val="24"/>
                          </w:rPr>
                          <w:t>2.2.1.</w:t>
                        </w:r>
                      </w:p>
                    </w:tc>
                    <w:tc>
                      <w:tcPr>
                        <w:tcW w:w="2460" w:type="dxa"/>
                      </w:tcPr>
                      <w:p>
                        <w:pPr>
                          <w:widowControl w:val="0"/>
                          <w:suppressAutoHyphens/>
                          <w:jc w:val="both"/>
                          <w:rPr>
                            <w:szCs w:val="24"/>
                          </w:rPr>
                        </w:pPr>
                        <w:r>
                          <w:rPr>
                            <w:szCs w:val="24"/>
                          </w:rPr>
                          <w:t>Kartografinės ir kitos medžiagos, reikalingos pagal Medžioklės įstatymo reikalavimus rengiamiems medžioklės plotų vienetų sudarymo ar jų ribų pakeitimo projektams parengti, pirkimas</w:t>
                        </w:r>
                      </w:p>
                    </w:tc>
                    <w:tc>
                      <w:tcPr>
                        <w:tcW w:w="4474" w:type="dxa"/>
                      </w:tcPr>
                      <w:p>
                        <w:pPr>
                          <w:widowControl w:val="0"/>
                          <w:suppressAutoHyphens/>
                          <w:jc w:val="both"/>
                          <w:rPr>
                            <w:szCs w:val="24"/>
                          </w:rPr>
                        </w:pPr>
                        <w:r>
                          <w:rPr>
                            <w:szCs w:val="24"/>
                          </w:rPr>
                          <w:t>Asignavimų valdytojas – Radviliškio rajono savivaldybės administracija, atsakingas – Žemės ūkio skyrius. Vykdytojas – ............... Vykdymo pradžia 2024 m. I ketv., pabaiga – 2024 m. IV ketv.</w:t>
                        </w:r>
                      </w:p>
                      <w:p>
                        <w:pPr>
                          <w:widowControl w:val="0"/>
                          <w:suppressAutoHyphens/>
                          <w:jc w:val="both"/>
                          <w:rPr>
                            <w:szCs w:val="24"/>
                          </w:rPr>
                        </w:pPr>
                        <w:r>
                          <w:rPr>
                            <w:szCs w:val="24"/>
                          </w:rPr>
                          <w:t>Nebuvo pateikta paraiškų.</w:t>
                        </w:r>
                      </w:p>
                    </w:tc>
                    <w:tc>
                      <w:tcPr>
                        <w:tcW w:w="1371" w:type="dxa"/>
                      </w:tcPr>
                      <w:p>
                        <w:pPr>
                          <w:widowControl w:val="0"/>
                          <w:suppressAutoHyphens/>
                          <w:jc w:val="center"/>
                          <w:rPr>
                            <w:szCs w:val="24"/>
                          </w:rPr>
                        </w:pPr>
                        <w:r>
                          <w:rPr>
                            <w:szCs w:val="24"/>
                          </w:rPr>
                          <w:t>0</w:t>
                        </w:r>
                      </w:p>
                      <w:p>
                        <w:pPr>
                          <w:widowControl w:val="0"/>
                          <w:suppressAutoHyphens/>
                          <w:jc w:val="center"/>
                          <w:rPr>
                            <w:szCs w:val="24"/>
                          </w:rPr>
                        </w:pPr>
                      </w:p>
                    </w:tc>
                  </w:tr>
                  <w:tr>
                    <w:tc>
                      <w:tcPr>
                        <w:tcW w:w="756" w:type="dxa"/>
                      </w:tcPr>
                      <w:p>
                        <w:pPr>
                          <w:widowControl w:val="0"/>
                          <w:suppressAutoHyphens/>
                          <w:jc w:val="both"/>
                          <w:rPr>
                            <w:szCs w:val="24"/>
                          </w:rPr>
                        </w:pPr>
                      </w:p>
                    </w:tc>
                    <w:tc>
                      <w:tcPr>
                        <w:tcW w:w="6934" w:type="dxa"/>
                        <w:gridSpan w:val="2"/>
                      </w:tcPr>
                      <w:p>
                        <w:pPr>
                          <w:widowControl w:val="0"/>
                          <w:suppressAutoHyphens/>
                          <w:jc w:val="both"/>
                          <w:rPr>
                            <w:szCs w:val="24"/>
                          </w:rPr>
                        </w:pPr>
                        <w:r>
                          <w:rPr>
                            <w:szCs w:val="24"/>
                          </w:rPr>
                          <w:t xml:space="preserve">Iš viso: </w:t>
                        </w:r>
                      </w:p>
                    </w:tc>
                    <w:tc>
                      <w:tcPr>
                        <w:tcW w:w="1371" w:type="dxa"/>
                      </w:tcPr>
                      <w:p>
                        <w:pPr>
                          <w:widowControl w:val="0"/>
                          <w:suppressAutoHyphens/>
                          <w:jc w:val="center"/>
                          <w:rPr>
                            <w:szCs w:val="24"/>
                          </w:rPr>
                        </w:pPr>
                        <w:r>
                          <w:rPr>
                            <w:szCs w:val="24"/>
                          </w:rPr>
                          <w:t>50 000</w:t>
                        </w:r>
                      </w:p>
                    </w:tc>
                  </w:tr>
                </w:tbl>
                <w:p/>
              </w:sdtContent>
            </w:sdt>
            <w:sdt>
              <w:sdtPr>
                <w:alias w:val="3 p."/>
                <w:tag w:val="part_4e2c7023aaf342ffb8b6781d962d3945"/>
                <w:lock w:val="sdtLocked"/>
                <w:richText/>
              </w:sdtPr>
              <w:sdtContent>
                <w:p>
                  <w:pPr>
                    <w:jc w:val="both"/>
                    <w:rPr>
                      <w:b/>
                      <w:szCs w:val="24"/>
                    </w:rPr>
                  </w:pPr>
                  <w:sdt>
                    <w:sdtPr>
                      <w:alias w:val="Numeris"/>
                      <w:tag w:val="nr_4e2c7023aaf342ffb8b6781d962d3945"/>
                      <w:lock w:val="sdtLocked"/>
                      <w:richText/>
                    </w:sdtPr>
                    <w:sdtContent>
                      <w:r>
                        <w:rPr>
                          <w:b/>
                          <w:szCs w:val="24"/>
                        </w:rPr>
                        <w:t>3</w:t>
                      </w:r>
                    </w:sdtContent>
                  </w:sdt>
                  <w:r>
                    <w:rPr>
                      <w:b/>
                      <w:szCs w:val="24"/>
                    </w:rPr>
                    <w:t>. Programos lėšos, skirtos Savivaldybės visuomenės sveikatos rėmimo specialiajai programai</w:t>
                  </w:r>
                </w:p>
                <w:p>
                  <w:pPr>
                    <w:jc w:val="both"/>
                    <w:rPr>
                      <w:szCs w:val="24"/>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21"/>
                    <w:gridCol w:w="1446"/>
                  </w:tblGrid>
                  <w:tr>
                    <w:tc>
                      <w:tcPr>
                        <w:tcW w:w="7621" w:type="dxa"/>
                      </w:tcPr>
                      <w:p>
                        <w:pPr>
                          <w:widowControl w:val="0"/>
                          <w:suppressAutoHyphens/>
                          <w:jc w:val="both"/>
                          <w:rPr>
                            <w:b/>
                            <w:szCs w:val="24"/>
                          </w:rPr>
                        </w:pPr>
                        <w:r>
                          <w:rPr>
                            <w:b/>
                            <w:szCs w:val="24"/>
                          </w:rPr>
                          <w:t>Programos pavadinimas</w:t>
                        </w:r>
                      </w:p>
                    </w:tc>
                    <w:tc>
                      <w:tcPr>
                        <w:tcW w:w="1446" w:type="dxa"/>
                      </w:tcPr>
                      <w:p>
                        <w:pPr>
                          <w:widowControl w:val="0"/>
                          <w:suppressAutoHyphens/>
                          <w:jc w:val="both"/>
                          <w:rPr>
                            <w:b/>
                            <w:szCs w:val="24"/>
                          </w:rPr>
                        </w:pPr>
                        <w:r>
                          <w:rPr>
                            <w:b/>
                            <w:szCs w:val="24"/>
                          </w:rPr>
                          <w:t xml:space="preserve">Panaudota lėšų Eur </w:t>
                        </w:r>
                      </w:p>
                    </w:tc>
                  </w:tr>
                  <w:tr>
                    <w:tc>
                      <w:tcPr>
                        <w:tcW w:w="7621" w:type="dxa"/>
                      </w:tcPr>
                      <w:p>
                        <w:pPr>
                          <w:widowControl w:val="0"/>
                          <w:suppressAutoHyphens/>
                          <w:jc w:val="both"/>
                          <w:rPr>
                            <w:b/>
                            <w:szCs w:val="24"/>
                          </w:rPr>
                        </w:pPr>
                        <w:r>
                          <w:rPr>
                            <w:b/>
                            <w:szCs w:val="24"/>
                          </w:rPr>
                          <w:t>Savivaldybės visuomenės sveikatos rėmimo specialioji programa</w:t>
                        </w:r>
                      </w:p>
                    </w:tc>
                    <w:tc>
                      <w:tcPr>
                        <w:tcW w:w="1446" w:type="dxa"/>
                      </w:tcPr>
                      <w:p>
                        <w:pPr>
                          <w:widowControl w:val="0"/>
                          <w:suppressAutoHyphens/>
                          <w:jc w:val="center"/>
                          <w:rPr>
                            <w:szCs w:val="24"/>
                          </w:rPr>
                        </w:pPr>
                        <w:r>
                          <w:rPr>
                            <w:szCs w:val="24"/>
                          </w:rPr>
                          <w:t>43 148</w:t>
                        </w:r>
                      </w:p>
                      <w:p>
                        <w:pPr>
                          <w:widowControl w:val="0"/>
                          <w:suppressAutoHyphens/>
                          <w:jc w:val="center"/>
                          <w:rPr>
                            <w:szCs w:val="24"/>
                          </w:rPr>
                        </w:pPr>
                      </w:p>
                    </w:tc>
                  </w:tr>
                </w:tbl>
                <w:p>
                  <w:pPr>
                    <w:jc w:val="both"/>
                    <w:rPr>
                      <w:b/>
                      <w:szCs w:val="24"/>
                    </w:rPr>
                  </w:pPr>
                </w:p>
              </w:sdtContent>
            </w:sdt>
            <w:sdt>
              <w:sdtPr>
                <w:alias w:val="4 p."/>
                <w:tag w:val="part_a1da4bab63584aada22fef387061606c"/>
                <w:lock w:val="sdtLocked"/>
                <w:richText/>
              </w:sdtPr>
              <w:sdtContent>
                <w:p>
                  <w:pPr>
                    <w:jc w:val="both"/>
                    <w:rPr>
                      <w:b/>
                      <w:szCs w:val="24"/>
                    </w:rPr>
                  </w:pPr>
                  <w:sdt>
                    <w:sdtPr>
                      <w:alias w:val="Numeris"/>
                      <w:tag w:val="nr_a1da4bab63584aada22fef387061606c"/>
                      <w:lock w:val="sdtLocked"/>
                      <w:richText/>
                    </w:sdtPr>
                    <w:sdtContent>
                      <w:r>
                        <w:rPr>
                          <w:b/>
                          <w:szCs w:val="24"/>
                        </w:rPr>
                        <w:t>4</w:t>
                      </w:r>
                    </w:sdtContent>
                  </w:sdt>
                  <w:r>
                    <w:rPr>
                      <w:b/>
                      <w:szCs w:val="24"/>
                    </w:rPr>
                    <w:t>. Kitos aplinkosaugos priemonės, kurioms įgyvendinti panaudotos Programos lėšos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7"/>
                    <w:gridCol w:w="2458"/>
                    <w:gridCol w:w="4387"/>
                    <w:gridCol w:w="6"/>
                    <w:gridCol w:w="1363"/>
                  </w:tblGrid>
                  <w:tr>
                    <w:trPr>
                      <w:tblHeader/>
                    </w:trPr>
                    <w:tc>
                      <w:tcPr>
                        <w:tcW w:w="847" w:type="dxa"/>
                      </w:tcPr>
                      <w:p>
                        <w:pPr>
                          <w:widowControl w:val="0"/>
                          <w:suppressAutoHyphens/>
                          <w:jc w:val="both"/>
                          <w:rPr>
                            <w:b/>
                            <w:szCs w:val="24"/>
                          </w:rPr>
                        </w:pPr>
                        <w:r>
                          <w:rPr>
                            <w:b/>
                            <w:szCs w:val="24"/>
                          </w:rPr>
                          <w:t>Eil. Nr.</w:t>
                        </w:r>
                      </w:p>
                    </w:tc>
                    <w:tc>
                      <w:tcPr>
                        <w:tcW w:w="2458" w:type="dxa"/>
                      </w:tcPr>
                      <w:p>
                        <w:pPr>
                          <w:widowControl w:val="0"/>
                          <w:suppressAutoHyphens/>
                          <w:rPr>
                            <w:szCs w:val="24"/>
                          </w:rPr>
                        </w:pPr>
                        <w:r>
                          <w:rPr>
                            <w:b/>
                            <w:szCs w:val="24"/>
                          </w:rPr>
                          <w:t>Priemonės pavadinimas</w:t>
                        </w:r>
                      </w:p>
                    </w:tc>
                    <w:tc>
                      <w:tcPr>
                        <w:tcW w:w="4393" w:type="dxa"/>
                        <w:gridSpan w:val="2"/>
                      </w:tcPr>
                      <w:p>
                        <w:pPr>
                          <w:widowControl w:val="0"/>
                          <w:suppressAutoHyphens/>
                          <w:ind w:firstLine="312"/>
                          <w:jc w:val="both"/>
                          <w:rPr>
                            <w:b/>
                            <w:szCs w:val="24"/>
                          </w:rPr>
                        </w:pPr>
                        <w:r>
                          <w:rPr>
                            <w:b/>
                            <w:szCs w:val="24"/>
                          </w:rPr>
                          <w:t>Detalus priemonės vykdymo aprašymas</w:t>
                        </w:r>
                      </w:p>
                    </w:tc>
                    <w:tc>
                      <w:tcPr>
                        <w:tcW w:w="1363" w:type="dxa"/>
                      </w:tcPr>
                      <w:p>
                        <w:pPr>
                          <w:widowControl w:val="0"/>
                          <w:suppressAutoHyphens/>
                          <w:jc w:val="both"/>
                          <w:rPr>
                            <w:b/>
                            <w:szCs w:val="24"/>
                          </w:rPr>
                        </w:pPr>
                        <w:r>
                          <w:rPr>
                            <w:b/>
                            <w:szCs w:val="24"/>
                          </w:rPr>
                          <w:t>Panaudota lėšų Eur</w:t>
                        </w:r>
                      </w:p>
                    </w:tc>
                  </w:tr>
                  <w:tr>
                    <w:tc>
                      <w:tcPr>
                        <w:tcW w:w="847" w:type="dxa"/>
                      </w:tcPr>
                      <w:p>
                        <w:pPr>
                          <w:widowControl w:val="0"/>
                          <w:suppressAutoHyphens/>
                          <w:jc w:val="both"/>
                          <w:rPr>
                            <w:szCs w:val="24"/>
                          </w:rPr>
                        </w:pPr>
                        <w:r>
                          <w:rPr>
                            <w:szCs w:val="24"/>
                          </w:rPr>
                          <w:t>4.1.</w:t>
                        </w:r>
                      </w:p>
                    </w:tc>
                    <w:tc>
                      <w:tcPr>
                        <w:tcW w:w="6851" w:type="dxa"/>
                        <w:gridSpan w:val="3"/>
                      </w:tcPr>
                      <w:p>
                        <w:pPr>
                          <w:widowControl w:val="0"/>
                          <w:suppressAutoHyphens/>
                          <w:ind w:firstLine="13"/>
                          <w:rPr>
                            <w:b/>
                            <w:szCs w:val="24"/>
                          </w:rPr>
                        </w:pPr>
                        <w:r>
                          <w:rPr>
                            <w:b/>
                            <w:szCs w:val="24"/>
                          </w:rPr>
                          <w:t>Aplinkos kokybės gerinimo ir apsaugos priemonės</w:t>
                        </w:r>
                      </w:p>
                    </w:tc>
                    <w:tc>
                      <w:tcPr>
                        <w:tcW w:w="1363" w:type="dxa"/>
                      </w:tcPr>
                      <w:p>
                        <w:pPr>
                          <w:widowControl w:val="0"/>
                          <w:suppressAutoHyphens/>
                          <w:jc w:val="both"/>
                          <w:rPr>
                            <w:szCs w:val="24"/>
                          </w:rPr>
                        </w:pPr>
                      </w:p>
                    </w:tc>
                  </w:tr>
                  <w:tr>
                    <w:tc>
                      <w:tcPr>
                        <w:tcW w:w="847" w:type="dxa"/>
                      </w:tcPr>
                      <w:p>
                        <w:pPr>
                          <w:widowControl w:val="0"/>
                          <w:suppressAutoHyphens/>
                          <w:jc w:val="both"/>
                          <w:rPr>
                            <w:szCs w:val="24"/>
                          </w:rPr>
                        </w:pPr>
                        <w:r>
                          <w:rPr>
                            <w:szCs w:val="24"/>
                          </w:rPr>
                          <w:t>4.1.1.</w:t>
                        </w:r>
                      </w:p>
                    </w:tc>
                    <w:tc>
                      <w:tcPr>
                        <w:tcW w:w="2458" w:type="dxa"/>
                      </w:tcPr>
                      <w:p>
                        <w:pPr>
                          <w:widowControl w:val="0"/>
                          <w:suppressAutoHyphens/>
                          <w:ind w:firstLine="13"/>
                          <w:jc w:val="both"/>
                          <w:rPr>
                            <w:szCs w:val="24"/>
                          </w:rPr>
                        </w:pPr>
                        <w:r>
                          <w:rPr>
                            <w:szCs w:val="24"/>
                          </w:rPr>
                          <w:t xml:space="preserve">Teršalų, išmetamų į atmosferą, vandenį, žemės paviršių ir gilesnius jo sluoksnius, mažinimo įrenginių (pvz., nuotekų ir lietaus surinkimo, valymo, vandens tiekimo sistemos ir jų elementai) įsigijimo, projektavimo, statybos, remonto, rekonstravimo darbų finansavimas </w:t>
                        </w:r>
                        <w:r>
                          <w:rPr>
                            <w:b/>
                            <w:i/>
                            <w:szCs w:val="24"/>
                          </w:rPr>
                          <w:t>(Radviliškio rajono savivaldybės teritorijoje – paviršinio vandens tvarkymo tinklams plėtoti ir eksploatuoti)</w:t>
                        </w:r>
                      </w:p>
                    </w:tc>
                    <w:tc>
                      <w:tcPr>
                        <w:tcW w:w="4393" w:type="dxa"/>
                        <w:gridSpan w:val="2"/>
                      </w:tcPr>
                      <w:p>
                        <w:pPr>
                          <w:ind w:firstLine="13"/>
                          <w:jc w:val="both"/>
                          <w:rPr>
                            <w:szCs w:val="24"/>
                          </w:rPr>
                        </w:pPr>
                        <w:r>
                          <w:rPr>
                            <w:szCs w:val="24"/>
                          </w:rPr>
                          <w:t>Asignavimų valdytojas – Radviliškio rajono savivaldybės administracija, atsakingas – Investicijų ir turto skyrius. Vykdytojas – Investicijų ir turto skyrius. Vykdymo pradžia 2024 m. liepos mėn., pabaiga – 2024 m. liepos mėn. (Dotacija UAB „Radviliškio vanduo“).</w:t>
                        </w:r>
                      </w:p>
                      <w:p>
                        <w:pPr>
                          <w:ind w:firstLine="13"/>
                          <w:jc w:val="both"/>
                          <w:rPr>
                            <w:szCs w:val="24"/>
                          </w:rPr>
                        </w:pPr>
                        <w:r>
                          <w:rPr>
                            <w:szCs w:val="24"/>
                          </w:rPr>
                          <w:t>Įgyvendinta</w:t>
                        </w:r>
                      </w:p>
                      <w:p>
                        <w:pPr>
                          <w:ind w:firstLine="13"/>
                          <w:jc w:val="both"/>
                          <w:rPr>
                            <w:szCs w:val="24"/>
                          </w:rPr>
                        </w:pPr>
                        <w:r>
                          <w:rPr>
                            <w:szCs w:val="24"/>
                          </w:rPr>
                          <w:t>1. Priemonės vykdytojas – UAB „SROS“, priemonės vykdymo pradžia – 2024 m. liepos mėn., pabaigos data – 2024 m. liepos mėn., atlikti darbai – paviršinių nuotekų tinklų statybos darbai Turgaus g., Žemaitės g., Radviliškis, atlikti rangos darbai – 58973,91 Eur.</w:t>
                        </w:r>
                      </w:p>
                      <w:p>
                        <w:pPr>
                          <w:ind w:firstLine="13"/>
                          <w:jc w:val="both"/>
                          <w:rPr>
                            <w:szCs w:val="24"/>
                          </w:rPr>
                        </w:pPr>
                      </w:p>
                    </w:tc>
                    <w:tc>
                      <w:tcPr>
                        <w:tcW w:w="1363" w:type="dxa"/>
                      </w:tcPr>
                      <w:p>
                        <w:pPr>
                          <w:widowControl w:val="0"/>
                          <w:suppressAutoHyphens/>
                          <w:jc w:val="center"/>
                          <w:rPr>
                            <w:szCs w:val="24"/>
                          </w:rPr>
                        </w:pPr>
                        <w:r>
                          <w:rPr>
                            <w:szCs w:val="24"/>
                          </w:rPr>
                          <w:t>58 974</w:t>
                        </w:r>
                      </w:p>
                      <w:p>
                        <w:pPr>
                          <w:widowControl w:val="0"/>
                          <w:suppressAutoHyphens/>
                          <w:jc w:val="center"/>
                          <w:rPr>
                            <w:szCs w:val="24"/>
                          </w:rPr>
                        </w:pPr>
                      </w:p>
                      <w:p>
                        <w:pPr>
                          <w:widowControl w:val="0"/>
                          <w:suppressAutoHyphens/>
                          <w:jc w:val="center"/>
                          <w:rPr>
                            <w:szCs w:val="24"/>
                          </w:rPr>
                        </w:pPr>
                      </w:p>
                    </w:tc>
                  </w:tr>
                  <w:tr>
                    <w:tc>
                      <w:tcPr>
                        <w:tcW w:w="847" w:type="dxa"/>
                      </w:tcPr>
                      <w:p>
                        <w:pPr>
                          <w:widowControl w:val="0"/>
                          <w:suppressAutoHyphens/>
                          <w:jc w:val="both"/>
                          <w:rPr>
                            <w:szCs w:val="24"/>
                          </w:rPr>
                        </w:pPr>
                        <w:r>
                          <w:rPr>
                            <w:szCs w:val="24"/>
                          </w:rPr>
                          <w:t>4.1.2.</w:t>
                        </w:r>
                      </w:p>
                    </w:tc>
                    <w:tc>
                      <w:tcPr>
                        <w:tcW w:w="2458" w:type="dxa"/>
                      </w:tcPr>
                      <w:p>
                        <w:pPr>
                          <w:widowControl w:val="0"/>
                          <w:suppressAutoHyphens/>
                          <w:ind w:firstLine="13"/>
                          <w:jc w:val="both"/>
                          <w:rPr>
                            <w:szCs w:val="24"/>
                          </w:rPr>
                        </w:pPr>
                        <w:r>
                          <w:rPr>
                            <w:szCs w:val="24"/>
                          </w:rPr>
                          <w:t xml:space="preserve">Teršalų, išmetamų į atmosferą, vandenį, žemės paviršių ir gilesnius jo sluoksnius, mažinimo įrenginių (pvz., nuotekų ir lietaus surinkimo, valymo, vandens tiekimo sistemos ir jų elementai) įsigijimo, projektavimo, statybos, remonto, rekonstravimo darbų finansavimas </w:t>
                        </w:r>
                        <w:r>
                          <w:rPr>
                            <w:b/>
                            <w:szCs w:val="24"/>
                          </w:rPr>
                          <w:t>(</w:t>
                        </w:r>
                        <w:r>
                          <w:rPr>
                            <w:b/>
                            <w:i/>
                            <w:szCs w:val="24"/>
                          </w:rPr>
                          <w:t xml:space="preserve">Radviliškio rajono savivaldybės teritorijoje –  nuotekų surinkimo, valymo ir vandens tiekimo sistemos ir jų elementai, naujų tinklų tiesimas – prisidėjimas prie socialinių būstų</w:t>
                        </w:r>
                        <w:r>
                          <w:rPr>
                            <w:b/>
                            <w:szCs w:val="24"/>
                          </w:rPr>
                          <w:t>)</w:t>
                        </w:r>
                      </w:p>
                    </w:tc>
                    <w:tc>
                      <w:tcPr>
                        <w:tcW w:w="4393" w:type="dxa"/>
                        <w:gridSpan w:val="2"/>
                      </w:tcPr>
                      <w:p>
                        <w:pPr>
                          <w:widowControl w:val="0"/>
                          <w:suppressAutoHyphens/>
                          <w:jc w:val="both"/>
                          <w:rPr>
                            <w:rFonts w:cs="Tahoma"/>
                            <w:szCs w:val="24"/>
                          </w:rPr>
                        </w:pPr>
                        <w:r>
                          <w:rPr>
                            <w:rFonts w:cs="Tahoma"/>
                            <w:szCs w:val="24"/>
                          </w:rPr>
                          <w:t>Asignavimų valdytojas – Radviliškio rajono savivaldybės administracija, atsakingas – Investicijų ir turto skyrius. Vykdytojas – Investicijų ir turto skyrius. Vykdymo pradžia – 2024 m. balandžio mėn., pabaiga – 2024 m. gegužės mėn. (Dotacija UAB „Radviliškio vanduo“).</w:t>
                        </w:r>
                      </w:p>
                      <w:p>
                        <w:pPr>
                          <w:widowControl w:val="0"/>
                          <w:suppressAutoHyphens/>
                          <w:jc w:val="both"/>
                          <w:rPr>
                            <w:rFonts w:cs="Tahoma"/>
                            <w:szCs w:val="24"/>
                          </w:rPr>
                        </w:pPr>
                        <w:r>
                          <w:rPr>
                            <w:rFonts w:cs="Tahoma"/>
                            <w:szCs w:val="24"/>
                          </w:rPr>
                          <w:t xml:space="preserve">Įgyvendinta: atlikti darbai – vandentiekio tinklo ir sanitarinio mazgo įrengimas Dariaus ir Girėno g. 56A-2,  3, Radviliškis </w:t>
                        </w:r>
                      </w:p>
                      <w:p>
                        <w:pPr>
                          <w:widowControl w:val="0"/>
                          <w:suppressAutoHyphens/>
                          <w:jc w:val="both"/>
                          <w:rPr>
                            <w:rFonts w:cs="Tahoma"/>
                            <w:szCs w:val="24"/>
                            <w:highlight w:val="cyan"/>
                          </w:rPr>
                        </w:pPr>
                        <w:r>
                          <w:rPr>
                            <w:rFonts w:cs="Tahoma"/>
                            <w:szCs w:val="24"/>
                          </w:rPr>
                          <w:t>(socialiniai būstai) – 2468,67 Eur.</w:t>
                        </w:r>
                      </w:p>
                    </w:tc>
                    <w:tc>
                      <w:tcPr>
                        <w:tcW w:w="1363" w:type="dxa"/>
                      </w:tcPr>
                      <w:p>
                        <w:pPr>
                          <w:widowControl w:val="0"/>
                          <w:suppressAutoHyphens/>
                          <w:jc w:val="center"/>
                          <w:rPr>
                            <w:szCs w:val="24"/>
                          </w:rPr>
                        </w:pPr>
                        <w:r>
                          <w:rPr>
                            <w:szCs w:val="24"/>
                          </w:rPr>
                          <w:t>2 469</w:t>
                        </w:r>
                      </w:p>
                      <w:p>
                        <w:pPr>
                          <w:widowControl w:val="0"/>
                          <w:suppressAutoHyphens/>
                          <w:jc w:val="center"/>
                          <w:rPr>
                            <w:szCs w:val="24"/>
                          </w:rPr>
                        </w:pPr>
                      </w:p>
                    </w:tc>
                  </w:tr>
                  <w:tr>
                    <w:tc>
                      <w:tcPr>
                        <w:tcW w:w="847" w:type="dxa"/>
                      </w:tcPr>
                      <w:p>
                        <w:pPr>
                          <w:widowControl w:val="0"/>
                          <w:suppressAutoHyphens/>
                          <w:jc w:val="both"/>
                          <w:rPr>
                            <w:szCs w:val="24"/>
                          </w:rPr>
                        </w:pPr>
                        <w:r>
                          <w:rPr>
                            <w:szCs w:val="24"/>
                          </w:rPr>
                          <w:t>4.1.3.</w:t>
                        </w:r>
                      </w:p>
                    </w:tc>
                    <w:tc>
                      <w:tcPr>
                        <w:tcW w:w="2458" w:type="dxa"/>
                      </w:tcPr>
                      <w:p>
                        <w:pPr>
                          <w:widowControl w:val="0"/>
                          <w:suppressAutoHyphens/>
                          <w:ind w:firstLine="13"/>
                          <w:jc w:val="both"/>
                          <w:rPr>
                            <w:szCs w:val="24"/>
                          </w:rPr>
                        </w:pPr>
                        <w:r>
                          <w:rPr>
                            <w:szCs w:val="24"/>
                          </w:rPr>
                          <w:t>Smėlio, druskos ir purvo mišinio, kuris didina kietųjų dalelių koncentraciją aplinkos ore, surinkimo iš miestų gatvių ir šalinimo darbų, atliekamų tik pavasario laikotarpiu, finansavimas</w:t>
                        </w:r>
                      </w:p>
                    </w:tc>
                    <w:tc>
                      <w:tcPr>
                        <w:tcW w:w="4393" w:type="dxa"/>
                        <w:gridSpan w:val="2"/>
                      </w:tcPr>
                      <w:p>
                        <w:pPr>
                          <w:widowControl w:val="0"/>
                          <w:suppressAutoHyphens/>
                          <w:ind w:firstLine="13"/>
                          <w:jc w:val="both"/>
                          <w:rPr>
                            <w:szCs w:val="24"/>
                          </w:rPr>
                        </w:pPr>
                        <w:r>
                          <w:rPr>
                            <w:szCs w:val="24"/>
                          </w:rPr>
                          <w:t>Asignavimų valdytojas – Radviliškio rajono savivaldybės administracija, atsakingas – Radviliškio miesto seniūnija. Vykdytojas – Radviliškio miesto seniūnija. Vykdymo pradžia – 2024 m. I ketv., pabaiga – 2024 m. II ketv.</w:t>
                        </w:r>
                      </w:p>
                      <w:p>
                        <w:pPr>
                          <w:widowControl w:val="0"/>
                          <w:suppressAutoHyphens/>
                          <w:ind w:firstLine="13"/>
                          <w:jc w:val="both"/>
                          <w:rPr>
                            <w:szCs w:val="24"/>
                          </w:rPr>
                        </w:pPr>
                        <w:r>
                          <w:rPr>
                            <w:szCs w:val="24"/>
                          </w:rPr>
                          <w:t>Nebuvo sandėliuojama.</w:t>
                        </w:r>
                      </w:p>
                    </w:tc>
                    <w:tc>
                      <w:tcPr>
                        <w:tcW w:w="1363" w:type="dxa"/>
                      </w:tcPr>
                      <w:p>
                        <w:pPr>
                          <w:widowControl w:val="0"/>
                          <w:suppressAutoHyphens/>
                          <w:jc w:val="center"/>
                          <w:rPr>
                            <w:szCs w:val="24"/>
                          </w:rPr>
                        </w:pPr>
                        <w:r>
                          <w:rPr>
                            <w:szCs w:val="24"/>
                          </w:rPr>
                          <w:t>0</w:t>
                        </w:r>
                      </w:p>
                      <w:p>
                        <w:pPr>
                          <w:widowControl w:val="0"/>
                          <w:suppressAutoHyphens/>
                          <w:jc w:val="center"/>
                          <w:rPr>
                            <w:szCs w:val="24"/>
                          </w:rPr>
                        </w:pPr>
                      </w:p>
                    </w:tc>
                  </w:tr>
                  <w:tr>
                    <w:tc>
                      <w:tcPr>
                        <w:tcW w:w="847" w:type="dxa"/>
                      </w:tcPr>
                      <w:p>
                        <w:pPr>
                          <w:widowControl w:val="0"/>
                          <w:suppressAutoHyphens/>
                          <w:jc w:val="both"/>
                          <w:rPr>
                            <w:szCs w:val="24"/>
                          </w:rPr>
                        </w:pPr>
                        <w:r>
                          <w:rPr>
                            <w:szCs w:val="24"/>
                          </w:rPr>
                          <w:t>4.1.4.</w:t>
                        </w:r>
                      </w:p>
                    </w:tc>
                    <w:tc>
                      <w:tcPr>
                        <w:tcW w:w="2458" w:type="dxa"/>
                      </w:tcPr>
                      <w:p>
                        <w:pPr>
                          <w:widowControl w:val="0"/>
                          <w:suppressAutoHyphens/>
                          <w:ind w:firstLine="13"/>
                          <w:jc w:val="both"/>
                          <w:rPr>
                            <w:szCs w:val="24"/>
                          </w:rPr>
                        </w:pPr>
                        <w:r>
                          <w:rPr>
                            <w:szCs w:val="24"/>
                          </w:rPr>
                          <w:t>Teritorijoje esančių valstybės saugomų teritorijų apsaugos ir tvarkymo darbai (šienavimas, menkaverčių krūmų iškirtimas)</w:t>
                        </w:r>
                      </w:p>
                    </w:tc>
                    <w:tc>
                      <w:tcPr>
                        <w:tcW w:w="4393" w:type="dxa"/>
                        <w:gridSpan w:val="2"/>
                      </w:tcPr>
                      <w:p>
                        <w:pPr>
                          <w:widowControl w:val="0"/>
                          <w:suppressAutoHyphens/>
                          <w:spacing w:line="256" w:lineRule="auto"/>
                          <w:jc w:val="both"/>
                          <w:rPr>
                            <w:szCs w:val="24"/>
                          </w:rPr>
                        </w:pPr>
                        <w:r>
                          <w:rPr>
                            <w:szCs w:val="24"/>
                          </w:rPr>
                          <w:t>Asignavimų valdytojas – Radviliškio rajono savivaldybės administracija, atsakingas – Šaukoto seniūnija. Vykdytojas – Šaukoto seniūnija. Vykdymo pradžia – 2024 m. III ketv., pabaiga – 2024 m. III ketv.</w:t>
                        </w:r>
                      </w:p>
                      <w:p>
                        <w:pPr>
                          <w:widowControl w:val="0"/>
                          <w:suppressAutoHyphens/>
                          <w:spacing w:line="256" w:lineRule="auto"/>
                          <w:jc w:val="both"/>
                          <w:rPr>
                            <w:szCs w:val="24"/>
                          </w:rPr>
                        </w:pPr>
                        <w:r>
                          <w:rPr>
                            <w:szCs w:val="24"/>
                          </w:rPr>
                          <w:t xml:space="preserve">Pievos šienavimas prie Šiaulės bokšto Kalnų k. (su vairuotoju). </w:t>
                        </w:r>
                      </w:p>
                    </w:tc>
                    <w:tc>
                      <w:tcPr>
                        <w:tcW w:w="1363" w:type="dxa"/>
                      </w:tcPr>
                      <w:p>
                        <w:pPr>
                          <w:widowControl w:val="0"/>
                          <w:suppressAutoHyphens/>
                          <w:jc w:val="center"/>
                          <w:rPr>
                            <w:szCs w:val="24"/>
                          </w:rPr>
                        </w:pPr>
                        <w:r>
                          <w:rPr>
                            <w:szCs w:val="24"/>
                          </w:rPr>
                          <w:t>461</w:t>
                        </w:r>
                      </w:p>
                      <w:p>
                        <w:pPr>
                          <w:widowControl w:val="0"/>
                          <w:suppressAutoHyphens/>
                          <w:jc w:val="center"/>
                          <w:rPr>
                            <w:szCs w:val="24"/>
                          </w:rPr>
                        </w:pPr>
                      </w:p>
                    </w:tc>
                  </w:tr>
                  <w:tr>
                    <w:trPr>
                      <w:trHeight w:val="1103"/>
                    </w:trPr>
                    <w:tc>
                      <w:tcPr>
                        <w:tcW w:w="847" w:type="dxa"/>
                        <w:vMerge w:val="restart"/>
                        <w:tcBorders>
                          <w:top w:val="single" w:sz="4" w:space="0" w:color="auto"/>
                          <w:left w:val="single" w:sz="4" w:space="0" w:color="auto"/>
                          <w:right w:val="single" w:sz="4" w:space="0" w:color="auto"/>
                        </w:tcBorders>
                      </w:tcPr>
                      <w:p>
                        <w:pPr>
                          <w:widowControl w:val="0"/>
                          <w:suppressAutoHyphens/>
                          <w:rPr>
                            <w:szCs w:val="24"/>
                          </w:rPr>
                        </w:pPr>
                        <w:r>
                          <w:rPr>
                            <w:szCs w:val="24"/>
                          </w:rPr>
                          <w:t>4.1.5.</w:t>
                        </w:r>
                      </w:p>
                    </w:tc>
                    <w:tc>
                      <w:tcPr>
                        <w:tcW w:w="2458" w:type="dxa"/>
                        <w:vMerge w:val="restart"/>
                        <w:tcBorders>
                          <w:top w:val="single" w:sz="4" w:space="0" w:color="auto"/>
                          <w:left w:val="single" w:sz="4" w:space="0" w:color="auto"/>
                          <w:right w:val="single" w:sz="4" w:space="0" w:color="auto"/>
                        </w:tcBorders>
                      </w:tcPr>
                      <w:p>
                        <w:pPr>
                          <w:widowControl w:val="0"/>
                          <w:suppressAutoHyphens/>
                          <w:ind w:firstLine="13"/>
                          <w:jc w:val="both"/>
                          <w:rPr>
                            <w:szCs w:val="24"/>
                          </w:rPr>
                        </w:pPr>
                        <w:r>
                          <w:rPr>
                            <w:szCs w:val="24"/>
                          </w:rPr>
                          <w:t>Invazinių Lietuvoje rūšių sąraše esančių rūšių</w:t>
                        </w:r>
                        <w:r>
                          <w:rPr>
                            <w:szCs w:val="24"/>
                            <w:lang w:val="en-US"/>
                          </w:rPr>
                          <w:t xml:space="preserve"> </w:t>
                        </w:r>
                        <w:r>
                          <w:rPr>
                            <w:szCs w:val="24"/>
                          </w:rPr>
                          <w:t>gausos reguliavimo ir naikinimo darbai</w:t>
                        </w:r>
                      </w:p>
                    </w:tc>
                    <w:tc>
                      <w:tcPr>
                        <w:tcW w:w="4393" w:type="dxa"/>
                        <w:gridSpan w:val="2"/>
                        <w:tcBorders>
                          <w:top w:val="single" w:sz="4" w:space="0" w:color="auto"/>
                          <w:left w:val="single" w:sz="4" w:space="0" w:color="auto"/>
                          <w:right w:val="single" w:sz="4" w:space="0" w:color="auto"/>
                        </w:tcBorders>
                      </w:tcPr>
                      <w:p>
                        <w:pPr>
                          <w:widowControl w:val="0"/>
                          <w:suppressAutoHyphens/>
                          <w:ind w:firstLine="13"/>
                          <w:jc w:val="both"/>
                          <w:rPr>
                            <w:szCs w:val="24"/>
                          </w:rPr>
                        </w:pPr>
                        <w:r>
                          <w:rPr>
                            <w:szCs w:val="24"/>
                          </w:rPr>
                          <w:t>Asignavimų valdytojas – Radviliškio rajono savivaldybės administracija, atsakingas – Radviliškio miesto seniūnija. Vykdytojas – Radviliškio miesto seniūnija. Vykdymo pradžia – 2024 m. III ketv., pabaiga – 2024 m. IV ketv.</w:t>
                        </w:r>
                      </w:p>
                      <w:p>
                        <w:pPr>
                          <w:widowControl w:val="0"/>
                          <w:suppressAutoHyphens/>
                          <w:ind w:firstLine="13"/>
                          <w:jc w:val="both"/>
                          <w:rPr>
                            <w:rFonts w:eastAsia="Calibri"/>
                            <w:szCs w:val="24"/>
                          </w:rPr>
                        </w:pPr>
                        <w:r>
                          <w:rPr>
                            <w:rFonts w:eastAsia="Calibri"/>
                            <w:szCs w:val="24"/>
                          </w:rPr>
                          <w:t>Invazinio Sosnovskio barščio naikinimas šienaujant 208 arai: Šiaulių g., Žironų g., Perkūno g., Saulėtekio g., Radviliškio m.</w:t>
                        </w:r>
                      </w:p>
                      <w:p>
                        <w:pPr>
                          <w:spacing w:line="276" w:lineRule="auto"/>
                          <w:jc w:val="both"/>
                          <w:rPr>
                            <w:rFonts w:cs="Tahoma"/>
                            <w:szCs w:val="24"/>
                          </w:rPr>
                        </w:pPr>
                        <w:r>
                          <w:rPr>
                            <w:rFonts w:eastAsia="Calibri"/>
                            <w:szCs w:val="24"/>
                          </w:rPr>
                          <w:t>Invazinių augalų naikinimo darbai: uosialapio klevo atžalų naikinimas ir atliekų išvežimas Dariaus ir Girėno g. 117/142,</w:t>
                        </w:r>
                        <w:r>
                          <w:rPr>
                            <w:rFonts w:cs="Tahoma"/>
                            <w:szCs w:val="24"/>
                          </w:rPr>
                          <w:t xml:space="preserve"> Maironio g. 74/76, </w:t>
                        </w:r>
                        <w:r>
                          <w:rPr>
                            <w:rFonts w:eastAsia="Calibri"/>
                            <w:szCs w:val="24"/>
                          </w:rPr>
                          <w:t xml:space="preserve"> </w:t>
                        </w:r>
                        <w:r>
                          <w:rPr>
                            <w:rFonts w:cs="Tahoma"/>
                            <w:szCs w:val="24"/>
                          </w:rPr>
                          <w:t xml:space="preserve">Vydūno g. 4, Kaimynų g., </w:t>
                        </w:r>
                        <w:r>
                          <w:rPr>
                            <w:rFonts w:eastAsia="Calibri"/>
                            <w:szCs w:val="24"/>
                          </w:rPr>
                          <w:t xml:space="preserve">Radviliškio m. </w:t>
                        </w:r>
                      </w:p>
                    </w:tc>
                    <w:tc>
                      <w:tcPr>
                        <w:tcW w:w="1363" w:type="dxa"/>
                        <w:tcBorders>
                          <w:top w:val="single" w:sz="4" w:space="0" w:color="auto"/>
                          <w:left w:val="single" w:sz="4" w:space="0" w:color="auto"/>
                          <w:right w:val="single" w:sz="4" w:space="0" w:color="auto"/>
                        </w:tcBorders>
                      </w:tcPr>
                      <w:p>
                        <w:pPr>
                          <w:widowControl w:val="0"/>
                          <w:suppressAutoHyphens/>
                          <w:jc w:val="center"/>
                          <w:rPr>
                            <w:szCs w:val="24"/>
                          </w:rPr>
                        </w:pPr>
                        <w:r>
                          <w:rPr>
                            <w:szCs w:val="24"/>
                          </w:rPr>
                          <w:t>3 000</w:t>
                        </w:r>
                      </w:p>
                      <w:p>
                        <w:pPr>
                          <w:widowControl w:val="0"/>
                          <w:suppressAutoHyphens/>
                          <w:jc w:val="center"/>
                          <w:rPr>
                            <w:szCs w:val="24"/>
                          </w:rPr>
                        </w:pPr>
                      </w:p>
                      <w:p>
                        <w:pPr>
                          <w:widowControl w:val="0"/>
                          <w:suppressAutoHyphens/>
                          <w:jc w:val="center"/>
                          <w:rPr>
                            <w:szCs w:val="24"/>
                            <w:highlight w:val="yellow"/>
                          </w:rPr>
                        </w:pPr>
                      </w:p>
                    </w:tc>
                  </w:tr>
                  <w:tr>
                    <w:trPr>
                      <w:trHeight w:val="1660"/>
                    </w:trPr>
                    <w:tc>
                      <w:tcPr>
                        <w:tcW w:w="847" w:type="dxa"/>
                        <w:vMerge/>
                        <w:tcBorders>
                          <w:left w:val="single" w:sz="4" w:space="0" w:color="auto"/>
                          <w:right w:val="single" w:sz="4" w:space="0" w:color="auto"/>
                        </w:tcBorders>
                      </w:tcPr>
                      <w:p>
                        <w:pPr>
                          <w:widowControl w:val="0"/>
                          <w:suppressAutoHyphens/>
                          <w:rPr>
                            <w:szCs w:val="24"/>
                          </w:rPr>
                        </w:pPr>
                      </w:p>
                    </w:tc>
                    <w:tc>
                      <w:tcPr>
                        <w:tcW w:w="2458" w:type="dxa"/>
                        <w:vMerge/>
                        <w:tcBorders>
                          <w:left w:val="single" w:sz="4" w:space="0" w:color="auto"/>
                          <w:right w:val="single" w:sz="4" w:space="0" w:color="auto"/>
                        </w:tcBorders>
                      </w:tcPr>
                      <w:p>
                        <w:pPr>
                          <w:widowControl w:val="0"/>
                          <w:suppressAutoHyphens/>
                          <w:ind w:firstLine="13"/>
                          <w:jc w:val="both"/>
                          <w:rPr>
                            <w:szCs w:val="24"/>
                          </w:rPr>
                        </w:pPr>
                      </w:p>
                    </w:tc>
                    <w:tc>
                      <w:tcPr>
                        <w:tcW w:w="4393" w:type="dxa"/>
                        <w:gridSpan w:val="2"/>
                        <w:tcBorders>
                          <w:top w:val="single" w:sz="4" w:space="0" w:color="auto"/>
                          <w:left w:val="single" w:sz="4" w:space="0" w:color="auto"/>
                          <w:right w:val="single" w:sz="4" w:space="0" w:color="auto"/>
                        </w:tcBorders>
                      </w:tcPr>
                      <w:p>
                        <w:pPr>
                          <w:widowControl w:val="0"/>
                          <w:suppressAutoHyphens/>
                          <w:ind w:firstLine="13"/>
                          <w:jc w:val="both"/>
                          <w:rPr>
                            <w:szCs w:val="24"/>
                          </w:rPr>
                        </w:pPr>
                        <w:r>
                          <w:rPr>
                            <w:szCs w:val="24"/>
                          </w:rPr>
                          <w:t>Asignavimų valdytojas – Radviliškio rajono savivaldybės administracija, atsakingas – Skėmių seniūnija. Vykdytojas – Skėmių seniūnija. Vykdymo pradžia – 2024 m. I ketv., pabaiga – 2024 m. IV ketv.</w:t>
                        </w:r>
                      </w:p>
                      <w:p>
                        <w:pPr>
                          <w:widowControl w:val="0"/>
                          <w:suppressAutoHyphens/>
                          <w:ind w:firstLine="13"/>
                          <w:jc w:val="both"/>
                          <w:rPr>
                            <w:szCs w:val="24"/>
                          </w:rPr>
                        </w:pPr>
                        <w:r>
                          <w:rPr>
                            <w:szCs w:val="24"/>
                          </w:rPr>
                          <w:t>Lėšos nepanaudotos.</w:t>
                        </w:r>
                      </w:p>
                    </w:tc>
                    <w:tc>
                      <w:tcPr>
                        <w:tcW w:w="1363" w:type="dxa"/>
                        <w:tcBorders>
                          <w:left w:val="single" w:sz="4" w:space="0" w:color="auto"/>
                          <w:right w:val="single" w:sz="4" w:space="0" w:color="auto"/>
                        </w:tcBorders>
                      </w:tcPr>
                      <w:p>
                        <w:pPr>
                          <w:widowControl w:val="0"/>
                          <w:suppressAutoHyphens/>
                          <w:jc w:val="center"/>
                          <w:rPr>
                            <w:szCs w:val="24"/>
                          </w:rPr>
                        </w:pPr>
                        <w:r>
                          <w:rPr>
                            <w:szCs w:val="24"/>
                          </w:rPr>
                          <w:t>0</w:t>
                        </w:r>
                      </w:p>
                      <w:p>
                        <w:pPr>
                          <w:widowControl w:val="0"/>
                          <w:suppressAutoHyphens/>
                          <w:jc w:val="center"/>
                          <w:rPr>
                            <w:szCs w:val="24"/>
                            <w:highlight w:val="yellow"/>
                          </w:rPr>
                        </w:pPr>
                      </w:p>
                    </w:tc>
                  </w:tr>
                  <w:tr>
                    <w:trPr>
                      <w:trHeight w:val="278"/>
                    </w:trPr>
                    <w:tc>
                      <w:tcPr>
                        <w:tcW w:w="847" w:type="dxa"/>
                        <w:vMerge w:val="restart"/>
                      </w:tcPr>
                      <w:p>
                        <w:pPr>
                          <w:widowControl w:val="0"/>
                          <w:suppressAutoHyphens/>
                          <w:jc w:val="both"/>
                          <w:rPr>
                            <w:szCs w:val="24"/>
                          </w:rPr>
                        </w:pPr>
                        <w:r>
                          <w:rPr>
                            <w:szCs w:val="24"/>
                          </w:rPr>
                          <w:t>4.1.6.</w:t>
                        </w:r>
                      </w:p>
                    </w:tc>
                    <w:tc>
                      <w:tcPr>
                        <w:tcW w:w="2458" w:type="dxa"/>
                        <w:vMerge w:val="restart"/>
                        <w:tcBorders>
                          <w:left w:val="single" w:sz="4" w:space="0" w:color="auto"/>
                          <w:right w:val="single" w:sz="4" w:space="0" w:color="auto"/>
                        </w:tcBorders>
                      </w:tcPr>
                      <w:p>
                        <w:pPr>
                          <w:widowControl w:val="0"/>
                          <w:suppressAutoHyphens/>
                          <w:ind w:firstLine="13"/>
                          <w:jc w:val="both"/>
                          <w:rPr>
                            <w:szCs w:val="24"/>
                          </w:rPr>
                        </w:pPr>
                        <w:r>
                          <w:rPr>
                            <w:szCs w:val="24"/>
                          </w:rPr>
                          <w:t xml:space="preserve">Varninių paukščių  gausos reguliavimas</w:t>
                        </w:r>
                      </w:p>
                    </w:tc>
                    <w:tc>
                      <w:tcPr>
                        <w:tcW w:w="4393" w:type="dxa"/>
                        <w:gridSpan w:val="2"/>
                        <w:tcBorders>
                          <w:top w:val="single" w:sz="4" w:space="0" w:color="auto"/>
                          <w:left w:val="single" w:sz="4" w:space="0" w:color="auto"/>
                          <w:bottom w:val="single" w:sz="4" w:space="0" w:color="auto"/>
                          <w:right w:val="single" w:sz="4" w:space="0" w:color="auto"/>
                        </w:tcBorders>
                      </w:tcPr>
                      <w:p>
                        <w:pPr>
                          <w:widowControl w:val="0"/>
                          <w:suppressAutoHyphens/>
                          <w:ind w:firstLine="13"/>
                          <w:jc w:val="both"/>
                          <w:rPr>
                            <w:szCs w:val="24"/>
                          </w:rPr>
                        </w:pPr>
                        <w:r>
                          <w:rPr>
                            <w:szCs w:val="24"/>
                          </w:rPr>
                          <w:t>Asignavimų valdytojas – Radviliškio rajono savivaldybės administracija, atsakingas – Radviliškio miesto seniūnija. Vykdytojas – Radviliškio miesto seniūnija. Vykdymo pradžia – 2024 m. vasario mėn., pabaiga – 2024 m. vasario mėn.</w:t>
                        </w:r>
                      </w:p>
                      <w:p>
                        <w:pPr>
                          <w:widowControl w:val="0"/>
                          <w:suppressAutoHyphens/>
                          <w:ind w:firstLine="13"/>
                          <w:jc w:val="both"/>
                          <w:rPr>
                            <w:rFonts w:eastAsia="Calibri"/>
                            <w:szCs w:val="24"/>
                          </w:rPr>
                        </w:pPr>
                        <w:r>
                          <w:rPr>
                            <w:rFonts w:eastAsia="Calibri"/>
                            <w:szCs w:val="24"/>
                          </w:rPr>
                          <w:t>Varninių šeimos paukščių populiacijos gausos reguliavimas Radviliškio mieste: Gedimino g. 5, Gedimino g., 8, Vytauto g. (šunų vedžiojimo aikštelė).</w:t>
                        </w:r>
                      </w:p>
                      <w:p>
                        <w:pPr>
                          <w:widowControl w:val="0"/>
                          <w:suppressAutoHyphens/>
                          <w:ind w:firstLine="13"/>
                          <w:jc w:val="both"/>
                          <w:rPr>
                            <w:szCs w:val="24"/>
                          </w:rPr>
                        </w:pPr>
                        <w:r>
                          <w:rPr>
                            <w:szCs w:val="24"/>
                          </w:rPr>
                          <w:t>Buvo panaikinta 13 vnt. varninių paukščių lizdų.</w:t>
                        </w:r>
                      </w:p>
                    </w:tc>
                    <w:tc>
                      <w:tcPr>
                        <w:tcW w:w="1363" w:type="dxa"/>
                        <w:tcBorders>
                          <w:left w:val="single" w:sz="4" w:space="0" w:color="auto"/>
                          <w:right w:val="single" w:sz="4" w:space="0" w:color="auto"/>
                        </w:tcBorders>
                      </w:tcPr>
                      <w:p>
                        <w:pPr>
                          <w:widowControl w:val="0"/>
                          <w:suppressAutoHyphens/>
                          <w:jc w:val="center"/>
                          <w:rPr>
                            <w:szCs w:val="24"/>
                          </w:rPr>
                        </w:pPr>
                        <w:r>
                          <w:rPr>
                            <w:szCs w:val="24"/>
                          </w:rPr>
                          <w:t>315</w:t>
                        </w:r>
                      </w:p>
                      <w:p>
                        <w:pPr>
                          <w:widowControl w:val="0"/>
                          <w:suppressAutoHyphens/>
                          <w:jc w:val="center"/>
                          <w:rPr>
                            <w:szCs w:val="24"/>
                          </w:rPr>
                        </w:pPr>
                      </w:p>
                    </w:tc>
                  </w:tr>
                  <w:tr>
                    <w:trPr>
                      <w:trHeight w:val="277"/>
                    </w:trPr>
                    <w:tc>
                      <w:tcPr>
                        <w:tcW w:w="847" w:type="dxa"/>
                        <w:vMerge/>
                      </w:tcPr>
                      <w:p>
                        <w:pPr>
                          <w:widowControl w:val="0"/>
                          <w:suppressAutoHyphens/>
                          <w:jc w:val="both"/>
                          <w:rPr>
                            <w:szCs w:val="24"/>
                          </w:rPr>
                        </w:pPr>
                      </w:p>
                    </w:tc>
                    <w:tc>
                      <w:tcPr>
                        <w:tcW w:w="2458" w:type="dxa"/>
                        <w:vMerge/>
                        <w:tcBorders>
                          <w:left w:val="single" w:sz="4" w:space="0" w:color="auto"/>
                          <w:bottom w:val="single" w:sz="4" w:space="0" w:color="auto"/>
                          <w:right w:val="single" w:sz="4" w:space="0" w:color="auto"/>
                        </w:tcBorders>
                      </w:tcPr>
                      <w:p>
                        <w:pPr>
                          <w:widowControl w:val="0"/>
                          <w:suppressAutoHyphens/>
                          <w:ind w:firstLine="13"/>
                          <w:jc w:val="both"/>
                          <w:rPr>
                            <w:szCs w:val="24"/>
                          </w:rPr>
                        </w:pPr>
                      </w:p>
                    </w:tc>
                    <w:tc>
                      <w:tcPr>
                        <w:tcW w:w="4393" w:type="dxa"/>
                        <w:gridSpan w:val="2"/>
                        <w:tcBorders>
                          <w:top w:val="single" w:sz="4" w:space="0" w:color="auto"/>
                          <w:left w:val="single" w:sz="4" w:space="0" w:color="auto"/>
                          <w:bottom w:val="single" w:sz="4" w:space="0" w:color="auto"/>
                          <w:right w:val="single" w:sz="4" w:space="0" w:color="auto"/>
                        </w:tcBorders>
                      </w:tcPr>
                      <w:p>
                        <w:pPr>
                          <w:widowControl w:val="0"/>
                          <w:suppressAutoHyphens/>
                          <w:ind w:firstLine="13"/>
                          <w:jc w:val="both"/>
                          <w:rPr>
                            <w:rFonts w:ascii="TimesLT" w:hAnsi="TimesLT"/>
                            <w:szCs w:val="24"/>
                          </w:rPr>
                        </w:pPr>
                        <w:r>
                          <w:rPr>
                            <w:szCs w:val="24"/>
                          </w:rPr>
                          <w:t xml:space="preserve">Asignavimų valdytojas – Radviliškio rajono savivaldybės administracija, atsakingas – Šeduvos miesto seniūnija. </w:t>
                        </w:r>
                        <w:r>
                          <w:rPr>
                            <w:rFonts w:ascii="TimesLT" w:hAnsi="TimesLT"/>
                            <w:szCs w:val="24"/>
                          </w:rPr>
                          <w:t>Vykdytojas – Šeduvos miesto seniūnija. Vykdymo pradžia 2024 m. kovo 26 d. – pabaiga – 2024 m. lapkričio 28 d.:</w:t>
                        </w:r>
                      </w:p>
                      <w:p>
                        <w:pPr>
                          <w:ind w:firstLine="13"/>
                          <w:jc w:val="both"/>
                          <w:rPr>
                            <w:szCs w:val="24"/>
                          </w:rPr>
                        </w:pPr>
                        <w:r>
                          <w:rPr>
                            <w:szCs w:val="24"/>
                            <w:lang w:val="en-US"/>
                          </w:rPr>
                          <w:t>1</w:t>
                        </w:r>
                        <w:r>
                          <w:rPr>
                            <w:szCs w:val="24"/>
                          </w:rPr>
                          <w:t xml:space="preserve">. Varnų lizdų ardymas Šeduvos miesto parke naudojant autobokštelį – 2024-03-26, </w:t>
                        </w:r>
                        <w:r>
                          <w:rPr>
                            <w:bCs/>
                            <w:szCs w:val="24"/>
                          </w:rPr>
                          <w:t>varninių paukščių lizdų iškėlimas – 150 vnt.</w:t>
                        </w:r>
                        <w:r>
                          <w:rPr>
                            <w:szCs w:val="24"/>
                          </w:rPr>
                          <w:t xml:space="preserve">  </w:t>
                        </w:r>
                      </w:p>
                      <w:p>
                        <w:pPr>
                          <w:widowControl w:val="0"/>
                          <w:suppressAutoHyphens/>
                          <w:ind w:firstLine="13"/>
                          <w:jc w:val="both"/>
                          <w:rPr>
                            <w:szCs w:val="24"/>
                          </w:rPr>
                        </w:pPr>
                        <w:r>
                          <w:rPr>
                            <w:szCs w:val="24"/>
                          </w:rPr>
                          <w:t>2. Varnų lizdų ardymas Šeduvos miesto parke ir Pavartyčių k. naudojant autobokštelį – 2024-11-28,</w:t>
                        </w:r>
                        <w:r>
                          <w:rPr>
                            <w:bCs/>
                            <w:szCs w:val="24"/>
                          </w:rPr>
                          <w:t xml:space="preserve"> varninių paukščių lizdų iškėlimas – 198 vnt.</w:t>
                        </w:r>
                      </w:p>
                    </w:tc>
                    <w:tc>
                      <w:tcPr>
                        <w:tcW w:w="1363" w:type="dxa"/>
                        <w:tcBorders>
                          <w:left w:val="single" w:sz="4" w:space="0" w:color="auto"/>
                          <w:bottom w:val="single" w:sz="4" w:space="0" w:color="auto"/>
                          <w:right w:val="single" w:sz="4" w:space="0" w:color="auto"/>
                        </w:tcBorders>
                      </w:tcPr>
                      <w:p>
                        <w:pPr>
                          <w:widowControl w:val="0"/>
                          <w:suppressAutoHyphens/>
                          <w:jc w:val="center"/>
                          <w:rPr>
                            <w:szCs w:val="24"/>
                          </w:rPr>
                        </w:pPr>
                        <w:r>
                          <w:rPr>
                            <w:szCs w:val="24"/>
                          </w:rPr>
                          <w:t>987</w:t>
                        </w:r>
                      </w:p>
                      <w:p>
                        <w:pPr>
                          <w:widowControl w:val="0"/>
                          <w:suppressAutoHyphens/>
                          <w:jc w:val="center"/>
                          <w:rPr>
                            <w:szCs w:val="24"/>
                          </w:rPr>
                        </w:pPr>
                      </w:p>
                    </w:tc>
                  </w:tr>
                  <w:tr>
                    <w:tc>
                      <w:tcPr>
                        <w:tcW w:w="847" w:type="dxa"/>
                      </w:tcPr>
                      <w:p>
                        <w:pPr>
                          <w:widowControl w:val="0"/>
                          <w:suppressAutoHyphens/>
                          <w:jc w:val="both"/>
                          <w:rPr>
                            <w:szCs w:val="24"/>
                          </w:rPr>
                        </w:pPr>
                        <w:r>
                          <w:rPr>
                            <w:szCs w:val="24"/>
                          </w:rPr>
                          <w:t>4.2.</w:t>
                        </w:r>
                      </w:p>
                    </w:tc>
                    <w:tc>
                      <w:tcPr>
                        <w:tcW w:w="6851" w:type="dxa"/>
                        <w:gridSpan w:val="3"/>
                      </w:tcPr>
                      <w:p>
                        <w:pPr>
                          <w:widowControl w:val="0"/>
                          <w:suppressAutoHyphens/>
                          <w:ind w:firstLine="13"/>
                          <w:jc w:val="both"/>
                          <w:rPr>
                            <w:b/>
                            <w:szCs w:val="24"/>
                          </w:rPr>
                        </w:pPr>
                        <w:r>
                          <w:rPr>
                            <w:b/>
                            <w:szCs w:val="24"/>
                          </w:rPr>
                          <w:t>Atliekų tvarkymo infrastruktūros plėtros priemonės</w:t>
                        </w:r>
                      </w:p>
                    </w:tc>
                    <w:tc>
                      <w:tcPr>
                        <w:tcW w:w="1363" w:type="dxa"/>
                      </w:tcPr>
                      <w:p>
                        <w:pPr>
                          <w:widowControl w:val="0"/>
                          <w:suppressAutoHyphens/>
                          <w:jc w:val="center"/>
                          <w:rPr>
                            <w:szCs w:val="24"/>
                          </w:rPr>
                        </w:pPr>
                      </w:p>
                    </w:tc>
                  </w:tr>
                  <w:tr>
                    <w:trPr>
                      <w:trHeight w:val="230"/>
                    </w:trPr>
                    <w:tc>
                      <w:tcPr>
                        <w:tcW w:w="847" w:type="dxa"/>
                      </w:tcPr>
                      <w:p>
                        <w:pPr>
                          <w:widowControl w:val="0"/>
                          <w:suppressAutoHyphens/>
                          <w:jc w:val="both"/>
                          <w:rPr>
                            <w:szCs w:val="24"/>
                          </w:rPr>
                        </w:pPr>
                        <w:r>
                          <w:rPr>
                            <w:szCs w:val="24"/>
                          </w:rPr>
                          <w:t>4.2.1.</w:t>
                        </w:r>
                      </w:p>
                    </w:tc>
                    <w:tc>
                      <w:tcPr>
                        <w:tcW w:w="2458" w:type="dxa"/>
                      </w:tcPr>
                      <w:p>
                        <w:pPr>
                          <w:rPr>
                            <w:sz w:val="8"/>
                            <w:szCs w:val="8"/>
                          </w:rPr>
                        </w:pPr>
                      </w:p>
                      <w:p>
                        <w:pPr>
                          <w:jc w:val="both"/>
                          <w:rPr>
                            <w:szCs w:val="24"/>
                            <w:lang w:eastAsia="lt-LT"/>
                          </w:rPr>
                        </w:pPr>
                        <w:r>
                          <w:rPr>
                            <w:szCs w:val="24"/>
                            <w:lang w:eastAsia="lt-LT"/>
                          </w:rPr>
                          <w:t>Atliekų surinkimo iš viešųjų teritorijų priemonių (šiukšlių dėžės) įsigijimas ir įrengimas;</w:t>
                        </w:r>
                      </w:p>
                    </w:tc>
                    <w:tc>
                      <w:tcPr>
                        <w:tcW w:w="4393" w:type="dxa"/>
                        <w:gridSpan w:val="2"/>
                      </w:tcPr>
                      <w:p>
                        <w:pPr>
                          <w:widowControl w:val="0"/>
                          <w:suppressAutoHyphens/>
                          <w:ind w:firstLine="13"/>
                          <w:jc w:val="both"/>
                          <w:rPr>
                            <w:szCs w:val="24"/>
                          </w:rPr>
                        </w:pPr>
                        <w:r>
                          <w:rPr>
                            <w:szCs w:val="24"/>
                          </w:rPr>
                          <w:t xml:space="preserve">Asignavimų valdytojas – Radviliškio rajono savivaldybės administracija, atsakingas – </w:t>
                        </w:r>
                        <w:r>
                          <w:rPr>
                            <w:szCs w:val="24"/>
                            <w:lang w:eastAsia="lt-LT"/>
                          </w:rPr>
                          <w:t>Radviliškio seniūnija</w:t>
                        </w:r>
                        <w:r>
                          <w:rPr>
                            <w:szCs w:val="24"/>
                          </w:rPr>
                          <w:t xml:space="preserve">. Vykdytojas – </w:t>
                        </w:r>
                        <w:r>
                          <w:rPr>
                            <w:szCs w:val="24"/>
                            <w:lang w:eastAsia="lt-LT"/>
                          </w:rPr>
                          <w:t>Radviliškio seniūnija</w:t>
                        </w:r>
                        <w:r>
                          <w:rPr>
                            <w:szCs w:val="24"/>
                          </w:rPr>
                          <w:t>. Vykdymo pradžia – 2024 m. gegužės 20 d., pabaiga – 2024 m. gruodžio 5 d.</w:t>
                        </w:r>
                      </w:p>
                      <w:p>
                        <w:pPr>
                          <w:widowControl w:val="0"/>
                          <w:suppressAutoHyphens/>
                          <w:ind w:firstLine="13"/>
                          <w:jc w:val="both"/>
                          <w:rPr>
                            <w:szCs w:val="24"/>
                          </w:rPr>
                        </w:pPr>
                        <w:r>
                          <w:rPr>
                            <w:szCs w:val="24"/>
                          </w:rPr>
                          <w:t>Šiukšliadėžių įsigijimas ir įrengimas Radviliškio seniūnijos Karčemų, Linkaičių, Miežaičių, Kutiškių, Šniūraičių kaimuose.</w:t>
                        </w:r>
                      </w:p>
                      <w:p>
                        <w:pPr>
                          <w:widowControl w:val="0"/>
                          <w:suppressAutoHyphens/>
                          <w:ind w:firstLine="13"/>
                          <w:jc w:val="both"/>
                          <w:rPr>
                            <w:szCs w:val="24"/>
                          </w:rPr>
                        </w:pPr>
                        <w:r>
                          <w:rPr>
                            <w:szCs w:val="24"/>
                          </w:rPr>
                          <w:t>Įsigyta ir įrengta 13 vnt. šiuškliadėžių.</w:t>
                          <w:tab/>
                        </w:r>
                      </w:p>
                    </w:tc>
                    <w:tc>
                      <w:tcPr>
                        <w:tcW w:w="1363" w:type="dxa"/>
                      </w:tcPr>
                      <w:p>
                        <w:pPr>
                          <w:widowControl w:val="0"/>
                          <w:suppressAutoHyphens/>
                          <w:jc w:val="center"/>
                          <w:rPr>
                            <w:rFonts w:cs="Tahoma"/>
                            <w:szCs w:val="24"/>
                          </w:rPr>
                        </w:pPr>
                        <w:r>
                          <w:rPr>
                            <w:rFonts w:cs="Tahoma"/>
                            <w:szCs w:val="24"/>
                          </w:rPr>
                          <w:t>597</w:t>
                        </w:r>
                      </w:p>
                      <w:p>
                        <w:pPr>
                          <w:widowControl w:val="0"/>
                          <w:suppressAutoHyphens/>
                          <w:jc w:val="center"/>
                          <w:rPr>
                            <w:szCs w:val="24"/>
                          </w:rPr>
                        </w:pPr>
                      </w:p>
                    </w:tc>
                  </w:tr>
                  <w:tr>
                    <w:trPr>
                      <w:trHeight w:val="230"/>
                    </w:trPr>
                    <w:tc>
                      <w:tcPr>
                        <w:tcW w:w="847" w:type="dxa"/>
                      </w:tcPr>
                      <w:p>
                        <w:pPr>
                          <w:widowControl w:val="0"/>
                          <w:suppressAutoHyphens/>
                          <w:jc w:val="both"/>
                          <w:rPr>
                            <w:szCs w:val="24"/>
                          </w:rPr>
                        </w:pPr>
                        <w:r>
                          <w:rPr>
                            <w:szCs w:val="24"/>
                          </w:rPr>
                          <w:t>4.3</w:t>
                        </w:r>
                      </w:p>
                    </w:tc>
                    <w:tc>
                      <w:tcPr>
                        <w:tcW w:w="6851" w:type="dxa"/>
                        <w:gridSpan w:val="3"/>
                      </w:tcPr>
                      <w:p>
                        <w:pPr>
                          <w:widowControl w:val="0"/>
                          <w:suppressAutoHyphens/>
                          <w:ind w:firstLine="13"/>
                          <w:jc w:val="both"/>
                          <w:rPr>
                            <w:szCs w:val="24"/>
                          </w:rPr>
                        </w:pPr>
                        <w:r>
                          <w:rPr>
                            <w:b/>
                            <w:szCs w:val="24"/>
                          </w:rPr>
                          <w:t>Atliekų, kurių turėtojo nustatyti neįmanoma arba kuris nebeegzistuoja, tvarkymo priemonės</w:t>
                        </w:r>
                      </w:p>
                    </w:tc>
                    <w:tc>
                      <w:tcPr>
                        <w:tcW w:w="1363" w:type="dxa"/>
                      </w:tcPr>
                      <w:p>
                        <w:pPr>
                          <w:widowControl w:val="0"/>
                          <w:suppressAutoHyphens/>
                          <w:jc w:val="center"/>
                          <w:rPr>
                            <w:szCs w:val="24"/>
                            <w:highlight w:val="yellow"/>
                          </w:rPr>
                        </w:pPr>
                      </w:p>
                    </w:tc>
                  </w:tr>
                  <w:tr>
                    <w:trPr>
                      <w:trHeight w:val="2215"/>
                    </w:trPr>
                    <w:tc>
                      <w:tcPr>
                        <w:tcW w:w="847" w:type="dxa"/>
                      </w:tcPr>
                      <w:p>
                        <w:pPr>
                          <w:widowControl w:val="0"/>
                          <w:suppressAutoHyphens/>
                          <w:jc w:val="both"/>
                          <w:rPr>
                            <w:szCs w:val="24"/>
                          </w:rPr>
                        </w:pPr>
                        <w:r>
                          <w:rPr>
                            <w:szCs w:val="24"/>
                          </w:rPr>
                          <w:t>4.3.1.</w:t>
                        </w:r>
                      </w:p>
                    </w:tc>
                    <w:tc>
                      <w:tcPr>
                        <w:tcW w:w="2458" w:type="dxa"/>
                      </w:tcPr>
                      <w:p>
                        <w:pPr>
                          <w:rPr>
                            <w:sz w:val="8"/>
                            <w:szCs w:val="8"/>
                          </w:rPr>
                        </w:pPr>
                      </w:p>
                      <w:p>
                        <w:pPr>
                          <w:ind w:firstLine="62"/>
                          <w:jc w:val="both"/>
                          <w:rPr>
                            <w:szCs w:val="24"/>
                            <w:lang w:eastAsia="lt-LT"/>
                          </w:rPr>
                        </w:pPr>
                        <w:r>
                          <w:rPr>
                            <w:szCs w:val="24"/>
                            <w:lang w:eastAsia="lt-LT"/>
                          </w:rPr>
                          <w:t>Surinkimo, transportavimo, perdirbimo, kitokio naudojimo ar šalinimo darbai</w:t>
                        </w:r>
                      </w:p>
                    </w:tc>
                    <w:tc>
                      <w:tcPr>
                        <w:tcW w:w="4393"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 Vykdymo pradžia – 2023 m. I ketv., pabaiga – 2023 m. IV ketv. (Vykdoma esant užterštai teritorijai, pateikus paraišką).</w:t>
                        </w:r>
                      </w:p>
                      <w:p>
                        <w:pPr>
                          <w:widowControl w:val="0"/>
                          <w:suppressAutoHyphens/>
                          <w:ind w:firstLine="13"/>
                          <w:jc w:val="both"/>
                          <w:rPr>
                            <w:szCs w:val="24"/>
                          </w:rPr>
                        </w:pPr>
                        <w:r>
                          <w:rPr>
                            <w:szCs w:val="24"/>
                          </w:rPr>
                          <w:t xml:space="preserve">Nebuvo pateikta paraiškų. </w:t>
                        </w:r>
                      </w:p>
                    </w:tc>
                    <w:tc>
                      <w:tcPr>
                        <w:tcW w:w="1363" w:type="dxa"/>
                      </w:tcPr>
                      <w:p>
                        <w:pPr>
                          <w:widowControl w:val="0"/>
                          <w:suppressAutoHyphens/>
                          <w:ind w:firstLine="312"/>
                          <w:jc w:val="center"/>
                          <w:rPr>
                            <w:szCs w:val="24"/>
                          </w:rPr>
                        </w:pPr>
                        <w:r>
                          <w:rPr>
                            <w:szCs w:val="24"/>
                          </w:rPr>
                          <w:t>0</w:t>
                        </w:r>
                      </w:p>
                      <w:p>
                        <w:pPr>
                          <w:widowControl w:val="0"/>
                          <w:suppressAutoHyphens/>
                          <w:ind w:firstLine="312"/>
                          <w:jc w:val="center"/>
                          <w:rPr>
                            <w:szCs w:val="24"/>
                            <w:highlight w:val="yellow"/>
                          </w:rPr>
                        </w:pPr>
                      </w:p>
                    </w:tc>
                  </w:tr>
                  <w:tr>
                    <w:trPr>
                      <w:trHeight w:val="414"/>
                    </w:trPr>
                    <w:tc>
                      <w:tcPr>
                        <w:tcW w:w="847" w:type="dxa"/>
                        <w:vMerge w:val="restart"/>
                      </w:tcPr>
                      <w:p>
                        <w:pPr>
                          <w:widowControl w:val="0"/>
                          <w:suppressAutoHyphens/>
                          <w:jc w:val="both"/>
                          <w:rPr>
                            <w:szCs w:val="24"/>
                          </w:rPr>
                        </w:pPr>
                        <w:r>
                          <w:rPr>
                            <w:szCs w:val="24"/>
                          </w:rPr>
                          <w:t>4.3.2.</w:t>
                        </w:r>
                      </w:p>
                    </w:tc>
                    <w:tc>
                      <w:tcPr>
                        <w:tcW w:w="2458" w:type="dxa"/>
                        <w:vMerge w:val="restart"/>
                      </w:tcPr>
                      <w:p>
                        <w:pPr>
                          <w:rPr>
                            <w:sz w:val="8"/>
                            <w:szCs w:val="8"/>
                          </w:rPr>
                        </w:pPr>
                      </w:p>
                      <w:p>
                        <w:pPr>
                          <w:jc w:val="both"/>
                          <w:rPr>
                            <w:szCs w:val="24"/>
                            <w:lang w:eastAsia="lt-LT"/>
                          </w:rPr>
                        </w:pPr>
                        <w:r>
                          <w:rPr>
                            <w:szCs w:val="24"/>
                            <w:lang w:eastAsia="lt-LT"/>
                          </w:rPr>
                          <w:t>Atliekomis užterštos teritorijos išvalymo ir sutvarkymo darbai</w:t>
                        </w:r>
                      </w:p>
                    </w:tc>
                    <w:tc>
                      <w:tcPr>
                        <w:tcW w:w="4393"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 Vykdymo pradžia – 2024 m. I ketv., pabaiga – 2024 m. IV ketv. (Vykdoma esant užterštai teritorijai, pateikus paraišką).</w:t>
                        </w:r>
                      </w:p>
                      <w:p>
                        <w:pPr>
                          <w:widowControl w:val="0"/>
                          <w:suppressAutoHyphens/>
                          <w:ind w:firstLine="13"/>
                          <w:jc w:val="both"/>
                          <w:rPr>
                            <w:szCs w:val="24"/>
                          </w:rPr>
                        </w:pPr>
                        <w:r>
                          <w:rPr>
                            <w:szCs w:val="24"/>
                          </w:rPr>
                          <w:t>Nebuvo pateikta paraiškų.</w:t>
                        </w:r>
                      </w:p>
                    </w:tc>
                    <w:tc>
                      <w:tcPr>
                        <w:tcW w:w="1363" w:type="dxa"/>
                      </w:tcPr>
                      <w:p>
                        <w:pPr>
                          <w:widowControl w:val="0"/>
                          <w:suppressAutoHyphens/>
                          <w:jc w:val="center"/>
                          <w:rPr>
                            <w:szCs w:val="24"/>
                          </w:rPr>
                        </w:pPr>
                        <w:r>
                          <w:rPr>
                            <w:szCs w:val="24"/>
                          </w:rPr>
                          <w:t>0</w:t>
                        </w:r>
                      </w:p>
                      <w:p>
                        <w:pPr>
                          <w:widowControl w:val="0"/>
                          <w:suppressAutoHyphens/>
                          <w:jc w:val="center"/>
                          <w:rPr>
                            <w:szCs w:val="24"/>
                            <w:highlight w:val="yellow"/>
                          </w:rPr>
                        </w:pPr>
                      </w:p>
                    </w:tc>
                  </w:tr>
                  <w:tr>
                    <w:trPr>
                      <w:trHeight w:val="1102"/>
                    </w:trPr>
                    <w:tc>
                      <w:tcPr>
                        <w:tcW w:w="847" w:type="dxa"/>
                        <w:vMerge/>
                      </w:tcPr>
                      <w:p>
                        <w:pPr>
                          <w:widowControl w:val="0"/>
                          <w:suppressAutoHyphens/>
                          <w:jc w:val="both"/>
                          <w:rPr>
                            <w:szCs w:val="24"/>
                          </w:rPr>
                        </w:pPr>
                      </w:p>
                    </w:tc>
                    <w:tc>
                      <w:tcPr>
                        <w:tcW w:w="2458" w:type="dxa"/>
                        <w:vMerge/>
                      </w:tcPr>
                      <w:p>
                        <w:pPr>
                          <w:rPr>
                            <w:sz w:val="8"/>
                            <w:szCs w:val="8"/>
                          </w:rPr>
                        </w:pPr>
                      </w:p>
                      <w:p>
                        <w:pPr>
                          <w:jc w:val="both"/>
                          <w:rPr>
                            <w:szCs w:val="24"/>
                            <w:lang w:eastAsia="lt-LT"/>
                          </w:rPr>
                        </w:pPr>
                      </w:p>
                    </w:tc>
                    <w:tc>
                      <w:tcPr>
                        <w:tcW w:w="4393" w:type="dxa"/>
                        <w:gridSpan w:val="2"/>
                      </w:tcPr>
                      <w:p>
                        <w:pPr>
                          <w:widowControl w:val="0"/>
                          <w:suppressAutoHyphens/>
                          <w:ind w:firstLine="13"/>
                          <w:jc w:val="both"/>
                          <w:rPr>
                            <w:szCs w:val="24"/>
                          </w:rPr>
                        </w:pPr>
                        <w:r>
                          <w:rPr>
                            <w:szCs w:val="24"/>
                          </w:rPr>
                          <w:t>Asignavimų valdytojas – Radviliškio rajono savivaldybės administracija, atsakingas – Grinkiškio seniūnija. Vykdytojas – Grinkiškio seniūnija. Vykdymo pradžia – 2024 m. III ketv., pabaiga – 2024 m. IV ketv.</w:t>
                        </w:r>
                      </w:p>
                      <w:p>
                        <w:pPr>
                          <w:widowControl w:val="0"/>
                          <w:suppressAutoHyphens/>
                          <w:ind w:firstLine="13"/>
                          <w:jc w:val="both"/>
                          <w:rPr>
                            <w:szCs w:val="24"/>
                            <w:lang w:eastAsia="lt-LT"/>
                          </w:rPr>
                        </w:pPr>
                        <w:r>
                          <w:rPr>
                            <w:szCs w:val="24"/>
                            <w:lang w:eastAsia="lt-LT"/>
                          </w:rPr>
                          <w:t xml:space="preserve">Bešeimininkių atliekų transportavimas ir krovos darbai Kairėnų k. Grinkiškio sen. perkant paslaugas. </w:t>
                        </w:r>
                      </w:p>
                    </w:tc>
                    <w:tc>
                      <w:tcPr>
                        <w:tcW w:w="1363" w:type="dxa"/>
                      </w:tcPr>
                      <w:p>
                        <w:pPr>
                          <w:widowControl w:val="0"/>
                          <w:suppressAutoHyphens/>
                          <w:jc w:val="center"/>
                          <w:rPr>
                            <w:szCs w:val="24"/>
                            <w:lang w:val="en-US"/>
                          </w:rPr>
                        </w:pPr>
                        <w:r>
                          <w:rPr>
                            <w:szCs w:val="24"/>
                            <w:lang w:val="en-US"/>
                          </w:rPr>
                          <w:t>1 000</w:t>
                        </w:r>
                      </w:p>
                      <w:p>
                        <w:pPr>
                          <w:widowControl w:val="0"/>
                          <w:suppressAutoHyphens/>
                          <w:jc w:val="center"/>
                          <w:rPr>
                            <w:szCs w:val="24"/>
                            <w:highlight w:val="yellow"/>
                          </w:rPr>
                        </w:pPr>
                      </w:p>
                    </w:tc>
                  </w:tr>
                  <w:tr>
                    <w:tc>
                      <w:tcPr>
                        <w:tcW w:w="847" w:type="dxa"/>
                      </w:tcPr>
                      <w:p>
                        <w:pPr>
                          <w:widowControl w:val="0"/>
                          <w:suppressAutoHyphens/>
                          <w:jc w:val="both"/>
                          <w:rPr>
                            <w:szCs w:val="24"/>
                          </w:rPr>
                        </w:pPr>
                        <w:r>
                          <w:rPr>
                            <w:szCs w:val="24"/>
                          </w:rPr>
                          <w:t>4.4.</w:t>
                        </w:r>
                      </w:p>
                    </w:tc>
                    <w:tc>
                      <w:tcPr>
                        <w:tcW w:w="6851" w:type="dxa"/>
                        <w:gridSpan w:val="3"/>
                      </w:tcPr>
                      <w:p>
                        <w:pPr>
                          <w:widowControl w:val="0"/>
                          <w:suppressAutoHyphens/>
                          <w:ind w:firstLine="13"/>
                          <w:jc w:val="both"/>
                          <w:rPr>
                            <w:b/>
                            <w:szCs w:val="24"/>
                          </w:rPr>
                        </w:pPr>
                        <w:r>
                          <w:rPr>
                            <w:b/>
                            <w:szCs w:val="24"/>
                          </w:rPr>
                          <w:t>Aplinkos monitoringo, prevencinės, aplinkos atkūrimo priemonės</w:t>
                        </w:r>
                      </w:p>
                    </w:tc>
                    <w:tc>
                      <w:tcPr>
                        <w:tcW w:w="1363" w:type="dxa"/>
                      </w:tcPr>
                      <w:p>
                        <w:pPr>
                          <w:widowControl w:val="0"/>
                          <w:suppressAutoHyphens/>
                          <w:jc w:val="center"/>
                          <w:rPr>
                            <w:szCs w:val="24"/>
                          </w:rPr>
                        </w:pPr>
                      </w:p>
                    </w:tc>
                  </w:tr>
                  <w:tr>
                    <w:trPr>
                      <w:trHeight w:val="690"/>
                    </w:trPr>
                    <w:tc>
                      <w:tcPr>
                        <w:tcW w:w="847" w:type="dxa"/>
                      </w:tcPr>
                      <w:p>
                        <w:pPr>
                          <w:widowControl w:val="0"/>
                          <w:suppressAutoHyphens/>
                          <w:jc w:val="both"/>
                          <w:rPr>
                            <w:szCs w:val="24"/>
                          </w:rPr>
                        </w:pPr>
                        <w:r>
                          <w:rPr>
                            <w:szCs w:val="24"/>
                          </w:rPr>
                          <w:t>4.4.1.</w:t>
                        </w:r>
                      </w:p>
                    </w:tc>
                    <w:tc>
                      <w:tcPr>
                        <w:tcW w:w="2458" w:type="dxa"/>
                      </w:tcPr>
                      <w:p>
                        <w:pPr>
                          <w:widowControl w:val="0"/>
                          <w:suppressAutoHyphens/>
                          <w:ind w:firstLine="13"/>
                          <w:jc w:val="both"/>
                          <w:rPr>
                            <w:szCs w:val="24"/>
                          </w:rPr>
                        </w:pPr>
                        <w:r>
                          <w:rPr>
                            <w:szCs w:val="24"/>
                          </w:rPr>
                          <w:t>Radviliškio rajono savivaldybės aplinkos monitoringo programos parengtos pagal Bendruosius savivaldybių aplinkos monitoringo nuostatus įgyvendinimas</w:t>
                        </w:r>
                      </w:p>
                    </w:tc>
                    <w:tc>
                      <w:tcPr>
                        <w:tcW w:w="4393" w:type="dxa"/>
                        <w:gridSpan w:val="2"/>
                      </w:tcPr>
                      <w:p>
                        <w:pPr>
                          <w:widowControl w:val="0"/>
                          <w:suppressAutoHyphens/>
                          <w:jc w:val="both"/>
                          <w:rPr>
                            <w:szCs w:val="24"/>
                          </w:rPr>
                        </w:pPr>
                        <w:r>
                          <w:rPr>
                            <w:szCs w:val="24"/>
                          </w:rPr>
                          <w:t>Asignavimų valdytojas – Radviliškio rajono savivaldybės administracija, atsakingas – Žemės ūkio skyrius. Vykdytojas – VDU ŽŪA (atrinktas per viešąjį pirkimą). Vykdymo pradžia – 2024 m. I ketv., pabaiga – 2026 m. IV ketv. Metinė aplinkos monitoringo ataskaita (rašytine ir elektronine forma) Tiekėjo pateikiama Radviliškio rajono savivaldybės administracijai ir Aplinkos apsaugos agentūrai per 1 mėn. nuo kiekvienų metų IV ketvirčio pabaigos.</w:t>
                        </w:r>
                      </w:p>
                    </w:tc>
                    <w:tc>
                      <w:tcPr>
                        <w:tcW w:w="1363" w:type="dxa"/>
                      </w:tcPr>
                      <w:p>
                        <w:pPr>
                          <w:widowControl w:val="0"/>
                          <w:suppressAutoHyphens/>
                          <w:jc w:val="center"/>
                          <w:rPr>
                            <w:szCs w:val="24"/>
                          </w:rPr>
                        </w:pPr>
                        <w:r>
                          <w:rPr>
                            <w:szCs w:val="24"/>
                          </w:rPr>
                          <w:t>40 000</w:t>
                        </w:r>
                      </w:p>
                      <w:p>
                        <w:pPr>
                          <w:widowControl w:val="0"/>
                          <w:suppressAutoHyphens/>
                          <w:jc w:val="center"/>
                          <w:rPr>
                            <w:szCs w:val="24"/>
                          </w:rPr>
                        </w:pPr>
                      </w:p>
                      <w:p>
                        <w:pPr>
                          <w:widowControl w:val="0"/>
                          <w:suppressAutoHyphens/>
                          <w:jc w:val="center"/>
                          <w:rPr>
                            <w:szCs w:val="24"/>
                          </w:rPr>
                        </w:pPr>
                      </w:p>
                      <w:p>
                        <w:pPr>
                          <w:widowControl w:val="0"/>
                          <w:suppressAutoHyphens/>
                          <w:jc w:val="center"/>
                          <w:rPr>
                            <w:szCs w:val="24"/>
                            <w:highlight w:val="yellow"/>
                          </w:rPr>
                        </w:pPr>
                      </w:p>
                    </w:tc>
                  </w:tr>
                  <w:tr>
                    <w:tc>
                      <w:tcPr>
                        <w:tcW w:w="847" w:type="dxa"/>
                      </w:tcPr>
                      <w:p>
                        <w:pPr>
                          <w:widowControl w:val="0"/>
                          <w:suppressAutoHyphens/>
                          <w:jc w:val="both"/>
                          <w:rPr>
                            <w:szCs w:val="24"/>
                          </w:rPr>
                        </w:pPr>
                        <w:r>
                          <w:rPr>
                            <w:szCs w:val="24"/>
                          </w:rPr>
                          <w:t>4.4.2.</w:t>
                        </w:r>
                      </w:p>
                    </w:tc>
                    <w:tc>
                      <w:tcPr>
                        <w:tcW w:w="2458" w:type="dxa"/>
                      </w:tcPr>
                      <w:p>
                        <w:pPr>
                          <w:widowControl w:val="0"/>
                          <w:suppressAutoHyphens/>
                          <w:ind w:firstLine="13"/>
                          <w:jc w:val="both"/>
                          <w:rPr>
                            <w:szCs w:val="24"/>
                          </w:rPr>
                        </w:pPr>
                        <w:r>
                          <w:rPr>
                            <w:szCs w:val="24"/>
                          </w:rPr>
                          <w:t>Sorbentų ir kitų priemonių, reikalingų avarijų padariniams likviduoti, įsigijimas</w:t>
                        </w:r>
                      </w:p>
                    </w:tc>
                    <w:tc>
                      <w:tcPr>
                        <w:tcW w:w="4393"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ŠAPGV Radviliškio priešgaisrinė gelbėjimo tarnyba. Vykdymo pradžia – 2024 m. liepos mėn„ pabaiga – 2024 m. lapkričio mėn.</w:t>
                        </w:r>
                      </w:p>
                      <w:p>
                        <w:pPr>
                          <w:widowControl w:val="0"/>
                          <w:suppressAutoHyphens/>
                          <w:jc w:val="both"/>
                          <w:rPr>
                            <w:szCs w:val="24"/>
                          </w:rPr>
                        </w:pPr>
                        <w:r>
                          <w:rPr>
                            <w:szCs w:val="24"/>
                          </w:rPr>
                          <w:t xml:space="preserve">Buvo nupirkta: gelbėjimo virvės – 6 vnt., motoriniai purkštuvai STIHL SR 200 su valdymo rankenomis – 2 vnt., 12 gelbėjimo liemenių, 60 porų gumuotų darbinių pirštinių, Aguaguick 200 naftos produktų skaidiklis (60 litrų), UEDEX020 biraus universalaus absorbento (480 kg),  hidrofobinė absorbuojanti bona 12 cm ir 15 cm. storio (11 vnt.). Grinkiškio komandai nupirktas gelbėjimo ratas už </w:t>
                        </w:r>
                        <w:r>
                          <w:rPr>
                            <w:b/>
                            <w:bCs/>
                            <w:szCs w:val="24"/>
                          </w:rPr>
                          <w:t>31.52</w:t>
                        </w:r>
                        <w:r>
                          <w:rPr>
                            <w:szCs w:val="24"/>
                          </w:rPr>
                          <w:t xml:space="preserve"> Eur.  </w:t>
                        </w:r>
                      </w:p>
                      <w:p>
                        <w:pPr>
                          <w:widowControl w:val="0"/>
                          <w:suppressAutoHyphens/>
                          <w:jc w:val="both"/>
                          <w:rPr>
                            <w:rFonts w:ascii="Thorndale" w:hAnsi="Thorndale" w:cs="Tahoma"/>
                            <w:szCs w:val="24"/>
                          </w:rPr>
                        </w:pPr>
                        <w:r>
                          <w:rPr>
                            <w:szCs w:val="24"/>
                          </w:rPr>
                          <w:t>2024 m. nupirktos priemonės bus naudojamos gelbėjimo darbams ir ekologinių, cheminių avarijų, išsiliejus teršalams, padarinių likvidavimui</w:t>
                        </w:r>
                        <w:r>
                          <w:rPr>
                            <w:rFonts w:ascii="Thorndale" w:hAnsi="Thorndale" w:cs="Tahoma"/>
                            <w:szCs w:val="24"/>
                          </w:rPr>
                          <w:t xml:space="preserve"> Radviliškio rajone, kad į aplinką patektų mažiau teršalų ir kenksmingų bei pavojingų medžiagų. </w:t>
                        </w:r>
                      </w:p>
                      <w:p>
                        <w:pPr>
                          <w:widowControl w:val="0"/>
                          <w:suppressAutoHyphens/>
                          <w:ind w:firstLine="13"/>
                          <w:jc w:val="both"/>
                          <w:rPr>
                            <w:szCs w:val="24"/>
                          </w:rPr>
                        </w:pPr>
                        <w:r>
                          <w:rPr>
                            <w:szCs w:val="24"/>
                          </w:rPr>
                          <w:t>Purkštuvai su valdymo rankenomis atiduoti Radviliškio PGT komandoms gelbėjimo darbams atlikti.</w:t>
                        </w:r>
                      </w:p>
                    </w:tc>
                    <w:tc>
                      <w:tcPr>
                        <w:tcW w:w="1363" w:type="dxa"/>
                      </w:tcPr>
                      <w:p>
                        <w:pPr>
                          <w:widowControl w:val="0"/>
                          <w:suppressAutoHyphens/>
                          <w:jc w:val="center"/>
                          <w:rPr>
                            <w:szCs w:val="24"/>
                          </w:rPr>
                        </w:pPr>
                        <w:r>
                          <w:rPr>
                            <w:szCs w:val="24"/>
                          </w:rPr>
                          <w:t>4 000</w:t>
                        </w:r>
                      </w:p>
                      <w:p>
                        <w:pPr>
                          <w:widowControl w:val="0"/>
                          <w:suppressAutoHyphens/>
                          <w:jc w:val="center"/>
                          <w:rPr>
                            <w:szCs w:val="24"/>
                            <w:highlight w:val="yellow"/>
                          </w:rPr>
                        </w:pPr>
                      </w:p>
                    </w:tc>
                  </w:tr>
                  <w:tr>
                    <w:trPr>
                      <w:trHeight w:val="705"/>
                    </w:trPr>
                    <w:tc>
                      <w:tcPr>
                        <w:tcW w:w="847" w:type="dxa"/>
                      </w:tcPr>
                      <w:p>
                        <w:pPr>
                          <w:widowControl w:val="0"/>
                          <w:suppressAutoHyphens/>
                          <w:jc w:val="both"/>
                          <w:rPr>
                            <w:szCs w:val="24"/>
                          </w:rPr>
                        </w:pPr>
                        <w:r>
                          <w:rPr>
                            <w:szCs w:val="24"/>
                          </w:rPr>
                          <w:t>4.4.3.</w:t>
                        </w:r>
                      </w:p>
                    </w:tc>
                    <w:tc>
                      <w:tcPr>
                        <w:tcW w:w="2458" w:type="dxa"/>
                      </w:tcPr>
                      <w:p>
                        <w:pPr>
                          <w:widowControl w:val="0"/>
                          <w:suppressAutoHyphens/>
                          <w:ind w:firstLine="13"/>
                          <w:jc w:val="both"/>
                          <w:rPr>
                            <w:szCs w:val="24"/>
                          </w:rPr>
                        </w:pPr>
                        <w:r>
                          <w:rPr>
                            <w:szCs w:val="24"/>
                          </w:rPr>
                          <w:t>Ekstremalių ekologinių situacijų, avarijų, įvykių padarinių likvidavimo darbai</w:t>
                        </w:r>
                      </w:p>
                    </w:tc>
                    <w:tc>
                      <w:tcPr>
                        <w:tcW w:w="4393" w:type="dxa"/>
                        <w:gridSpan w:val="2"/>
                      </w:tcPr>
                      <w:p>
                        <w:pPr>
                          <w:widowControl w:val="0"/>
                          <w:suppressAutoHyphens/>
                          <w:jc w:val="both"/>
                          <w:rPr>
                            <w:szCs w:val="24"/>
                          </w:rPr>
                        </w:pPr>
                        <w:r>
                          <w:rPr>
                            <w:szCs w:val="24"/>
                          </w:rPr>
                          <w:t>Asignavimų valdytojas – rajono savivaldybės administracija, atsakingas – Žemės ūkio skyrius. Vykdytojas – .......................... Vykdymo pradžia – 2024 m. I ketv., pabaiga – 2024 m. IV ketv. (Vykdoma tik įvykus ekstremaliom situacijom).</w:t>
                        </w:r>
                      </w:p>
                    </w:tc>
                    <w:tc>
                      <w:tcPr>
                        <w:tcW w:w="1363" w:type="dxa"/>
                      </w:tcPr>
                      <w:p>
                        <w:pPr>
                          <w:widowControl w:val="0"/>
                          <w:suppressAutoHyphens/>
                          <w:jc w:val="center"/>
                          <w:rPr>
                            <w:szCs w:val="24"/>
                          </w:rPr>
                        </w:pPr>
                        <w:r>
                          <w:rPr>
                            <w:szCs w:val="24"/>
                          </w:rPr>
                          <w:t>0</w:t>
                        </w:r>
                      </w:p>
                    </w:tc>
                  </w:tr>
                  <w:tr>
                    <w:tc>
                      <w:tcPr>
                        <w:tcW w:w="847" w:type="dxa"/>
                      </w:tcPr>
                      <w:p>
                        <w:pPr>
                          <w:widowControl w:val="0"/>
                          <w:suppressAutoHyphens/>
                          <w:jc w:val="both"/>
                          <w:rPr>
                            <w:szCs w:val="24"/>
                          </w:rPr>
                        </w:pPr>
                        <w:r>
                          <w:rPr>
                            <w:szCs w:val="24"/>
                          </w:rPr>
                          <w:t>4.5.</w:t>
                        </w:r>
                      </w:p>
                    </w:tc>
                    <w:tc>
                      <w:tcPr>
                        <w:tcW w:w="6851" w:type="dxa"/>
                        <w:gridSpan w:val="3"/>
                      </w:tcPr>
                      <w:p>
                        <w:pPr>
                          <w:widowControl w:val="0"/>
                          <w:suppressAutoHyphens/>
                          <w:ind w:firstLine="13"/>
                          <w:jc w:val="both"/>
                          <w:rPr>
                            <w:b/>
                            <w:szCs w:val="24"/>
                          </w:rPr>
                        </w:pPr>
                        <w:r>
                          <w:rPr>
                            <w:b/>
                            <w:szCs w:val="24"/>
                          </w:rPr>
                          <w:t>Visuomenės švietimo ir mokymo aplinkosaugos klausimais priemonės</w:t>
                        </w:r>
                      </w:p>
                    </w:tc>
                    <w:tc>
                      <w:tcPr>
                        <w:tcW w:w="1363" w:type="dxa"/>
                      </w:tcPr>
                      <w:p>
                        <w:pPr>
                          <w:widowControl w:val="0"/>
                          <w:suppressAutoHyphens/>
                          <w:jc w:val="center"/>
                          <w:rPr>
                            <w:szCs w:val="24"/>
                          </w:rPr>
                        </w:pPr>
                      </w:p>
                    </w:tc>
                  </w:tr>
                  <w:tr>
                    <w:tc>
                      <w:tcPr>
                        <w:tcW w:w="847" w:type="dxa"/>
                      </w:tcPr>
                      <w:p>
                        <w:pPr>
                          <w:widowControl w:val="0"/>
                          <w:suppressAutoHyphens/>
                          <w:jc w:val="both"/>
                          <w:rPr>
                            <w:szCs w:val="24"/>
                          </w:rPr>
                        </w:pPr>
                        <w:r>
                          <w:rPr>
                            <w:szCs w:val="24"/>
                          </w:rPr>
                          <w:t>4.5.1.</w:t>
                        </w:r>
                      </w:p>
                    </w:tc>
                    <w:tc>
                      <w:tcPr>
                        <w:tcW w:w="2458" w:type="dxa"/>
                      </w:tcPr>
                      <w:p>
                        <w:pPr>
                          <w:widowControl w:val="0"/>
                          <w:suppressAutoHyphens/>
                          <w:ind w:firstLine="13"/>
                          <w:jc w:val="both"/>
                          <w:rPr>
                            <w:szCs w:val="24"/>
                          </w:rPr>
                        </w:pPr>
                        <w:r>
                          <w:rPr>
                            <w:szCs w:val="24"/>
                          </w:rPr>
                          <w:t>Aplinkosauginių akcijų, talkų organizavimas</w:t>
                        </w:r>
                      </w:p>
                    </w:tc>
                    <w:tc>
                      <w:tcPr>
                        <w:tcW w:w="4393"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Žemės ūkio skyrius. Vykdymo pradžia – 2024 m. I ketv., pabaiga – 2024 m. IV ketv. (Vykdoma esant poreikiui).</w:t>
                        </w:r>
                      </w:p>
                      <w:p>
                        <w:pPr>
                          <w:widowControl w:val="0"/>
                          <w:suppressAutoHyphens/>
                          <w:jc w:val="both"/>
                          <w:rPr>
                            <w:szCs w:val="24"/>
                          </w:rPr>
                        </w:pPr>
                      </w:p>
                    </w:tc>
                    <w:tc>
                      <w:tcPr>
                        <w:tcW w:w="1363" w:type="dxa"/>
                      </w:tcPr>
                      <w:p>
                        <w:pPr>
                          <w:widowControl w:val="0"/>
                          <w:suppressAutoHyphens/>
                          <w:jc w:val="center"/>
                          <w:rPr>
                            <w:szCs w:val="24"/>
                          </w:rPr>
                        </w:pPr>
                        <w:r>
                          <w:rPr>
                            <w:szCs w:val="24"/>
                          </w:rPr>
                          <w:t>0</w:t>
                        </w:r>
                      </w:p>
                      <w:p>
                        <w:pPr>
                          <w:widowControl w:val="0"/>
                          <w:suppressAutoHyphens/>
                          <w:jc w:val="center"/>
                          <w:rPr>
                            <w:szCs w:val="24"/>
                            <w:highlight w:val="yellow"/>
                          </w:rPr>
                        </w:pPr>
                      </w:p>
                    </w:tc>
                  </w:tr>
                  <w:tr>
                    <w:tc>
                      <w:tcPr>
                        <w:tcW w:w="847" w:type="dxa"/>
                      </w:tcPr>
                      <w:p>
                        <w:pPr>
                          <w:widowControl w:val="0"/>
                          <w:suppressAutoHyphens/>
                          <w:jc w:val="both"/>
                          <w:rPr>
                            <w:szCs w:val="24"/>
                          </w:rPr>
                        </w:pPr>
                        <w:r>
                          <w:rPr>
                            <w:szCs w:val="24"/>
                          </w:rPr>
                          <w:t>4.5.2.</w:t>
                        </w:r>
                      </w:p>
                    </w:tc>
                    <w:tc>
                      <w:tcPr>
                        <w:tcW w:w="2458" w:type="dxa"/>
                      </w:tcPr>
                      <w:p>
                        <w:pPr>
                          <w:widowControl w:val="0"/>
                          <w:suppressAutoHyphens/>
                          <w:ind w:firstLine="13"/>
                          <w:jc w:val="both"/>
                          <w:rPr>
                            <w:szCs w:val="24"/>
                          </w:rPr>
                        </w:pPr>
                        <w:r>
                          <w:rPr>
                            <w:szCs w:val="24"/>
                          </w:rPr>
                          <w:t>Tikslinių grupių (švietimo įstaigos, neformalaus ugdymo įstaigos, nevyriausybinės organizacijos, bendruomenės ir kt.) vykdomos aplinkosauginės veiklos, aplinkosauginių programų, projektų įgyvendinimo darbų finansavimas</w:t>
                        </w:r>
                      </w:p>
                    </w:tc>
                    <w:tc>
                      <w:tcPr>
                        <w:tcW w:w="4393" w:type="dxa"/>
                        <w:gridSpan w:val="2"/>
                      </w:tcPr>
                      <w:p>
                        <w:pPr>
                          <w:widowControl w:val="0"/>
                          <w:suppressAutoHyphens/>
                          <w:jc w:val="both"/>
                          <w:rPr>
                            <w:szCs w:val="24"/>
                          </w:rPr>
                        </w:pPr>
                        <w:r>
                          <w:rPr>
                            <w:szCs w:val="24"/>
                          </w:rPr>
                          <w:t xml:space="preserve">Asignavimų valdytojas – Radviliškio rajono savivaldybės administracija, atsakingas – Žemės ūkio skyrius. Vykdytojas –    švietimo įstaigos, neformalaus ugdymo įstaigos, nevyriausybinės organizacijos, bendruomenės ir kt. Vykdymo pradžia – 2024 m. I ketv., pabaiga – 2024 m. IV ketv.</w:t>
                        </w:r>
                      </w:p>
                      <w:p>
                        <w:pPr>
                          <w:widowControl w:val="0"/>
                          <w:suppressAutoHyphens/>
                          <w:jc w:val="both"/>
                          <w:rPr>
                            <w:b/>
                            <w:bCs/>
                            <w:szCs w:val="24"/>
                            <w:u w:val="single"/>
                          </w:rPr>
                        </w:pPr>
                        <w:r>
                          <w:rPr>
                            <w:b/>
                            <w:bCs/>
                            <w:szCs w:val="24"/>
                            <w:u w:val="single"/>
                          </w:rPr>
                          <w:t>Šeduvos gimnazija – „Tyrinėk, atrask, pažink Sulinkių pelkę“ – 1400,00 Eur.</w:t>
                        </w:r>
                      </w:p>
                      <w:p>
                        <w:pPr>
                          <w:widowControl w:val="0"/>
                          <w:snapToGrid w:val="0"/>
                          <w:jc w:val="both"/>
                          <w:rPr>
                            <w:szCs w:val="24"/>
                            <w:lang w:eastAsia="lt-LT"/>
                          </w:rPr>
                        </w:pPr>
                        <w:r>
                          <w:rPr>
                            <w:szCs w:val="24"/>
                            <w:lang w:eastAsia="lt-LT"/>
                          </w:rPr>
                          <w:t>Projektu buvo siekiama ugdyti mokinių ir visos gimnazijos bendruomenės ekologinį sąmoningumą, perteikti žinias ir patirtį, atspindinčias žmogaus įvairiapusį ryšį su aplinka, aktualizuojant Sulinkių pelkės išskirtinumą ir reikšmingumą ne tik Radviliškio rajono, bet ir visos Lietuvos kontekste, tyrinėjant pelkės ekosistemas, supažindinant su pelkinių augalų nauda ir tausojančiu gamtą eksploatavimu.</w:t>
                        </w:r>
                      </w:p>
                      <w:p>
                        <w:pPr>
                          <w:widowControl w:val="0"/>
                          <w:snapToGrid w:val="0"/>
                          <w:jc w:val="both"/>
                          <w:rPr>
                            <w:szCs w:val="24"/>
                            <w:lang w:eastAsia="lt-LT"/>
                          </w:rPr>
                        </w:pPr>
                        <w:r>
                          <w:rPr>
                            <w:szCs w:val="24"/>
                            <w:lang w:eastAsia="lt-LT"/>
                          </w:rPr>
                          <w:t>Įgyvendinti šie projekto uždaviniai:</w:t>
                        </w:r>
                      </w:p>
                      <w:p>
                        <w:pPr>
                          <w:widowControl w:val="0"/>
                          <w:suppressAutoHyphens/>
                          <w:snapToGrid w:val="0"/>
                          <w:jc w:val="both"/>
                          <w:rPr>
                            <w:szCs w:val="24"/>
                            <w:lang w:eastAsia="lt-LT"/>
                          </w:rPr>
                        </w:pPr>
                        <w:r>
                          <w:rPr>
                            <w:szCs w:val="24"/>
                            <w:lang w:eastAsia="lt-LT"/>
                          </w:rPr>
                          <w:t>1. Surinkta, apdorota ir susisteminta informacija apie Sulinkių pelkę, jos ekologinę situaciją, ekosistemas, pelkinių augalų naudą ir eksploatavimą. Suorganizuoti pranešimai.</w:t>
                        </w:r>
                      </w:p>
                      <w:p>
                        <w:pPr>
                          <w:widowControl w:val="0"/>
                          <w:snapToGrid w:val="0"/>
                          <w:jc w:val="both"/>
                          <w:rPr>
                            <w:szCs w:val="24"/>
                            <w:lang w:eastAsia="lt-LT"/>
                          </w:rPr>
                        </w:pPr>
                        <w:r>
                          <w:rPr>
                            <w:szCs w:val="24"/>
                            <w:lang w:eastAsia="lt-LT"/>
                          </w:rPr>
                          <w:t>2. Suorganizuoti penki edukaciniai užsiėmimai ir du Sulinkių pelkės stebėjimo, tyrinėjimo žygiai: gegužės 31 d. ir rugsėjo 20 d. Žygių metu vykdytos Sulinkių pelkės fotofiksacijos ir filmavimas.</w:t>
                        </w:r>
                      </w:p>
                      <w:p>
                        <w:pPr>
                          <w:widowControl w:val="0"/>
                          <w:snapToGrid w:val="0"/>
                          <w:jc w:val="both"/>
                          <w:rPr>
                            <w:szCs w:val="24"/>
                            <w:lang w:eastAsia="lt-LT"/>
                          </w:rPr>
                        </w:pPr>
                        <w:r>
                          <w:rPr>
                            <w:szCs w:val="24"/>
                            <w:lang w:eastAsia="lt-LT"/>
                          </w:rPr>
                          <w:t>3. Surengta virtuali fotofiksacijų paroda bei sumontuotas projekto žygių videoreportažas.</w:t>
                        </w:r>
                      </w:p>
                      <w:p>
                        <w:pPr>
                          <w:widowControl w:val="0"/>
                          <w:snapToGrid w:val="0"/>
                          <w:jc w:val="both"/>
                          <w:rPr>
                            <w:szCs w:val="24"/>
                            <w:lang w:eastAsia="lt-LT"/>
                          </w:rPr>
                        </w:pPr>
                        <w:r>
                          <w:rPr>
                            <w:szCs w:val="24"/>
                            <w:lang w:eastAsia="lt-LT"/>
                          </w:rPr>
                          <w:t>4. Paruošti pranešimai apie tausojantį gamtą Sulinkių pelkės eksploatavimą, migruojančius paukščius bei pelkinių augalų naudą ir panaudojimą. Tikimasi su šiais pranešimais dalyvauti respublikinėse konferencijose.</w:t>
                        </w:r>
                      </w:p>
                      <w:p>
                        <w:pPr>
                          <w:widowControl w:val="0"/>
                          <w:snapToGrid w:val="0"/>
                          <w:jc w:val="both"/>
                          <w:rPr>
                            <w:szCs w:val="24"/>
                            <w:lang w:eastAsia="lt-LT"/>
                          </w:rPr>
                        </w:pPr>
                        <w:r>
                          <w:rPr>
                            <w:szCs w:val="24"/>
                            <w:lang w:eastAsia="lt-LT"/>
                          </w:rPr>
                          <w:t>5. Bendradarbiauta su Radviliškio rajono savivaldybe, Radviliškio rajono švietimo įstaigomis, Radviliškio kultūros centru, Valstybinės saugomų teritorijų tarnybos prie Aplinkos ministerijos Biologinės įvairovės skyriaus vedėju, Vilniaus universiteto zoologijos lektoriumi Sauliumi Skuja, Žemaitijos saugomų teritorijų direkcija, Sulinkių durpynu bei seniūnijomis.</w:t>
                        </w:r>
                      </w:p>
                      <w:p>
                        <w:pPr>
                          <w:widowControl w:val="0"/>
                          <w:suppressAutoHyphens/>
                          <w:jc w:val="both"/>
                          <w:rPr>
                            <w:szCs w:val="24"/>
                            <w:lang w:eastAsia="lt-LT"/>
                          </w:rPr>
                        </w:pPr>
                        <w:r>
                          <w:rPr>
                            <w:szCs w:val="24"/>
                            <w:lang w:eastAsia="lt-LT"/>
                          </w:rPr>
                          <w:t>6. Projektas viešintas per tradicinę ir medijų žiniasklaidą (elektroniniai puslapiai, socialiniai tinklai), parengti informaciniai-reklaminiai straipsniai.</w:t>
                        </w:r>
                      </w:p>
                      <w:p>
                        <w:pPr>
                          <w:snapToGrid w:val="0"/>
                          <w:jc w:val="both"/>
                          <w:rPr>
                            <w:szCs w:val="24"/>
                            <w:lang w:eastAsia="lt-LT"/>
                          </w:rPr>
                        </w:pPr>
                        <w:r>
                          <w:rPr>
                            <w:b/>
                            <w:szCs w:val="24"/>
                            <w:u w:val="single"/>
                            <w:lang w:eastAsia="lt-LT"/>
                          </w:rPr>
                          <w:t>Radviliškio r. Šeduvos lopšelis-darželis – „Aš – Žemės dalelė“ – 1000,00 Eur.</w:t>
                        </w:r>
                        <w:r>
                          <w:rPr>
                            <w:b/>
                            <w:szCs w:val="24"/>
                            <w:lang w:eastAsia="lt-LT"/>
                          </w:rPr>
                          <w:t xml:space="preserve"> </w:t>
                        </w:r>
                        <w:r>
                          <w:rPr>
                            <w:szCs w:val="24"/>
                            <w:lang w:eastAsia="lt-LT"/>
                          </w:rPr>
                          <w:t xml:space="preserve">Projekto „Gyvenkime atsakingai“ metu Šeduvos lopšelio-darželio bendruomenė supažindinta su 17 Darnaus vystymosi tikslų, jų svarba. Buvo vykdoma švietėjiška veikla Darnaus vystymosi tikslams pasiekti, įsigyti dviračių stovai, lauko suoliukai. Pagaminta 3D vizualizacija 17 Darnaus vystymosi kubų, kuriuos mokytojai naudoja ugdymo veiklose. Mokytojai dalyvavo švietėjiškoje veikloje – paskaitoje „17 Darnaus vystymosi tikslų“, kurios metu buvo ugdomos kompetencijos, galinčios padėti įvertinti savo veiksmus, jų socialinį, kultūrinį, ekonominį, bei ekologinį poveikį savo aplinkai bei pasauliui. Įrengus dviračių stovėjimo zonas, padaugėjo darbuotojų, ugdytinių tėvelių, atvykstančių į darželį dviračiais, taip darželio bendruomenė prisideda prie oro taršos mažinimo. </w:t>
                        </w:r>
                      </w:p>
                      <w:p>
                        <w:pPr>
                          <w:widowControl w:val="0"/>
                          <w:snapToGrid w:val="0"/>
                          <w:jc w:val="both"/>
                          <w:rPr>
                            <w:szCs w:val="24"/>
                            <w:lang w:eastAsia="lt-LT"/>
                          </w:rPr>
                        </w:pPr>
                        <w:r>
                          <w:rPr>
                            <w:szCs w:val="24"/>
                            <w:lang w:eastAsia="lt-LT"/>
                          </w:rPr>
                          <w:t>Įsigijus lauko suoliukus ugdytiniai kartu su mokytojais, įkurtose atnaujintose erdvėse, ekologinėje žaliojoje klasėje stebės ir tyrinės gamtą ir jos reiškinius.</w:t>
                        </w:r>
                      </w:p>
                      <w:p>
                        <w:pPr>
                          <w:widowControl w:val="0"/>
                          <w:snapToGrid w:val="0"/>
                          <w:jc w:val="both"/>
                          <w:rPr>
                            <w:szCs w:val="24"/>
                            <w:lang w:eastAsia="lt-LT"/>
                          </w:rPr>
                        </w:pPr>
                        <w:r>
                          <w:rPr>
                            <w:szCs w:val="24"/>
                            <w:lang w:eastAsia="lt-LT"/>
                          </w:rPr>
                          <w:t>Vykdant projektą, įgalintas bendruomenės suvokimas, apie netinkamas naudoti baterijas ir galvaninius elementus, paliekant juos specialiose surinkimo talpose, kurios pagamintos taip, kad jose surinktos išeikvotos baterijos nekeltų pavojaus aplinkai ir visuomenės sveikatai.</w:t>
                        </w:r>
                      </w:p>
                      <w:p>
                        <w:pPr>
                          <w:widowControl w:val="0"/>
                          <w:suppressAutoHyphens/>
                          <w:jc w:val="both"/>
                          <w:rPr>
                            <w:szCs w:val="24"/>
                            <w:lang w:eastAsia="lt-LT"/>
                          </w:rPr>
                        </w:pPr>
                        <w:r>
                          <w:rPr>
                            <w:szCs w:val="24"/>
                            <w:lang w:eastAsia="lt-LT"/>
                          </w:rPr>
                          <w:t>Projekto metu ir po jo skatinamas stiklinių pakuočių rūšiavimas, juos perduodant stiklinių atliekų perdirbėjams, kurie šias atliekas kaip žaliavą naudoja naujų stiklo gaminių gamybai.</w:t>
                        </w:r>
                      </w:p>
                      <w:p>
                        <w:pPr>
                          <w:snapToGrid w:val="0"/>
                          <w:jc w:val="both"/>
                          <w:rPr>
                            <w:szCs w:val="24"/>
                            <w:u w:val="single"/>
                            <w:lang w:eastAsia="lt-LT"/>
                          </w:rPr>
                        </w:pPr>
                        <w:r>
                          <w:rPr>
                            <w:szCs w:val="24"/>
                            <w:lang w:eastAsia="lt-LT"/>
                          </w:rPr>
                          <w:t xml:space="preserve">Projekte dalyvavo apie 300 Šeduvos lopšelio-darželio bendruomenės narių. Projekto veiklos viešinamos Šeduvos lopšelio- darželio internetinėje svetainėje </w:t>
                        </w:r>
                        <w:r>
                          <w:rPr>
                            <w:szCs w:val="24"/>
                            <w:u w:val="single"/>
                            <w:lang w:eastAsia="lt-LT"/>
                          </w:rPr>
                          <w:t>https://www.seduvosdarzelis.lt/</w:t>
                        </w:r>
                      </w:p>
                      <w:p>
                        <w:pPr>
                          <w:widowControl w:val="0"/>
                          <w:suppressAutoHyphens/>
                          <w:jc w:val="both"/>
                          <w:rPr>
                            <w:b/>
                            <w:bCs/>
                            <w:szCs w:val="24"/>
                            <w:u w:val="single"/>
                          </w:rPr>
                        </w:pPr>
                        <w:r>
                          <w:rPr>
                            <w:b/>
                            <w:bCs/>
                            <w:szCs w:val="24"/>
                            <w:u w:val="single"/>
                          </w:rPr>
                          <w:t>Radviliškio r. Sidabravo pagrindinė mokykla – „Mūsų aplinka – mūsų namai“ – 1000,00 Eur.</w:t>
                        </w:r>
                      </w:p>
                      <w:p>
                        <w:pPr>
                          <w:widowControl w:val="0"/>
                          <w:snapToGrid w:val="0"/>
                          <w:jc w:val="both"/>
                          <w:rPr>
                            <w:szCs w:val="24"/>
                            <w:lang w:eastAsia="lt-LT"/>
                          </w:rPr>
                        </w:pPr>
                        <w:r>
                          <w:rPr>
                            <w:szCs w:val="24"/>
                            <w:lang w:eastAsia="lt-LT"/>
                          </w:rPr>
                          <w:t>Pasiekti projekto tikslai ir uždaviniai:</w:t>
                        </w:r>
                      </w:p>
                      <w:p>
                        <w:pPr>
                          <w:widowControl w:val="0"/>
                          <w:snapToGrid w:val="0"/>
                          <w:jc w:val="both"/>
                          <w:rPr>
                            <w:szCs w:val="24"/>
                            <w:lang w:eastAsia="lt-LT"/>
                          </w:rPr>
                        </w:pPr>
                        <w:r>
                          <w:rPr>
                            <w:szCs w:val="24"/>
                            <w:lang w:eastAsia="lt-LT"/>
                          </w:rPr>
                          <w:t>1) bendruomenės nariai pagilino ekologines ir rūšiavimo žinias apie mus supančią aplinką, dalyvaudami susitikimuose su VšĮ Šiaulių regiono atliekų tvarkymo centro specialistėmis;</w:t>
                        </w:r>
                      </w:p>
                      <w:p>
                        <w:pPr>
                          <w:widowControl w:val="0"/>
                          <w:suppressAutoHyphens/>
                          <w:snapToGrid w:val="0"/>
                          <w:jc w:val="both"/>
                          <w:rPr>
                            <w:szCs w:val="24"/>
                            <w:lang w:eastAsia="lt-LT"/>
                          </w:rPr>
                        </w:pPr>
                        <w:r>
                          <w:rPr>
                            <w:szCs w:val="24"/>
                            <w:lang w:eastAsia="lt-LT"/>
                          </w:rPr>
                          <w:t xml:space="preserve">2) bendruomenės nariai ugdėsi atsakingą požiūrį į Sidabravo seniūnijos ekologines problemas, dalyvaudami respublikiniame projekte „Mes rūšiuojam“ – buvo surinkta 1443 kg elektros ir elektronikos atliekų ir 25 kg galvaninių elementų (baterijų),  aplinkos tvarkymo akcijoje „Švari gamta – švarūs mūsų namai“, gamtos mokslų ir ekologinio ugdymo savaitės renginiuose, integruotose gamtos mokslų pamokose, skirtuose Žemės dienai;</w:t>
                        </w:r>
                      </w:p>
                      <w:p>
                        <w:pPr>
                          <w:widowControl w:val="0"/>
                          <w:suppressAutoHyphens/>
                          <w:jc w:val="both"/>
                          <w:rPr>
                            <w:szCs w:val="24"/>
                          </w:rPr>
                        </w:pPr>
                        <w:r>
                          <w:rPr>
                            <w:szCs w:val="24"/>
                            <w:lang w:eastAsia="lt-LT"/>
                          </w:rPr>
                          <w:t xml:space="preserve">3) stebėjo, puoselėjo mus supančią gamtą, dalyvaudami ekskursijose į VDU Botanikos sodą, į Lietuvos zoologijos sodą, tvarkydami ir atnaujindami mokyklos  žaliąsias zonas, gamindami vabzdžių namus, dalyvaudami kūrybinėse dirbtuvėse „Antrasis daiktų gyvenimas“, „Lėkštės iš molio su augalų atspaudais“, piešinių parodoje „Mano delnuos – visas pasaulis“.</w:t>
                        </w:r>
                      </w:p>
                      <w:p>
                        <w:pPr>
                          <w:widowControl w:val="0"/>
                          <w:suppressAutoHyphens/>
                          <w:jc w:val="both"/>
                          <w:rPr>
                            <w:b/>
                            <w:szCs w:val="24"/>
                            <w:u w:val="single"/>
                          </w:rPr>
                        </w:pPr>
                        <w:r>
                          <w:rPr>
                            <w:b/>
                            <w:szCs w:val="24"/>
                            <w:u w:val="single"/>
                          </w:rPr>
                          <w:t xml:space="preserve">Radviliškio Lizdeikos gimnazija – „Tyrėjo diena 11“ – 1100,00 Eur. </w:t>
                        </w:r>
                      </w:p>
                      <w:p>
                        <w:pPr>
                          <w:widowControl w:val="0"/>
                          <w:suppressAutoHyphens/>
                          <w:jc w:val="both"/>
                          <w:rPr>
                            <w:szCs w:val="24"/>
                            <w:lang w:eastAsia="lt-LT"/>
                          </w:rPr>
                        </w:pPr>
                        <w:r>
                          <w:rPr>
                            <w:szCs w:val="24"/>
                          </w:rPr>
                          <w:t>Konferencija „Tyrėjo diena“ vyko vienuoliktą kartą. Mokiniai ir mokytojai klausė lektorių paskaitų, atliko praktikos darbus.</w:t>
                        </w:r>
                        <w:r>
                          <w:rPr>
                            <w:szCs w:val="24"/>
                            <w:lang w:eastAsia="lt-LT"/>
                          </w:rPr>
                          <w:t xml:space="preserve"> Mokiniai ir mokytojai klausė lektorių paskaitų, atliko praktikos darbus.</w:t>
                        </w:r>
                      </w:p>
                      <w:p>
                        <w:pPr>
                          <w:widowControl w:val="0"/>
                          <w:suppressAutoHyphens/>
                          <w:jc w:val="both"/>
                          <w:rPr>
                            <w:szCs w:val="24"/>
                            <w:lang w:eastAsia="lt-LT"/>
                          </w:rPr>
                        </w:pPr>
                        <w:r>
                          <w:rPr>
                            <w:szCs w:val="24"/>
                            <w:lang w:eastAsia="lt-LT"/>
                          </w:rPr>
                          <w:t xml:space="preserve">Dalyviai: Radviliškio Lizdeikos gimnazijos mokiniai ir mokytojai. Konferencijoje dalyvavo apie 500 gimnazijos mokinių, iš jų 160 išvyko į Šiaulių, Panevėžio, Telšių, Tauragės, Kauno  STEAM laboratorijas.</w:t>
                        </w:r>
                      </w:p>
                      <w:p>
                        <w:pPr>
                          <w:widowControl w:val="0"/>
                          <w:suppressAutoHyphens/>
                          <w:jc w:val="both"/>
                          <w:rPr>
                            <w:szCs w:val="24"/>
                            <w:lang w:eastAsia="lt-LT"/>
                          </w:rPr>
                        </w:pPr>
                        <w:r>
                          <w:rPr>
                            <w:szCs w:val="24"/>
                            <w:lang w:eastAsia="lt-LT"/>
                          </w:rPr>
                          <w:t xml:space="preserve">Apie projektą informuojama: </w:t>
                        </w:r>
                      </w:p>
                      <w:p>
                        <w:pPr>
                          <w:widowControl w:val="0"/>
                          <w:suppressAutoHyphens/>
                          <w:jc w:val="both"/>
                          <w:rPr>
                            <w:szCs w:val="24"/>
                            <w:lang w:eastAsia="lt-LT"/>
                          </w:rPr>
                        </w:pPr>
                        <w:r>
                          <w:rPr>
                            <w:szCs w:val="24"/>
                            <w:lang w:eastAsia="lt-LT"/>
                          </w:rPr>
                          <w:t>radviliskis.lt</w:t>
                        </w:r>
                      </w:p>
                      <w:p>
                        <w:pPr>
                          <w:widowControl w:val="0"/>
                          <w:suppressAutoHyphens/>
                          <w:jc w:val="both"/>
                          <w:rPr>
                            <w:szCs w:val="24"/>
                            <w:lang w:eastAsia="lt-LT"/>
                          </w:rPr>
                        </w:pPr>
                        <w:r>
                          <w:rPr>
                            <w:szCs w:val="24"/>
                            <w:lang w:eastAsia="lt-LT"/>
                          </w:rPr>
                          <w:t>www.lizdeika.lt</w:t>
                        </w:r>
                      </w:p>
                      <w:p>
                        <w:pPr>
                          <w:widowControl w:val="0"/>
                          <w:suppressAutoHyphens/>
                          <w:jc w:val="both"/>
                          <w:rPr>
                            <w:szCs w:val="24"/>
                            <w:lang w:eastAsia="lt-LT"/>
                          </w:rPr>
                        </w:pPr>
                        <w:r>
                          <w:rPr>
                            <w:szCs w:val="24"/>
                            <w:lang w:eastAsia="lt-LT"/>
                          </w:rPr>
                          <w:t>faceboook.com</w:t>
                        </w:r>
                      </w:p>
                      <w:p>
                        <w:pPr>
                          <w:widowControl w:val="0"/>
                          <w:suppressAutoHyphens/>
                          <w:ind w:firstLine="62"/>
                          <w:jc w:val="both"/>
                          <w:rPr>
                            <w:szCs w:val="24"/>
                            <w:lang w:eastAsia="lt-LT"/>
                          </w:rPr>
                        </w:pPr>
                        <w:r>
                          <w:rPr>
                            <w:szCs w:val="24"/>
                            <w:lang w:eastAsia="lt-LT"/>
                          </w:rPr>
                          <w:t>Savaitraštis Radviliškio kraštas</w:t>
                        </w:r>
                      </w:p>
                      <w:p>
                        <w:pPr>
                          <w:widowControl w:val="0"/>
                          <w:suppressAutoHyphens/>
                          <w:jc w:val="both"/>
                          <w:rPr>
                            <w:b/>
                            <w:bCs/>
                            <w:szCs w:val="24"/>
                            <w:u w:val="single"/>
                          </w:rPr>
                        </w:pPr>
                        <w:r>
                          <w:rPr>
                            <w:b/>
                            <w:bCs/>
                            <w:szCs w:val="24"/>
                            <w:u w:val="single"/>
                          </w:rPr>
                          <w:t>Radviliškio rajono savivaldybės ŠSPC – „Laikas veikti yra dabar: tvarumo link“ – 1200,00 Eur.</w:t>
                        </w:r>
                      </w:p>
                      <w:p>
                        <w:pPr>
                          <w:jc w:val="both"/>
                          <w:rPr>
                            <w:szCs w:val="24"/>
                            <w:lang w:eastAsia="lt-LT"/>
                          </w:rPr>
                        </w:pPr>
                        <w:r>
                          <w:rPr>
                            <w:szCs w:val="24"/>
                            <w:lang w:eastAsia="lt-LT"/>
                          </w:rPr>
                          <w:t>Projekto metu sėkmingai įgyvendintas projekto tikslas – projekto dalyviai buvo supažindinti su darnaus vystymosi nuostatomis, skatinant sveiką gyvenimo būdą ir sveiką aplinką bendruomenėse.</w:t>
                        </w:r>
                      </w:p>
                      <w:p>
                        <w:pPr>
                          <w:jc w:val="both"/>
                          <w:rPr>
                            <w:szCs w:val="24"/>
                            <w:lang w:eastAsia="lt-LT"/>
                          </w:rPr>
                        </w:pPr>
                        <w:r>
                          <w:rPr>
                            <w:szCs w:val="24"/>
                            <w:lang w:eastAsia="lt-LT"/>
                          </w:rPr>
                          <w:t>Iš dalies sėkmingai įvykdytas pirmasis uždavinys – suorganizuota paskaita-rūšiavimo edukacija „Pasikeitimai aplinkoje per dešimtmečius: senjorų vaidmuo šiandienos pasaulio iššūkiuose“ Radviliškio rajono Trečiojo amžiaus universiteto lankytojams, kurią vedė projekto partneriai VšĮ „Žaliasis taškas" atstovės. Šioje veikloje dalyvavo 28 senjorai.</w:t>
                        </w:r>
                      </w:p>
                      <w:p>
                        <w:pPr>
                          <w:jc w:val="both"/>
                          <w:rPr>
                            <w:szCs w:val="24"/>
                            <w:lang w:eastAsia="lt-LT"/>
                          </w:rPr>
                        </w:pPr>
                        <w:r>
                          <w:rPr>
                            <w:szCs w:val="24"/>
                            <w:lang w:eastAsia="lt-LT"/>
                          </w:rPr>
                          <w:t>Organizuoti mokymai rajono pedagogams, kurių metu buvo pagilintos žinios apie darnaus vystymosi tikslus ir nuostatas. Mokymai pedagogams suteikė naujų žinių ir metodinių įgūdžių, kurie leidžia efektyviau ugdyti mokinių sąmoningumą darnaus vystymosi, aplinkosaugos ir atsakingo elgesio. Mokymuose dalyvavo 32 rajono pedagogai.</w:t>
                        </w:r>
                      </w:p>
                      <w:p>
                        <w:pPr>
                          <w:widowControl w:val="0"/>
                          <w:suppressAutoHyphens/>
                          <w:jc w:val="both"/>
                          <w:rPr>
                            <w:szCs w:val="24"/>
                          </w:rPr>
                        </w:pPr>
                        <w:r>
                          <w:rPr>
                            <w:b/>
                            <w:szCs w:val="24"/>
                            <w:u w:val="single"/>
                          </w:rPr>
                          <w:t>Alksniupių pagrindinė mokykla</w:t>
                        </w:r>
                        <w:r>
                          <w:rPr>
                            <w:szCs w:val="24"/>
                          </w:rPr>
                          <w:t xml:space="preserve"> – </w:t>
                        </w:r>
                        <w:r>
                          <w:rPr>
                            <w:b/>
                            <w:szCs w:val="24"/>
                          </w:rPr>
                          <w:t>„Dideli darbai prasideda nuo mažų žingsnelių“ – 600,00 Eur.</w:t>
                        </w:r>
                        <w:r>
                          <w:rPr>
                            <w:szCs w:val="24"/>
                          </w:rPr>
                          <w:t xml:space="preserve"> </w:t>
                        </w:r>
                      </w:p>
                      <w:p>
                        <w:pPr>
                          <w:widowControl w:val="0"/>
                          <w:snapToGrid w:val="0"/>
                          <w:jc w:val="both"/>
                          <w:rPr>
                            <w:szCs w:val="24"/>
                            <w:lang w:eastAsia="lt-LT"/>
                          </w:rPr>
                        </w:pPr>
                        <w:r>
                          <w:rPr>
                            <w:szCs w:val="24"/>
                            <w:lang w:eastAsia="lt-LT"/>
                          </w:rPr>
                          <w:t xml:space="preserve">Praplėstos mokinių  žinios apie bioįvairovę.</w:t>
                        </w:r>
                      </w:p>
                      <w:p>
                        <w:pPr>
                          <w:widowControl w:val="0"/>
                          <w:snapToGrid w:val="0"/>
                          <w:jc w:val="both"/>
                          <w:rPr>
                            <w:szCs w:val="24"/>
                            <w:lang w:eastAsia="lt-LT"/>
                          </w:rPr>
                        </w:pPr>
                        <w:r>
                          <w:rPr>
                            <w:szCs w:val="24"/>
                            <w:lang w:eastAsia="lt-LT"/>
                          </w:rPr>
                          <w:t>Ugdyti vaikų sodinimo įgūdžiai.</w:t>
                        </w:r>
                      </w:p>
                      <w:p>
                        <w:pPr>
                          <w:widowControl w:val="0"/>
                          <w:snapToGrid w:val="0"/>
                          <w:jc w:val="both"/>
                          <w:rPr>
                            <w:szCs w:val="24"/>
                            <w:lang w:eastAsia="lt-LT"/>
                          </w:rPr>
                        </w:pPr>
                        <w:r>
                          <w:rPr>
                            <w:szCs w:val="24"/>
                            <w:lang w:eastAsia="lt-LT"/>
                          </w:rPr>
                          <w:t>Įrengtas akvariumas žuvytėms ir terariumas gyvalazdėms.</w:t>
                        </w:r>
                      </w:p>
                      <w:p>
                        <w:pPr>
                          <w:widowControl w:val="0"/>
                          <w:snapToGrid w:val="0"/>
                          <w:jc w:val="both"/>
                          <w:rPr>
                            <w:szCs w:val="24"/>
                            <w:lang w:eastAsia="lt-LT"/>
                          </w:rPr>
                        </w:pPr>
                        <w:r>
                          <w:rPr>
                            <w:szCs w:val="24"/>
                            <w:lang w:eastAsia="lt-LT"/>
                          </w:rPr>
                          <w:t xml:space="preserve">Apie akvariumo, terariumo įrengimą, priežiūrą, jo gyventojus supažindinti ikimokyklinės, priešmokyklinės grupių vaikai, 1–4 klasių mokiniai. </w:t>
                        </w:r>
                      </w:p>
                      <w:p>
                        <w:pPr>
                          <w:jc w:val="both"/>
                          <w:rPr>
                            <w:szCs w:val="24"/>
                            <w:lang w:eastAsia="lt-LT"/>
                          </w:rPr>
                        </w:pPr>
                        <w:r>
                          <w:rPr>
                            <w:szCs w:val="24"/>
                            <w:lang w:eastAsia="lt-LT"/>
                          </w:rPr>
                          <w:t>Sėta, sodinta su mokiniais gėlės, prieskoniniai augalai.</w:t>
                        </w:r>
                      </w:p>
                      <w:p>
                        <w:pPr>
                          <w:jc w:val="both"/>
                          <w:rPr>
                            <w:szCs w:val="24"/>
                            <w:lang w:eastAsia="lt-LT"/>
                          </w:rPr>
                        </w:pPr>
                        <w:r>
                          <w:rPr>
                            <w:szCs w:val="24"/>
                            <w:lang w:eastAsia="lt-LT"/>
                          </w:rPr>
                          <w:t>Suorganizuota ekskursija į Lietuvos jūrų muziejų.</w:t>
                        </w:r>
                      </w:p>
                      <w:p>
                        <w:pPr>
                          <w:widowControl w:val="0"/>
                          <w:suppressAutoHyphens/>
                          <w:jc w:val="both"/>
                          <w:rPr>
                            <w:b/>
                            <w:bCs/>
                            <w:szCs w:val="24"/>
                          </w:rPr>
                        </w:pPr>
                        <w:r>
                          <w:rPr>
                            <w:b/>
                            <w:bCs/>
                            <w:szCs w:val="24"/>
                            <w:u w:val="single"/>
                          </w:rPr>
                          <w:t xml:space="preserve">VO „Kaimo bendruomenė – Draugas“ –  </w:t>
                        </w:r>
                        <w:r>
                          <w:rPr>
                            <w:b/>
                            <w:bCs/>
                            <w:szCs w:val="24"/>
                          </w:rPr>
                          <w:t>„</w:t>
                        </w:r>
                        <w:r>
                          <w:rPr>
                            <w:szCs w:val="24"/>
                            <w:u w:val="single"/>
                            <w:lang w:eastAsia="lt-LT"/>
                          </w:rPr>
                          <w:t xml:space="preserve"> </w:t>
                        </w:r>
                        <w:r>
                          <w:rPr>
                            <w:b/>
                            <w:bCs/>
                            <w:szCs w:val="24"/>
                            <w:u w:val="single"/>
                          </w:rPr>
                          <w:t>Švaros herojai- aš ir tu</w:t>
                        </w:r>
                        <w:r>
                          <w:rPr>
                            <w:b/>
                            <w:bCs/>
                            <w:szCs w:val="24"/>
                          </w:rPr>
                          <w:t>“ – 600,00 Eur.</w:t>
                        </w:r>
                      </w:p>
                      <w:p>
                        <w:pPr>
                          <w:widowControl w:val="0"/>
                          <w:snapToGrid w:val="0"/>
                          <w:jc w:val="both"/>
                          <w:rPr>
                            <w:szCs w:val="24"/>
                            <w:lang w:eastAsia="lt-LT"/>
                          </w:rPr>
                        </w:pPr>
                        <w:r>
                          <w:rPr>
                            <w:szCs w:val="24"/>
                            <w:lang w:eastAsia="lt-LT"/>
                          </w:rPr>
                          <w:t xml:space="preserve">Alksniupių gyvenvietėje tęsiamas estetiškos aplinkos kūrimas. Įgyvendintas tikslas prieš 2024 m. bendruomenės organizuojamas šventes sutvarkyti Alksniupių parką ir kitas viešąsias erdves, kuriose vyks šventės veiklos ir meninė-kultūrinė programa. Įsigytos projekto paraiškoje numatytos aplinkos tvarkymui skirtos priemonės (sodo karučiai, 350 L šiukšlių maišai, 1 universalus ir 2 lapų grėbliai, šluotos). </w:t>
                        </w:r>
                      </w:p>
                      <w:p>
                        <w:pPr>
                          <w:jc w:val="both"/>
                          <w:rPr>
                            <w:b/>
                            <w:szCs w:val="24"/>
                          </w:rPr>
                        </w:pPr>
                        <w:r>
                          <w:rPr>
                            <w:szCs w:val="24"/>
                            <w:lang w:eastAsia="lt-LT"/>
                          </w:rPr>
                          <w:t xml:space="preserve">12-kai šeimų (24 dalyvių) padovanoti dekoratyviniai augalai už aktyvų dalyvavimą bendruomenės organizuotose švarinimosi talkose, už </w:t>
                        </w:r>
                        <w:r>
                          <w:rPr>
                            <w:szCs w:val="24"/>
                          </w:rPr>
                          <w:t>bendruomenės iniciatyva pertvarkytų viešųjų žaliųjų erdvių augalų priežiūrą, vejos šienavimą. Šeimoms padėkota ir už savo namų aplinkos švaros ir tvarkos puoselėjimą, o kartu ir estetiškos aplinkos kūrimą Alksniupių krašte. Bendruomenė savo iniciatyva taip pat padėkojo partneriams ŽŪB „Draugas“ ir Alksniupių pagrindinei mokyklai, kurie visuomet geranoriškai prisideda prie švarinimo talkų organizavimo. Mokiniai talkose dalyvauja</w:t>
                        </w:r>
                        <w:r>
                          <w:rPr>
                            <w:szCs w:val="24"/>
                            <w:lang w:val="en-US"/>
                          </w:rPr>
                          <w:t xml:space="preserve"> </w:t>
                        </w:r>
                        <w:r>
                          <w:rPr>
                            <w:szCs w:val="24"/>
                          </w:rPr>
                          <w:t>pagal socialinės-pilietinės veiklos planą kaupdami ne tik socialines valandas, patirtį, bet ir prisidėdami prie savo krašto aplinkos puoselėjimo, skatinami domėtis aplinkosaugine, ekologine veikla.</w:t>
                        </w:r>
                        <w:r>
                          <w:rPr>
                            <w:szCs w:val="24"/>
                            <w:lang w:val="en-US"/>
                          </w:rPr>
                          <w:t xml:space="preserve"> </w:t>
                        </w:r>
                        <w:r>
                          <w:rPr>
                            <w:b/>
                            <w:szCs w:val="24"/>
                            <w:u w:val="single"/>
                          </w:rPr>
                          <w:t>Asociacija Polekėlės bendruomenė</w:t>
                        </w:r>
                        <w:r>
                          <w:rPr>
                            <w:szCs w:val="24"/>
                          </w:rPr>
                          <w:t xml:space="preserve"> – </w:t>
                        </w:r>
                        <w:r>
                          <w:rPr>
                            <w:b/>
                            <w:szCs w:val="24"/>
                          </w:rPr>
                          <w:t xml:space="preserve">„Mokomės, gražiname Polekėlės kaimo aplinką ir keliaujame“ – 1000,00 Eur. </w:t>
                        </w:r>
                      </w:p>
                      <w:p>
                        <w:pPr>
                          <w:jc w:val="both"/>
                          <w:rPr>
                            <w:bCs/>
                            <w:szCs w:val="24"/>
                          </w:rPr>
                        </w:pPr>
                        <w:r>
                          <w:rPr>
                            <w:bCs/>
                            <w:szCs w:val="24"/>
                          </w:rPr>
                          <w:t>Projekto metu buvo įsigyta vejos sėklos, reikalingų priemonių ir medžiagų, darbinių pirštinių, šiukšlių maišų. Pravesti p</w:t>
                        </w:r>
                        <w:r>
                          <w:rPr>
                            <w:bCs/>
                            <w:szCs w:val="24"/>
                            <w:lang w:eastAsia="lt-LT"/>
                          </w:rPr>
                          <w:t xml:space="preserve">raktiniai mokymai aplinkosaugine, kraštotvarkos tema – „Dekoratyvinių medžių, krūmų genėjimo ir formavimo pagrindai“.    </w:t>
                        </w:r>
                      </w:p>
                      <w:p>
                        <w:pPr>
                          <w:jc w:val="both"/>
                          <w:rPr>
                            <w:szCs w:val="24"/>
                          </w:rPr>
                        </w:pPr>
                        <w:r>
                          <w:rPr>
                            <w:szCs w:val="24"/>
                          </w:rPr>
                          <w:t>Bendruomenės nariai taip pat dalyvavo aplinkos tvarkymo talkose, aplinkos tvarkymo akcijose.</w:t>
                        </w:r>
                      </w:p>
                      <w:p>
                        <w:pPr>
                          <w:ind w:firstLine="62"/>
                          <w:jc w:val="both"/>
                          <w:rPr>
                            <w:szCs w:val="24"/>
                          </w:rPr>
                        </w:pPr>
                        <w:r>
                          <w:rPr>
                            <w:szCs w:val="24"/>
                          </w:rPr>
                          <w:t xml:space="preserve">Dalyvaudami aplinkos tvarkymo talkose, gyventojai tiesiogiai prisidėjo prie aplinkos tvarkymo, ugdydami norą išsaugoti švarią aplinką, atsakomybę už savo elgesį su gamta.  Veiklose dalyvavo 60 žmonių.</w:t>
                        </w:r>
                      </w:p>
                      <w:p>
                        <w:pPr>
                          <w:widowControl w:val="0"/>
                          <w:suppressAutoHyphens/>
                          <w:jc w:val="both"/>
                          <w:rPr>
                            <w:b/>
                            <w:bCs/>
                            <w:szCs w:val="24"/>
                            <w:u w:val="single"/>
                          </w:rPr>
                        </w:pPr>
                        <w:r>
                          <w:rPr>
                            <w:b/>
                            <w:bCs/>
                            <w:szCs w:val="24"/>
                            <w:u w:val="single"/>
                          </w:rPr>
                          <w:t>ASOCIACIJA „ŠEDUVIAI“ – „</w:t>
                        </w:r>
                        <w:r>
                          <w:rPr>
                            <w:b/>
                            <w:szCs w:val="24"/>
                            <w:lang w:eastAsia="lt-LT"/>
                          </w:rPr>
                          <w:t>P</w:t>
                        </w:r>
                        <w:r>
                          <w:rPr>
                            <w:b/>
                            <w:bCs/>
                            <w:szCs w:val="24"/>
                            <w:u w:val="single"/>
                          </w:rPr>
                          <w:t>atraukli aplinka – tvari bendruomenė“ – 1000,00 Eur.</w:t>
                        </w:r>
                      </w:p>
                      <w:p>
                        <w:pPr>
                          <w:widowControl w:val="0"/>
                          <w:suppressAutoHyphens/>
                          <w:jc w:val="both"/>
                          <w:rPr>
                            <w:szCs w:val="24"/>
                          </w:rPr>
                        </w:pPr>
                        <w:r>
                          <w:rPr>
                            <w:szCs w:val="24"/>
                          </w:rPr>
                          <w:t xml:space="preserve">Viešosios erdvės sutvarkymas. Išvalyta Šeduvos mieste esanti maža kūdra, pasodintos vandens lelijos ir apsėta veja. </w:t>
                        </w:r>
                      </w:p>
                      <w:p>
                        <w:pPr>
                          <w:widowControl w:val="0"/>
                          <w:suppressAutoHyphens/>
                          <w:jc w:val="both"/>
                          <w:rPr>
                            <w:b/>
                            <w:bCs/>
                            <w:szCs w:val="24"/>
                            <w:u w:val="single"/>
                          </w:rPr>
                        </w:pPr>
                        <w:r>
                          <w:rPr>
                            <w:b/>
                            <w:bCs/>
                            <w:szCs w:val="24"/>
                            <w:u w:val="single"/>
                          </w:rPr>
                          <w:t xml:space="preserve">Asociacija „Pakalniškių kaimo bendruomenė“ – 724,00 Eur. </w:t>
                        </w:r>
                      </w:p>
                      <w:p>
                        <w:pPr>
                          <w:widowControl w:val="0"/>
                          <w:suppressAutoHyphens/>
                          <w:jc w:val="both"/>
                          <w:rPr>
                            <w:szCs w:val="24"/>
                          </w:rPr>
                        </w:pPr>
                        <w:r>
                          <w:rPr>
                            <w:szCs w:val="24"/>
                          </w:rPr>
                          <w:t>Suorganizuotos talkos, akciją „Darom“ užsiėmimuose dalyvavo bendruomenės nariai, kaimo gyventojai, jaunimas, vaikai ir senjorai. Aplinka sutvarkyta, puoselėjama ir prižiūrima, skatinant bendruomeniškumą, bendravimą, pagalbą vienas kitam. Išklausyta paskaita apie kraštovaizdį, kaip juo rūpintis ir tvarkytis, įgytas žinias nariai ir kiti gyventojai pritaikys ne tik bendruomenės namams, bet ir namų aplinkai.</w:t>
                        </w:r>
                      </w:p>
                      <w:p>
                        <w:pPr>
                          <w:widowControl w:val="0"/>
                          <w:suppressAutoHyphens/>
                          <w:jc w:val="both"/>
                          <w:rPr>
                            <w:b/>
                            <w:bCs/>
                            <w:szCs w:val="24"/>
                            <w:u w:val="single"/>
                          </w:rPr>
                        </w:pPr>
                      </w:p>
                    </w:tc>
                    <w:tc>
                      <w:tcPr>
                        <w:tcW w:w="1363" w:type="dxa"/>
                      </w:tcPr>
                      <w:p>
                        <w:pPr>
                          <w:widowControl w:val="0"/>
                          <w:suppressAutoHyphens/>
                          <w:jc w:val="center"/>
                          <w:rPr>
                            <w:szCs w:val="24"/>
                          </w:rPr>
                        </w:pPr>
                        <w:r>
                          <w:rPr>
                            <w:szCs w:val="24"/>
                          </w:rPr>
                          <w:t>9 624</w:t>
                        </w:r>
                      </w:p>
                      <w:p>
                        <w:pPr>
                          <w:widowControl w:val="0"/>
                          <w:suppressAutoHyphens/>
                          <w:jc w:val="center"/>
                          <w:rPr>
                            <w:szCs w:val="24"/>
                            <w:highlight w:val="yellow"/>
                          </w:rPr>
                        </w:pPr>
                      </w:p>
                    </w:tc>
                  </w:tr>
                  <w:tr>
                    <w:tc>
                      <w:tcPr>
                        <w:tcW w:w="847" w:type="dxa"/>
                      </w:tcPr>
                      <w:p>
                        <w:pPr>
                          <w:widowControl w:val="0"/>
                          <w:suppressAutoHyphens/>
                          <w:jc w:val="both"/>
                          <w:rPr>
                            <w:szCs w:val="24"/>
                          </w:rPr>
                        </w:pPr>
                        <w:r>
                          <w:rPr>
                            <w:szCs w:val="24"/>
                          </w:rPr>
                          <w:t>4.5.3.</w:t>
                        </w:r>
                      </w:p>
                    </w:tc>
                    <w:tc>
                      <w:tcPr>
                        <w:tcW w:w="2458" w:type="dxa"/>
                      </w:tcPr>
                      <w:p>
                        <w:pPr>
                          <w:widowControl w:val="0"/>
                          <w:suppressAutoHyphens/>
                          <w:ind w:firstLine="13"/>
                          <w:jc w:val="both"/>
                          <w:rPr>
                            <w:szCs w:val="24"/>
                          </w:rPr>
                        </w:pPr>
                        <w:r>
                          <w:rPr>
                            <w:szCs w:val="24"/>
                          </w:rPr>
                          <w:t xml:space="preserve">Spaudinių (laikraščių ir žurnalų) aplinkosaugine tema įsigijimas </w:t>
                        </w:r>
                      </w:p>
                    </w:tc>
                    <w:tc>
                      <w:tcPr>
                        <w:tcW w:w="4393" w:type="dxa"/>
                        <w:gridSpan w:val="2"/>
                      </w:tcPr>
                      <w:p>
                        <w:pPr>
                          <w:widowControl w:val="0"/>
                          <w:suppressAutoHyphens/>
                          <w:ind w:firstLine="13"/>
                          <w:jc w:val="both"/>
                          <w:rPr>
                            <w:szCs w:val="24"/>
                          </w:rPr>
                        </w:pPr>
                        <w:r>
                          <w:rPr>
                            <w:szCs w:val="24"/>
                          </w:rPr>
                          <w:t>Asignavimų valdytojas – Radviliškio rajono savivaldybės administracija, atsakingas – Žemės ūkio skyrius. Vykdytojas – Žemės ūkio skyrius. Vykdymo pradžia – 2024 m. lapkričio mėn., pabaiga – 2024 m. gruodžio mėn.</w:t>
                        </w:r>
                      </w:p>
                      <w:p>
                        <w:pPr>
                          <w:widowControl w:val="0"/>
                          <w:suppressAutoHyphens/>
                          <w:ind w:firstLine="13"/>
                          <w:jc w:val="both"/>
                          <w:rPr>
                            <w:szCs w:val="24"/>
                          </w:rPr>
                        </w:pPr>
                        <w:r>
                          <w:rPr>
                            <w:szCs w:val="24"/>
                          </w:rPr>
                          <w:t>Spaudinių (laikraščių ir žurnalų) aplinkosaugine tema įsigijimas mokykloms, bibliotekoms. 2025 metams: žurnalai – „Lututė“ – 10 vnt., „</w:t>
                        </w:r>
                        <w:r>
                          <w:rPr>
                            <w:bCs/>
                            <w:szCs w:val="24"/>
                          </w:rPr>
                          <w:t>Miškai</w:t>
                        </w:r>
                        <w:r>
                          <w:rPr>
                            <w:szCs w:val="24"/>
                          </w:rPr>
                          <w:t>“</w:t>
                        </w:r>
                        <w:r>
                          <w:rPr>
                            <w:b/>
                            <w:bCs/>
                            <w:szCs w:val="24"/>
                          </w:rPr>
                          <w:t xml:space="preserve"> –</w:t>
                        </w:r>
                        <w:r>
                          <w:rPr>
                            <w:szCs w:val="24"/>
                          </w:rPr>
                          <w:t xml:space="preserve"> 10 vnt.; „</w:t>
                        </w:r>
                        <w:r>
                          <w:rPr>
                            <w:bCs/>
                            <w:szCs w:val="24"/>
                          </w:rPr>
                          <w:t>Ūkininko patarėjas</w:t>
                        </w:r>
                        <w:r>
                          <w:rPr>
                            <w:szCs w:val="24"/>
                          </w:rPr>
                          <w:t>“ – 1 vnt.</w:t>
                        </w:r>
                      </w:p>
                      <w:p>
                        <w:pPr>
                          <w:widowControl w:val="0"/>
                          <w:suppressAutoHyphens/>
                          <w:jc w:val="both"/>
                          <w:rPr>
                            <w:szCs w:val="24"/>
                          </w:rPr>
                        </w:pPr>
                      </w:p>
                    </w:tc>
                    <w:tc>
                      <w:tcPr>
                        <w:tcW w:w="1363" w:type="dxa"/>
                      </w:tcPr>
                      <w:p>
                        <w:pPr>
                          <w:widowControl w:val="0"/>
                          <w:suppressAutoHyphens/>
                          <w:jc w:val="center"/>
                          <w:rPr>
                            <w:szCs w:val="24"/>
                          </w:rPr>
                        </w:pPr>
                        <w:r>
                          <w:rPr>
                            <w:szCs w:val="24"/>
                          </w:rPr>
                          <w:t>1 000</w:t>
                        </w:r>
                      </w:p>
                      <w:p>
                        <w:pPr>
                          <w:widowControl w:val="0"/>
                          <w:suppressAutoHyphens/>
                          <w:jc w:val="center"/>
                          <w:rPr>
                            <w:szCs w:val="24"/>
                          </w:rPr>
                        </w:pPr>
                      </w:p>
                    </w:tc>
                  </w:tr>
                  <w:tr>
                    <w:tc>
                      <w:tcPr>
                        <w:tcW w:w="847" w:type="dxa"/>
                      </w:tcPr>
                      <w:p>
                        <w:pPr>
                          <w:widowControl w:val="0"/>
                          <w:suppressAutoHyphens/>
                          <w:jc w:val="both"/>
                          <w:rPr>
                            <w:szCs w:val="24"/>
                          </w:rPr>
                        </w:pPr>
                        <w:r>
                          <w:rPr>
                            <w:szCs w:val="24"/>
                          </w:rPr>
                          <w:t>4.6.</w:t>
                        </w:r>
                      </w:p>
                    </w:tc>
                    <w:tc>
                      <w:tcPr>
                        <w:tcW w:w="6851" w:type="dxa"/>
                        <w:gridSpan w:val="3"/>
                      </w:tcPr>
                      <w:p>
                        <w:pPr>
                          <w:widowControl w:val="0"/>
                          <w:suppressAutoHyphens/>
                          <w:ind w:firstLine="13"/>
                          <w:jc w:val="both"/>
                          <w:rPr>
                            <w:b/>
                            <w:szCs w:val="24"/>
                          </w:rPr>
                        </w:pPr>
                        <w:r>
                          <w:rPr>
                            <w:b/>
                            <w:szCs w:val="24"/>
                          </w:rPr>
                          <w:t>Želdynų ir želdinių apsaugos, tvarkymo, būklės stebėsenos, želdynų kūrimo, želdinių veisimo ir inventorizavimo priemonės</w:t>
                        </w:r>
                      </w:p>
                    </w:tc>
                    <w:tc>
                      <w:tcPr>
                        <w:tcW w:w="1363" w:type="dxa"/>
                      </w:tcPr>
                      <w:p>
                        <w:pPr>
                          <w:widowControl w:val="0"/>
                          <w:suppressAutoHyphens/>
                          <w:jc w:val="center"/>
                          <w:rPr>
                            <w:szCs w:val="24"/>
                          </w:rPr>
                        </w:pPr>
                      </w:p>
                    </w:tc>
                  </w:tr>
                  <w:tr>
                    <w:tc>
                      <w:tcPr>
                        <w:tcW w:w="847" w:type="dxa"/>
                      </w:tcPr>
                      <w:p>
                        <w:pPr>
                          <w:widowControl w:val="0"/>
                          <w:suppressAutoHyphens/>
                          <w:jc w:val="both"/>
                          <w:rPr>
                            <w:szCs w:val="24"/>
                          </w:rPr>
                        </w:pPr>
                        <w:r>
                          <w:rPr>
                            <w:szCs w:val="24"/>
                          </w:rPr>
                          <w:t>4.6.1.</w:t>
                        </w:r>
                      </w:p>
                    </w:tc>
                    <w:tc>
                      <w:tcPr>
                        <w:tcW w:w="2458" w:type="dxa"/>
                      </w:tcPr>
                      <w:p>
                        <w:pPr>
                          <w:widowControl w:val="0"/>
                          <w:suppressAutoHyphens/>
                          <w:ind w:firstLine="13"/>
                          <w:jc w:val="both"/>
                          <w:rPr>
                            <w:szCs w:val="24"/>
                          </w:rPr>
                        </w:pPr>
                        <w:r>
                          <w:rPr>
                            <w:szCs w:val="24"/>
                          </w:rPr>
                          <w:t>Naujų želdinių įsigijimas, pavojų keliančių medžių šalinimo darbai, medžių ir krūmų genėjimo darbai</w:t>
                        </w:r>
                      </w:p>
                    </w:tc>
                    <w:tc>
                      <w:tcPr>
                        <w:tcW w:w="4387" w:type="dxa"/>
                      </w:tcPr>
                      <w:p>
                        <w:pPr>
                          <w:widowControl w:val="0"/>
                          <w:suppressAutoHyphens/>
                          <w:ind w:firstLine="13"/>
                          <w:jc w:val="both"/>
                          <w:rPr>
                            <w:szCs w:val="24"/>
                          </w:rPr>
                        </w:pPr>
                        <w:r>
                          <w:rPr>
                            <w:szCs w:val="24"/>
                          </w:rPr>
                          <w:t xml:space="preserve">Asignavimų valdytojas – Radviliškio rajono savivaldybės administracija, atsakingas – Žemės ūkio skyrius, Radviliškio rajono savivaldybės administracijos seniūnijos. Vykdytojas – Radviliškio rajono savivaldybės administracijos seniūnijos. Vykdymo pradžia – 2024 m. I ketv., pabaiga – 2024 m. IV ketv. </w:t>
                        </w:r>
                      </w:p>
                      <w:p>
                        <w:pPr>
                          <w:widowControl w:val="0"/>
                          <w:tabs>
                            <w:tab w:val="left" w:pos="300"/>
                          </w:tabs>
                          <w:suppressAutoHyphens/>
                          <w:jc w:val="both"/>
                          <w:rPr>
                            <w:szCs w:val="24"/>
                          </w:rPr>
                        </w:pPr>
                        <w:r>
                          <w:rPr>
                            <w:b/>
                            <w:szCs w:val="24"/>
                            <w:u w:val="single"/>
                          </w:rPr>
                          <w:t>Aukštelkų seniūnija</w:t>
                        </w:r>
                        <w:r>
                          <w:rPr>
                            <w:szCs w:val="24"/>
                          </w:rPr>
                          <w:t xml:space="preserve"> – 2000,00 Eur. </w:t>
                        </w:r>
                      </w:p>
                      <w:p>
                        <w:pPr>
                          <w:widowControl w:val="0"/>
                          <w:tabs>
                            <w:tab w:val="left" w:pos="300"/>
                          </w:tabs>
                          <w:suppressAutoHyphens/>
                          <w:jc w:val="both"/>
                          <w:rPr>
                            <w:szCs w:val="24"/>
                          </w:rPr>
                        </w:pPr>
                        <w:r>
                          <w:rPr>
                            <w:szCs w:val="24"/>
                          </w:rPr>
                          <w:t>1. Kalnelio Gražionių k. Liepų g. 20 pavojingų medžių sutvarkymas, šalinimas, nupjovimas.</w:t>
                        </w:r>
                      </w:p>
                      <w:p>
                        <w:pPr>
                          <w:widowControl w:val="0"/>
                          <w:tabs>
                            <w:tab w:val="left" w:pos="288"/>
                          </w:tabs>
                          <w:suppressAutoHyphens/>
                          <w:ind w:left="42"/>
                          <w:jc w:val="both"/>
                          <w:rPr>
                            <w:szCs w:val="24"/>
                          </w:rPr>
                        </w:pPr>
                        <w:r>
                          <w:rPr>
                            <w:szCs w:val="24"/>
                          </w:rPr>
                          <w:t>2. Aukštelkų k. Taikos g. 10 medžių pjovimas (užvirtęs ant namo).</w:t>
                        </w:r>
                      </w:p>
                      <w:p>
                        <w:pPr>
                          <w:widowControl w:val="0"/>
                          <w:suppressAutoHyphens/>
                          <w:ind w:firstLine="13"/>
                          <w:jc w:val="both"/>
                          <w:rPr>
                            <w:szCs w:val="24"/>
                          </w:rPr>
                        </w:pPr>
                        <w:r>
                          <w:rPr>
                            <w:szCs w:val="24"/>
                          </w:rPr>
                          <w:t>3. Aukštelkų k. kelmų frezavimas, technikos pristatymas.</w:t>
                        </w:r>
                      </w:p>
                      <w:p>
                        <w:pPr>
                          <w:ind w:firstLine="32"/>
                          <w:jc w:val="both"/>
                          <w:rPr>
                            <w:kern w:val="2"/>
                            <w:szCs w:val="24"/>
                          </w:rPr>
                        </w:pPr>
                        <w:r>
                          <w:rPr>
                            <w:rFonts w:cs="Tahoma"/>
                            <w:b/>
                            <w:kern w:val="2"/>
                            <w:szCs w:val="24"/>
                            <w:u w:val="single"/>
                          </w:rPr>
                          <w:t>Baisogalos seniūnija</w:t>
                        </w:r>
                        <w:r>
                          <w:rPr>
                            <w:rFonts w:cs="Tahoma"/>
                            <w:kern w:val="2"/>
                            <w:szCs w:val="24"/>
                          </w:rPr>
                          <w:t xml:space="preserve"> – </w:t>
                        </w:r>
                        <w:r>
                          <w:rPr>
                            <w:kern w:val="2"/>
                            <w:szCs w:val="24"/>
                          </w:rPr>
                          <w:t xml:space="preserve">2940,30 </w:t>
                        </w:r>
                        <w:r>
                          <w:rPr>
                            <w:rFonts w:cs="Tahoma"/>
                            <w:kern w:val="2"/>
                            <w:szCs w:val="24"/>
                          </w:rPr>
                          <w:t>Eur. Medžių pjovimas, genėjimas, kuras medžių genėjimui, pjovimui ir nukirstų medžių išvežimui.</w:t>
                        </w:r>
                        <w:r>
                          <w:rPr>
                            <w:kern w:val="2"/>
                            <w:szCs w:val="24"/>
                          </w:rPr>
                          <w:t xml:space="preserve"> Lėšos panaudotos:</w:t>
                        </w:r>
                      </w:p>
                      <w:p>
                        <w:pPr>
                          <w:rPr>
                            <w:kern w:val="2"/>
                            <w:szCs w:val="24"/>
                          </w:rPr>
                        </w:pPr>
                        <w:r>
                          <w:rPr>
                            <w:kern w:val="2"/>
                            <w:szCs w:val="24"/>
                          </w:rPr>
                          <w:t xml:space="preserve">medžių pjovimo paslaugoms. </w:t>
                        </w:r>
                      </w:p>
                      <w:p>
                        <w:pPr>
                          <w:widowControl w:val="0"/>
                          <w:suppressAutoHyphens/>
                          <w:ind w:firstLine="11"/>
                          <w:jc w:val="both"/>
                          <w:rPr>
                            <w:szCs w:val="24"/>
                          </w:rPr>
                        </w:pPr>
                        <w:r>
                          <w:rPr>
                            <w:rFonts w:cs="Tahoma"/>
                            <w:b/>
                            <w:szCs w:val="24"/>
                            <w:u w:val="single"/>
                          </w:rPr>
                          <w:t>Grinkiškio seniūnija</w:t>
                        </w:r>
                        <w:r>
                          <w:rPr>
                            <w:rFonts w:cs="Tahoma"/>
                            <w:szCs w:val="24"/>
                          </w:rPr>
                          <w:t xml:space="preserve"> – 2000,00 Eur. A</w:t>
                        </w:r>
                        <w:r>
                          <w:rPr>
                            <w:szCs w:val="24"/>
                          </w:rPr>
                          <w:t xml:space="preserve">tlikta pavojų keliančių medžių  pjovimo paslauga  Grinkiškio mstl. kapinėse, Radviliškio r.  </w:t>
                        </w:r>
                      </w:p>
                      <w:p>
                        <w:pPr>
                          <w:widowControl w:val="0"/>
                          <w:suppressAutoHyphens/>
                          <w:ind w:firstLine="13"/>
                          <w:jc w:val="both"/>
                          <w:rPr>
                            <w:szCs w:val="24"/>
                            <w:lang w:eastAsia="lt-LT"/>
                          </w:rPr>
                        </w:pPr>
                        <w:r>
                          <w:rPr>
                            <w:szCs w:val="24"/>
                            <w:lang w:eastAsia="lt-LT"/>
                          </w:rPr>
                          <w:t xml:space="preserve">Avarinių medžių pjovimo darbai Mokyklos g. 8, Pašušvys, Radviliškio r.  </w:t>
                        </w:r>
                      </w:p>
                      <w:p>
                        <w:pPr>
                          <w:widowControl w:val="0"/>
                          <w:suppressAutoHyphens/>
                          <w:jc w:val="both"/>
                          <w:rPr>
                            <w:rFonts w:cs="Tahoma"/>
                            <w:bCs/>
                            <w:szCs w:val="24"/>
                          </w:rPr>
                        </w:pPr>
                        <w:r>
                          <w:rPr>
                            <w:rFonts w:cs="Tahoma"/>
                            <w:b/>
                            <w:szCs w:val="24"/>
                            <w:u w:val="single"/>
                          </w:rPr>
                          <w:t>Pakalniškių seniūnija</w:t>
                        </w:r>
                        <w:r>
                          <w:rPr>
                            <w:rFonts w:cs="Tahoma"/>
                            <w:szCs w:val="24"/>
                          </w:rPr>
                          <w:t xml:space="preserve"> – 2000,00 Eur. A</w:t>
                        </w:r>
                        <w:r>
                          <w:rPr>
                            <w:rFonts w:cs="Tahoma"/>
                            <w:bCs/>
                            <w:szCs w:val="24"/>
                          </w:rPr>
                          <w:t>utokeltuvo nuoma medžių kirtimui Alksniupių k. skverelyje, Alksniupių k., Radviliškio r.</w:t>
                        </w:r>
                      </w:p>
                      <w:p>
                        <w:pPr>
                          <w:widowControl w:val="0"/>
                          <w:suppressAutoHyphens/>
                          <w:spacing w:line="256" w:lineRule="auto"/>
                          <w:jc w:val="both"/>
                          <w:rPr>
                            <w:szCs w:val="24"/>
                          </w:rPr>
                        </w:pPr>
                        <w:r>
                          <w:rPr>
                            <w:szCs w:val="24"/>
                          </w:rPr>
                          <w:t xml:space="preserve">Pavojų keliančių medžių pjovimas Kleboniškių k. kapinėse, Kleboniškių k., Radviliškio r. </w:t>
                        </w:r>
                      </w:p>
                      <w:p>
                        <w:pPr>
                          <w:widowControl w:val="0"/>
                          <w:suppressAutoHyphens/>
                          <w:spacing w:line="256" w:lineRule="auto"/>
                          <w:jc w:val="both"/>
                          <w:rPr>
                            <w:szCs w:val="24"/>
                          </w:rPr>
                        </w:pPr>
                        <w:r>
                          <w:rPr>
                            <w:szCs w:val="24"/>
                          </w:rPr>
                          <w:t xml:space="preserve">Pavojų keliančių medžių pjovimas: uosis Alksniupių kaimo kapinėse; sidabrinis klevas šalia daugiabučio namo, esančio Algirdo g. 26, Alksniupių k; gluosnis Raudondvario k.; mažalapė liepa, šalia namo, esančio Rozalimo g. 23, Pakalniškių k. </w:t>
                        </w:r>
                      </w:p>
                      <w:p>
                        <w:pPr>
                          <w:widowControl w:val="0"/>
                          <w:suppressAutoHyphens/>
                          <w:spacing w:line="256" w:lineRule="auto"/>
                          <w:jc w:val="both"/>
                          <w:rPr>
                            <w:szCs w:val="24"/>
                          </w:rPr>
                        </w:pPr>
                        <w:r>
                          <w:rPr>
                            <w:szCs w:val="24"/>
                          </w:rPr>
                          <w:t xml:space="preserve">Sanitarinis genėjimas: sidabrinis klevas, šalia namo Algirdo g. 26, Alksniupių k.; pušis Pakalniškių k. kapinėse, ažuolas Alksniupių k. </w:t>
                        </w:r>
                      </w:p>
                      <w:p>
                        <w:pPr>
                          <w:widowControl w:val="0"/>
                          <w:suppressAutoHyphens/>
                          <w:jc w:val="both"/>
                          <w:rPr>
                            <w:szCs w:val="24"/>
                          </w:rPr>
                        </w:pPr>
                        <w:r>
                          <w:rPr>
                            <w:b/>
                            <w:szCs w:val="24"/>
                            <w:u w:val="single"/>
                          </w:rPr>
                          <w:t>Radviliškio miesto seniūnija</w:t>
                        </w:r>
                        <w:r>
                          <w:rPr>
                            <w:szCs w:val="24"/>
                          </w:rPr>
                          <w:t xml:space="preserve"> – 10000,00 Eur. Naujų želdinių įsigijimas ir veisimas. Skroblai, Eibariškių parko labirinto dalinis atsodinimas – 100 vnt.. Medžių pjovimo ir genėjimo paslaugos Naujosiose miesto kapinėse, Vingėliškio g., Radviliškio m. Nupjauti 29 medžiai ir nugenėti 6 medžiai. </w:t>
                        </w:r>
                      </w:p>
                      <w:p>
                        <w:pPr>
                          <w:widowControl w:val="0"/>
                          <w:suppressAutoHyphens/>
                          <w:jc w:val="both"/>
                          <w:rPr>
                            <w:szCs w:val="24"/>
                          </w:rPr>
                        </w:pPr>
                        <w:r>
                          <w:rPr>
                            <w:szCs w:val="24"/>
                          </w:rPr>
                          <w:t>Medžių pjovimo ir genėjimas Radviliškio mieste. Medžių pjovimas su šakų išvežimu Jaramino g. 20, Radviliškio m.</w:t>
                        </w:r>
                      </w:p>
                      <w:p>
                        <w:pPr>
                          <w:widowControl w:val="0"/>
                          <w:suppressAutoHyphens/>
                          <w:ind w:firstLine="13"/>
                          <w:jc w:val="both"/>
                          <w:rPr>
                            <w:szCs w:val="24"/>
                          </w:rPr>
                        </w:pPr>
                        <w:r>
                          <w:rPr>
                            <w:b/>
                            <w:szCs w:val="24"/>
                            <w:u w:val="single"/>
                          </w:rPr>
                          <w:t>Radviliškio seniūnija</w:t>
                        </w:r>
                        <w:r>
                          <w:rPr>
                            <w:szCs w:val="24"/>
                          </w:rPr>
                          <w:t xml:space="preserve"> – 1922,80 Eur. </w:t>
                        </w:r>
                      </w:p>
                      <w:p>
                        <w:pPr>
                          <w:widowControl w:val="0"/>
                          <w:suppressAutoHyphens/>
                          <w:ind w:firstLine="13"/>
                          <w:jc w:val="both"/>
                          <w:rPr>
                            <w:szCs w:val="24"/>
                          </w:rPr>
                        </w:pPr>
                        <w:r>
                          <w:rPr>
                            <w:szCs w:val="24"/>
                          </w:rPr>
                          <w:t>Naujų želdynų įsigijimas. Naujais želdiniais (tujomis) į neprigijusių želdynų vietas atsodinti nauji želdiniai, prie Šniūraičių k. Kurų kapinių. Įsigyta 20 vnt. naujų želdinių.</w:t>
                        </w:r>
                      </w:p>
                      <w:p>
                        <w:pPr>
                          <w:widowControl w:val="0"/>
                          <w:suppressAutoHyphens/>
                          <w:ind w:firstLine="13"/>
                          <w:jc w:val="both"/>
                          <w:rPr>
                            <w:szCs w:val="24"/>
                          </w:rPr>
                        </w:pPr>
                        <w:r>
                          <w:rPr>
                            <w:szCs w:val="24"/>
                          </w:rPr>
                          <w:t>Miežaičių k. Ąžuolų g. atlikti ąžuolo priežiūros – aukštuminio genėjimo darbai.</w:t>
                        </w:r>
                      </w:p>
                      <w:p>
                        <w:pPr>
                          <w:widowControl w:val="0"/>
                          <w:suppressAutoHyphens/>
                          <w:ind w:firstLine="13"/>
                          <w:jc w:val="both"/>
                          <w:rPr>
                            <w:szCs w:val="24"/>
                          </w:rPr>
                        </w:pPr>
                        <w:r>
                          <w:rPr>
                            <w:szCs w:val="24"/>
                          </w:rPr>
                          <w:t>Nugenėtų krūmų kelyje Varnioniai–Miežaičiai RD0009 kelmų rovimas, siekiant visapusiško savaime priaugusių ir matomumą bloginančių krūmų pašalinimo.</w:t>
                        </w:r>
                      </w:p>
                      <w:p>
                        <w:pPr>
                          <w:widowControl w:val="0"/>
                          <w:suppressAutoHyphens/>
                          <w:jc w:val="both"/>
                          <w:rPr>
                            <w:szCs w:val="24"/>
                          </w:rPr>
                        </w:pPr>
                        <w:r>
                          <w:rPr>
                            <w:b/>
                            <w:szCs w:val="24"/>
                            <w:u w:val="single"/>
                          </w:rPr>
                          <w:t>Sidabravo seniūnija</w:t>
                        </w:r>
                        <w:r>
                          <w:rPr>
                            <w:szCs w:val="24"/>
                          </w:rPr>
                          <w:t xml:space="preserve"> – 2500,00 Eur. Įsigyti medeliai ir pasodinti Beinoravos kaime Parko gatvėje ir Sidabravo miestelio viešoje erdvėje prie herbo-gėlyno.</w:t>
                        </w:r>
                      </w:p>
                      <w:p>
                        <w:pPr>
                          <w:widowControl w:val="0"/>
                          <w:suppressAutoHyphens/>
                          <w:jc w:val="both"/>
                          <w:rPr>
                            <w:szCs w:val="24"/>
                          </w:rPr>
                        </w:pPr>
                        <w:r>
                          <w:rPr>
                            <w:szCs w:val="24"/>
                          </w:rPr>
                          <w:t xml:space="preserve">Nupjauta  Sidabravo kapinėse, esančiose Miškių kaime  2 liepos ir 3 klevai. </w:t>
                        </w:r>
                      </w:p>
                      <w:p>
                        <w:pPr>
                          <w:widowControl w:val="0"/>
                          <w:suppressAutoHyphens/>
                          <w:jc w:val="both"/>
                          <w:rPr>
                            <w:szCs w:val="24"/>
                          </w:rPr>
                        </w:pPr>
                        <w:r>
                          <w:rPr>
                            <w:szCs w:val="24"/>
                          </w:rPr>
                          <w:t xml:space="preserve">Nupjauti Dapšionių kaimo kapinėse medžiai: liepos 8 vnt, klevai 3 vnt. </w:t>
                        </w:r>
                      </w:p>
                      <w:p>
                        <w:pPr>
                          <w:widowControl w:val="0"/>
                          <w:tabs>
                            <w:tab w:val="left" w:pos="1680"/>
                          </w:tabs>
                          <w:suppressAutoHyphens/>
                          <w:jc w:val="both"/>
                          <w:rPr>
                            <w:szCs w:val="24"/>
                          </w:rPr>
                        </w:pPr>
                        <w:r>
                          <w:rPr>
                            <w:b/>
                            <w:szCs w:val="24"/>
                            <w:u w:val="single"/>
                          </w:rPr>
                          <w:t>Skėmių seniūnija</w:t>
                        </w:r>
                        <w:r>
                          <w:rPr>
                            <w:szCs w:val="24"/>
                          </w:rPr>
                          <w:t xml:space="preserve"> – 1161,25 Eur. Pavojingų medžių pjovimas kapinėse. Naujų želdinių įsigijimas. Kuras aplinkos želdynų tvarkymui. Įsigyti medžiai. Pavojų keliančių  medžių šalinimo darbai.</w:t>
                        </w:r>
                      </w:p>
                      <w:p>
                        <w:pPr>
                          <w:widowControl w:val="0"/>
                          <w:suppressAutoHyphens/>
                          <w:spacing w:line="256" w:lineRule="auto"/>
                          <w:ind w:firstLine="13"/>
                          <w:jc w:val="both"/>
                          <w:rPr>
                            <w:szCs w:val="24"/>
                          </w:rPr>
                        </w:pPr>
                        <w:r>
                          <w:rPr>
                            <w:b/>
                            <w:szCs w:val="24"/>
                            <w:u w:val="single"/>
                          </w:rPr>
                          <w:t>Šaukoto seniūnija</w:t>
                        </w:r>
                        <w:r>
                          <w:rPr>
                            <w:szCs w:val="24"/>
                          </w:rPr>
                          <w:t xml:space="preserve"> – 252,00 Eur. Daugiamečių gėlių įsigijimas.</w:t>
                        </w:r>
                      </w:p>
                      <w:p>
                        <w:pPr>
                          <w:widowControl w:val="0"/>
                          <w:suppressAutoHyphens/>
                          <w:ind w:firstLine="13"/>
                          <w:jc w:val="both"/>
                          <w:rPr>
                            <w:szCs w:val="24"/>
                          </w:rPr>
                        </w:pPr>
                        <w:r>
                          <w:rPr>
                            <w:b/>
                            <w:szCs w:val="24"/>
                            <w:u w:val="single"/>
                          </w:rPr>
                          <w:t>Šeduvos miesto seniūnija</w:t>
                        </w:r>
                        <w:r>
                          <w:rPr>
                            <w:szCs w:val="24"/>
                          </w:rPr>
                          <w:t xml:space="preserve"> – 3 000 Eur. Bitininės facelijos sėklos – žydinčios pievos įrengimas Velžių k., šalia Arimaičių ež. paplūdimio.</w:t>
                        </w:r>
                      </w:p>
                      <w:p>
                        <w:pPr>
                          <w:widowControl w:val="0"/>
                          <w:suppressAutoHyphens/>
                          <w:ind w:left="13"/>
                          <w:jc w:val="both"/>
                          <w:rPr>
                            <w:szCs w:val="24"/>
                          </w:rPr>
                        </w:pPr>
                        <w:r>
                          <w:rPr>
                            <w:szCs w:val="24"/>
                          </w:rPr>
                          <w:t xml:space="preserve">Avarinių medžių šalinimas – Šeduvos miesto kapinėse, Vėriškių k.. </w:t>
                        </w:r>
                      </w:p>
                      <w:p>
                        <w:pPr>
                          <w:ind w:firstLine="13"/>
                          <w:jc w:val="both"/>
                          <w:rPr>
                            <w:szCs w:val="24"/>
                          </w:rPr>
                        </w:pPr>
                        <w:r>
                          <w:rPr>
                            <w:b/>
                            <w:szCs w:val="24"/>
                            <w:u w:val="single"/>
                          </w:rPr>
                          <w:t>Šiaulėnų seniūnija</w:t>
                        </w:r>
                        <w:r>
                          <w:rPr>
                            <w:szCs w:val="24"/>
                          </w:rPr>
                          <w:t xml:space="preserve"> – 1200,00 Eur. Pavojų keliančių ir avarinių medžių pjovimas ir genėjimas</w:t>
                        </w:r>
                        <w:r>
                          <w:rPr>
                            <w:rFonts w:ascii="TimesLT" w:hAnsi="TimesLT"/>
                            <w:sz w:val="8"/>
                            <w:szCs w:val="8"/>
                          </w:rPr>
                          <w:t xml:space="preserve"> </w:t>
                        </w:r>
                        <w:r>
                          <w:rPr>
                            <w:szCs w:val="24"/>
                          </w:rPr>
                          <w:t xml:space="preserve">Šiaulėnų miestelyje. </w:t>
                        </w:r>
                      </w:p>
                      <w:p>
                        <w:pPr>
                          <w:ind w:firstLine="13"/>
                          <w:jc w:val="both"/>
                          <w:rPr>
                            <w:szCs w:val="24"/>
                          </w:rPr>
                        </w:pPr>
                        <w:r>
                          <w:rPr>
                            <w:b/>
                            <w:szCs w:val="24"/>
                            <w:u w:val="single"/>
                          </w:rPr>
                          <w:t>Tyrulių seniūnija</w:t>
                        </w:r>
                        <w:r>
                          <w:rPr>
                            <w:szCs w:val="24"/>
                          </w:rPr>
                          <w:t xml:space="preserve"> – 1482,25 Eur. Nupjauti avariniai medžiai Polekėlės parke, Polekėlės kapinėse ir Tyrulių mstl.</w:t>
                        </w:r>
                      </w:p>
                    </w:tc>
                    <w:tc>
                      <w:tcPr>
                        <w:tcW w:w="1369" w:type="dxa"/>
                        <w:gridSpan w:val="2"/>
                      </w:tcPr>
                      <w:p>
                        <w:pPr>
                          <w:widowControl w:val="0"/>
                          <w:suppressAutoHyphens/>
                          <w:jc w:val="center"/>
                          <w:rPr>
                            <w:szCs w:val="24"/>
                          </w:rPr>
                        </w:pPr>
                        <w:r>
                          <w:rPr>
                            <w:szCs w:val="24"/>
                          </w:rPr>
                          <w:t>30 458</w:t>
                        </w:r>
                      </w:p>
                      <w:p>
                        <w:pPr>
                          <w:widowControl w:val="0"/>
                          <w:suppressAutoHyphens/>
                          <w:jc w:val="center"/>
                          <w:rPr>
                            <w:szCs w:val="24"/>
                          </w:rPr>
                        </w:pPr>
                      </w:p>
                      <w:p>
                        <w:pPr>
                          <w:widowControl w:val="0"/>
                          <w:suppressAutoHyphens/>
                          <w:ind w:firstLine="186"/>
                          <w:jc w:val="center"/>
                          <w:rPr>
                            <w:szCs w:val="24"/>
                          </w:rPr>
                        </w:pPr>
                      </w:p>
                    </w:tc>
                  </w:tr>
                  <w:tr>
                    <w:trPr>
                      <w:trHeight w:val="1208"/>
                    </w:trPr>
                    <w:tc>
                      <w:tcPr>
                        <w:tcW w:w="847" w:type="dxa"/>
                        <w:vMerge w:val="restart"/>
                      </w:tcPr>
                      <w:p>
                        <w:pPr>
                          <w:widowControl w:val="0"/>
                          <w:suppressAutoHyphens/>
                          <w:jc w:val="both"/>
                          <w:rPr>
                            <w:szCs w:val="24"/>
                          </w:rPr>
                        </w:pPr>
                        <w:r>
                          <w:rPr>
                            <w:szCs w:val="24"/>
                          </w:rPr>
                          <w:t>4.6.2.</w:t>
                        </w:r>
                      </w:p>
                    </w:tc>
                    <w:tc>
                      <w:tcPr>
                        <w:tcW w:w="2458" w:type="dxa"/>
                        <w:vMerge w:val="restart"/>
                      </w:tcPr>
                      <w:p>
                        <w:pPr>
                          <w:widowControl w:val="0"/>
                          <w:suppressAutoHyphens/>
                          <w:ind w:firstLine="13"/>
                          <w:jc w:val="both"/>
                          <w:rPr>
                            <w:szCs w:val="24"/>
                          </w:rPr>
                        </w:pPr>
                        <w:r>
                          <w:rPr>
                            <w:szCs w:val="24"/>
                          </w:rPr>
                          <w:t>Seminarai, konferencijos, parodos, komandiruotės; darbuotojų, susijusių su želdynų ir želdinių apsauga, priežiūra ir tvarkymu, mokymo ir kvalifikacijos kėlimas</w:t>
                        </w:r>
                      </w:p>
                    </w:tc>
                    <w:tc>
                      <w:tcPr>
                        <w:tcW w:w="4387" w:type="dxa"/>
                      </w:tcPr>
                      <w:p>
                        <w:pPr>
                          <w:ind w:firstLine="13"/>
                          <w:jc w:val="both"/>
                          <w:rPr>
                            <w:szCs w:val="24"/>
                          </w:rPr>
                        </w:pPr>
                        <w:r>
                          <w:rPr>
                            <w:szCs w:val="24"/>
                          </w:rPr>
                          <w:t>Asignavimų valdytojas – Radviliškio rajono savivaldybės administracija, atsakingas – Žemės ūkio skyrius. Vykdytojas – Žemės ūkio skyrius. Vykdymo pradžia 2024 m. IV ketv., pabaiga – 2024 m. IV ketv.</w:t>
                        </w:r>
                      </w:p>
                      <w:p>
                        <w:pPr>
                          <w:ind w:firstLine="13"/>
                          <w:jc w:val="both"/>
                          <w:rPr>
                            <w:szCs w:val="24"/>
                          </w:rPr>
                        </w:pPr>
                        <w:r>
                          <w:rPr>
                            <w:szCs w:val="24"/>
                          </w:rPr>
                          <w:t xml:space="preserve">5 darbuotojai lapkričio 28 d. dalyvavo </w:t>
                        </w:r>
                        <w:r>
                          <w:rPr>
                            <w:rFonts w:ascii="TimesLT" w:hAnsi="TimesLT"/>
                            <w:sz w:val="8"/>
                            <w:szCs w:val="8"/>
                            <w:lang w:val="en-US"/>
                          </w:rPr>
                          <w:t xml:space="preserve"> </w:t>
                        </w:r>
                        <w:r>
                          <w:rPr>
                            <w:szCs w:val="24"/>
                          </w:rPr>
                          <w:t>Lietuvos želdintojų ir dekoratyvinių augalų augintojų asociacijos organizuotoje konferencijoje "Miestas ir gamta: želdynų</w:t>
                        </w:r>
                      </w:p>
                      <w:p>
                        <w:pPr>
                          <w:ind w:firstLine="13"/>
                          <w:jc w:val="both"/>
                          <w:rPr>
                            <w:szCs w:val="24"/>
                          </w:rPr>
                        </w:pPr>
                        <w:r>
                          <w:rPr>
                            <w:szCs w:val="24"/>
                          </w:rPr>
                          <w:t>tvarumas klimato pokyčių įtakoje"</w:t>
                        </w:r>
                      </w:p>
                    </w:tc>
                    <w:tc>
                      <w:tcPr>
                        <w:tcW w:w="1369" w:type="dxa"/>
                        <w:gridSpan w:val="2"/>
                      </w:tcPr>
                      <w:p>
                        <w:pPr>
                          <w:widowControl w:val="0"/>
                          <w:suppressAutoHyphens/>
                          <w:jc w:val="center"/>
                          <w:rPr>
                            <w:szCs w:val="24"/>
                          </w:rPr>
                        </w:pPr>
                        <w:r>
                          <w:rPr>
                            <w:szCs w:val="24"/>
                          </w:rPr>
                          <w:t>300</w:t>
                        </w:r>
                      </w:p>
                      <w:p>
                        <w:pPr>
                          <w:widowControl w:val="0"/>
                          <w:suppressAutoHyphens/>
                          <w:jc w:val="center"/>
                          <w:rPr>
                            <w:szCs w:val="24"/>
                            <w:highlight w:val="yellow"/>
                          </w:rPr>
                        </w:pPr>
                      </w:p>
                    </w:tc>
                  </w:tr>
                  <w:tr>
                    <w:trPr>
                      <w:trHeight w:val="1207"/>
                    </w:trPr>
                    <w:tc>
                      <w:tcPr>
                        <w:tcW w:w="847" w:type="dxa"/>
                        <w:vMerge/>
                      </w:tcPr>
                      <w:p>
                        <w:pPr>
                          <w:widowControl w:val="0"/>
                          <w:suppressAutoHyphens/>
                          <w:jc w:val="both"/>
                          <w:rPr>
                            <w:szCs w:val="24"/>
                          </w:rPr>
                        </w:pPr>
                      </w:p>
                    </w:tc>
                    <w:tc>
                      <w:tcPr>
                        <w:tcW w:w="2458" w:type="dxa"/>
                        <w:vMerge/>
                      </w:tcPr>
                      <w:p>
                        <w:pPr>
                          <w:widowControl w:val="0"/>
                          <w:suppressAutoHyphens/>
                          <w:ind w:firstLine="13"/>
                          <w:jc w:val="both"/>
                          <w:rPr>
                            <w:szCs w:val="24"/>
                          </w:rPr>
                        </w:pPr>
                      </w:p>
                    </w:tc>
                    <w:tc>
                      <w:tcPr>
                        <w:tcW w:w="4387" w:type="dxa"/>
                      </w:tcPr>
                      <w:p>
                        <w:pPr>
                          <w:widowControl w:val="0"/>
                          <w:suppressAutoHyphens/>
                          <w:ind w:firstLine="13"/>
                          <w:jc w:val="both"/>
                          <w:rPr>
                            <w:szCs w:val="24"/>
                          </w:rPr>
                        </w:pPr>
                        <w:r>
                          <w:rPr>
                            <w:szCs w:val="24"/>
                          </w:rPr>
                          <w:t>Asignavimų valdytojas – Radviliškio rajono savivaldybės administracija, atsakingas – Radviliškio miesto seniūnija. Vykdytojas – Radviliškio miesto seniūnija. Vykdymo pradžia 2024 m. I ketv., pabaiga – 2024 m. IV ketv.</w:t>
                        </w:r>
                      </w:p>
                      <w:p>
                        <w:pPr>
                          <w:widowControl w:val="0"/>
                          <w:suppressAutoHyphens/>
                          <w:ind w:firstLine="13"/>
                          <w:jc w:val="both"/>
                          <w:rPr>
                            <w:szCs w:val="24"/>
                          </w:rPr>
                        </w:pPr>
                        <w:r>
                          <w:rPr>
                            <w:szCs w:val="24"/>
                          </w:rPr>
                          <w:t>Darbuotojai dalyvavo nemokamuose seminaruose.</w:t>
                        </w:r>
                      </w:p>
                    </w:tc>
                    <w:tc>
                      <w:tcPr>
                        <w:tcW w:w="1369" w:type="dxa"/>
                        <w:gridSpan w:val="2"/>
                      </w:tcPr>
                      <w:p>
                        <w:pPr>
                          <w:widowControl w:val="0"/>
                          <w:suppressAutoHyphens/>
                          <w:jc w:val="center"/>
                          <w:rPr>
                            <w:szCs w:val="24"/>
                            <w:highlight w:val="yellow"/>
                          </w:rPr>
                        </w:pPr>
                        <w:r>
                          <w:rPr>
                            <w:szCs w:val="24"/>
                          </w:rPr>
                          <w:t>0</w:t>
                        </w:r>
                      </w:p>
                    </w:tc>
                  </w:tr>
                  <w:tr>
                    <w:trPr>
                      <w:trHeight w:val="556"/>
                    </w:trPr>
                    <w:tc>
                      <w:tcPr>
                        <w:tcW w:w="847" w:type="dxa"/>
                      </w:tcPr>
                      <w:p>
                        <w:pPr>
                          <w:widowControl w:val="0"/>
                          <w:suppressAutoHyphens/>
                          <w:rPr>
                            <w:szCs w:val="24"/>
                          </w:rPr>
                        </w:pPr>
                        <w:r>
                          <w:rPr>
                            <w:szCs w:val="24"/>
                          </w:rPr>
                          <w:t>4.6.3.</w:t>
                        </w:r>
                      </w:p>
                    </w:tc>
                    <w:tc>
                      <w:tcPr>
                        <w:tcW w:w="2458" w:type="dxa"/>
                      </w:tcPr>
                      <w:p>
                        <w:pPr>
                          <w:widowControl w:val="0"/>
                          <w:suppressAutoHyphens/>
                          <w:rPr>
                            <w:szCs w:val="24"/>
                          </w:rPr>
                        </w:pPr>
                        <w:r>
                          <w:rPr>
                            <w:szCs w:val="24"/>
                          </w:rPr>
                          <w:t xml:space="preserve">Želdynų kūrimas, tvarkymas, pertvarkymas, inventorizavimas </w:t>
                        </w:r>
                      </w:p>
                      <w:p>
                        <w:pPr>
                          <w:widowControl w:val="0"/>
                          <w:suppressAutoHyphens/>
                          <w:rPr>
                            <w:szCs w:val="24"/>
                          </w:rPr>
                        </w:pPr>
                      </w:p>
                    </w:tc>
                    <w:tc>
                      <w:tcPr>
                        <w:tcW w:w="4387" w:type="dxa"/>
                      </w:tcPr>
                      <w:p>
                        <w:pPr>
                          <w:widowControl w:val="0"/>
                          <w:suppressAutoHyphens/>
                          <w:jc w:val="both"/>
                          <w:rPr>
                            <w:szCs w:val="24"/>
                          </w:rPr>
                        </w:pPr>
                        <w:r>
                          <w:rPr>
                            <w:szCs w:val="24"/>
                          </w:rPr>
                          <w:t xml:space="preserve">Asignavimų valdytojas – Radviliškio rajono savivaldybės administracija, atsakingas – Žemės ūkio skyrius. Vykdytojas – Žemės ūkio skyrius. Vykdymo pradžia – 2024 m. I ketv., pabaiga – 2024 m. IV ketv. </w:t>
                        </w:r>
                      </w:p>
                      <w:p>
                        <w:pPr>
                          <w:widowControl w:val="0"/>
                          <w:suppressAutoHyphens/>
                          <w:jc w:val="both"/>
                          <w:rPr>
                            <w:szCs w:val="24"/>
                          </w:rPr>
                        </w:pPr>
                        <w:r>
                          <w:rPr>
                            <w:szCs w:val="24"/>
                          </w:rPr>
                          <w:t>Atlikta Pakalniškių seniūnijoje:</w:t>
                        </w:r>
                        <w:r>
                          <w:rPr>
                            <w:b/>
                            <w:szCs w:val="24"/>
                          </w:rPr>
                          <w:t xml:space="preserve"> </w:t>
                        </w:r>
                        <w:r>
                          <w:rPr>
                            <w:bCs/>
                            <w:szCs w:val="24"/>
                          </w:rPr>
                          <w:t>Burbiškių dvaro parko (Radviliškio r. sav., Pakalniškių sen., Burbiškio k. 1, 17,68 ha)</w:t>
                        </w:r>
                        <w:r>
                          <w:rPr>
                            <w:rFonts w:eastAsia="Book Antiqua"/>
                            <w:bCs/>
                            <w:szCs w:val="24"/>
                            <w:lang w:eastAsia="ar-SA"/>
                          </w:rPr>
                          <w:t xml:space="preserve"> </w:t>
                        </w:r>
                        <w:r>
                          <w:rPr>
                            <w:bCs/>
                            <w:szCs w:val="24"/>
                          </w:rPr>
                          <w:t xml:space="preserve"> </w:t>
                        </w:r>
                        <w:r>
                          <w:rPr>
                            <w:rFonts w:eastAsia="Book Antiqua"/>
                            <w:bCs/>
                            <w:szCs w:val="24"/>
                            <w:lang w:eastAsia="ar-SA"/>
                          </w:rPr>
                          <w:t xml:space="preserve">želdinių – medžių (nuo 8 cm) bei vertingesnių krūmų koordinavimo paslaugos (ne mažiau kaip 0,5 m tikslumu); inventorizuoti (nurodyti preliminarūs plotai) esantys želdiniai, įvertinant kiekvieno medžio ir / ar vertingesnio krūmo dendrologinius, dendrometrinius parametrus bei sanitarinę būklę, o taip pat numatant pagrįstas želdinių tvarkymo priemones (kirtimus, genėjimus ir pan.). </w:t>
                        </w:r>
                        <w:r>
                          <w:rPr>
                            <w:szCs w:val="24"/>
                          </w:rPr>
                          <w:t>Vadovaujantis Želdinių atkuriamosios vertės įkainiais, patvirtintais LR aplinkos ministro 2008 m. birželio 26 d. įsakymu Nr. D1-343, įvertinta kiekvieno medžio ar / ir saugotino krūmo vertė.</w:t>
                        </w:r>
                      </w:p>
                    </w:tc>
                    <w:tc>
                      <w:tcPr>
                        <w:tcW w:w="1369" w:type="dxa"/>
                        <w:gridSpan w:val="2"/>
                      </w:tcPr>
                      <w:p>
                        <w:pPr>
                          <w:widowControl w:val="0"/>
                          <w:suppressAutoHyphens/>
                          <w:jc w:val="center"/>
                          <w:rPr>
                            <w:szCs w:val="24"/>
                          </w:rPr>
                        </w:pPr>
                        <w:r>
                          <w:rPr>
                            <w:szCs w:val="24"/>
                          </w:rPr>
                          <w:t>18 029</w:t>
                        </w:r>
                      </w:p>
                      <w:p>
                        <w:pPr>
                          <w:widowControl w:val="0"/>
                          <w:suppressAutoHyphens/>
                          <w:jc w:val="center"/>
                          <w:rPr>
                            <w:szCs w:val="24"/>
                          </w:rPr>
                        </w:pPr>
                      </w:p>
                      <w:p>
                        <w:pPr>
                          <w:widowControl w:val="0"/>
                          <w:suppressAutoHyphens/>
                          <w:jc w:val="center"/>
                          <w:rPr>
                            <w:szCs w:val="24"/>
                          </w:rPr>
                        </w:pPr>
                      </w:p>
                      <w:p>
                        <w:pPr>
                          <w:widowControl w:val="0"/>
                          <w:suppressAutoHyphens/>
                          <w:jc w:val="center"/>
                          <w:rPr>
                            <w:szCs w:val="24"/>
                          </w:rPr>
                        </w:pPr>
                      </w:p>
                    </w:tc>
                  </w:tr>
                  <w:tr>
                    <w:trPr>
                      <w:trHeight w:val="968"/>
                    </w:trPr>
                    <w:tc>
                      <w:tcPr>
                        <w:tcW w:w="847" w:type="dxa"/>
                        <w:vMerge w:val="restart"/>
                      </w:tcPr>
                      <w:p>
                        <w:pPr>
                          <w:widowControl w:val="0"/>
                          <w:suppressAutoHyphens/>
                          <w:rPr>
                            <w:szCs w:val="24"/>
                          </w:rPr>
                        </w:pPr>
                        <w:r>
                          <w:rPr>
                            <w:szCs w:val="24"/>
                          </w:rPr>
                          <w:t>4.6.4.</w:t>
                        </w:r>
                      </w:p>
                    </w:tc>
                    <w:tc>
                      <w:tcPr>
                        <w:tcW w:w="2458" w:type="dxa"/>
                        <w:vMerge w:val="restart"/>
                      </w:tcPr>
                      <w:p>
                        <w:pPr>
                          <w:widowControl w:val="0"/>
                          <w:suppressAutoHyphens/>
                          <w:rPr>
                            <w:szCs w:val="24"/>
                          </w:rPr>
                        </w:pPr>
                        <w:r>
                          <w:rPr>
                            <w:szCs w:val="24"/>
                          </w:rPr>
                          <w:t>Medžių ir krūmų genėjimo, medžių gyvybingumo palaikymo darbai</w:t>
                        </w:r>
                      </w:p>
                    </w:tc>
                    <w:tc>
                      <w:tcPr>
                        <w:tcW w:w="4387" w:type="dxa"/>
                      </w:tcPr>
                      <w:p>
                        <w:pPr>
                          <w:widowControl w:val="0"/>
                          <w:suppressAutoHyphens/>
                          <w:jc w:val="both"/>
                          <w:rPr>
                            <w:szCs w:val="24"/>
                          </w:rPr>
                        </w:pPr>
                        <w:r>
                          <w:rPr>
                            <w:szCs w:val="24"/>
                          </w:rPr>
                          <w:t xml:space="preserve">Asignavimų valdytojas – </w:t>
                        </w:r>
                        <w:r>
                          <w:rPr>
                            <w:rFonts w:cs="Tahoma"/>
                            <w:szCs w:val="24"/>
                          </w:rPr>
                          <w:t>Radviliškio rajono savivaldybės administracija</w:t>
                        </w:r>
                        <w:r>
                          <w:rPr>
                            <w:szCs w:val="24"/>
                          </w:rPr>
                          <w:t xml:space="preserve">, atsakingas – Radviliškio miesto seniūnija. Vykdytojas – Radviliškio miesto seniūnija. Vykdymo pradžia – 2024 m. IV ketv., pabaiga – 2024 m. IV ketv. </w:t>
                        </w:r>
                      </w:p>
                      <w:p>
                        <w:pPr>
                          <w:widowControl w:val="0"/>
                          <w:suppressAutoHyphens/>
                          <w:jc w:val="both"/>
                          <w:rPr>
                            <w:rFonts w:cs="Tahoma"/>
                            <w:szCs w:val="24"/>
                          </w:rPr>
                        </w:pPr>
                        <w:r>
                          <w:rPr>
                            <w:rFonts w:cs="Tahoma"/>
                            <w:szCs w:val="24"/>
                          </w:rPr>
                          <w:t>Aukštuminės arboristikos paslaugos 14 medžių Jaunystės g. (aukštuminiai darbai: lajos priežiūros, redukcinis genėjimai), lajos sutvirtinimas specialiais lynais, šakų ir medienos atliekų sutvarkymas.</w:t>
                        </w:r>
                      </w:p>
                      <w:p>
                        <w:pPr>
                          <w:widowControl w:val="0"/>
                          <w:suppressAutoHyphens/>
                          <w:jc w:val="both"/>
                          <w:rPr>
                            <w:szCs w:val="24"/>
                          </w:rPr>
                        </w:pPr>
                        <w:r>
                          <w:rPr>
                            <w:rFonts w:cs="Tahoma"/>
                            <w:szCs w:val="24"/>
                          </w:rPr>
                          <w:t>Aukštuminės arboristikos paslaugos 9 medžiai Saulėtekio g. (aukštuminiai darbai: lajos priežiūros, redukcinis genėjimai), lajos sutvirtinimas specialiais lynais, šakų ir medienos atliekų sutvarkymas.</w:t>
                        </w:r>
                      </w:p>
                    </w:tc>
                    <w:tc>
                      <w:tcPr>
                        <w:tcW w:w="1369" w:type="dxa"/>
                        <w:gridSpan w:val="2"/>
                      </w:tcPr>
                      <w:p>
                        <w:pPr>
                          <w:widowControl w:val="0"/>
                          <w:suppressAutoHyphens/>
                          <w:jc w:val="center"/>
                          <w:rPr>
                            <w:szCs w:val="24"/>
                          </w:rPr>
                        </w:pPr>
                        <w:r>
                          <w:rPr>
                            <w:szCs w:val="24"/>
                          </w:rPr>
                          <w:t>5 000</w:t>
                        </w:r>
                      </w:p>
                      <w:p>
                        <w:pPr>
                          <w:widowControl w:val="0"/>
                          <w:suppressAutoHyphens/>
                          <w:jc w:val="center"/>
                          <w:rPr>
                            <w:szCs w:val="24"/>
                          </w:rPr>
                        </w:pPr>
                      </w:p>
                    </w:tc>
                  </w:tr>
                  <w:tr>
                    <w:trPr>
                      <w:trHeight w:val="967"/>
                    </w:trPr>
                    <w:tc>
                      <w:tcPr>
                        <w:tcW w:w="847" w:type="dxa"/>
                        <w:vMerge/>
                      </w:tcPr>
                      <w:p>
                        <w:pPr>
                          <w:widowControl w:val="0"/>
                          <w:suppressAutoHyphens/>
                          <w:rPr>
                            <w:szCs w:val="24"/>
                          </w:rPr>
                        </w:pPr>
                      </w:p>
                    </w:tc>
                    <w:tc>
                      <w:tcPr>
                        <w:tcW w:w="2458" w:type="dxa"/>
                        <w:vMerge/>
                      </w:tcPr>
                      <w:p>
                        <w:pPr>
                          <w:widowControl w:val="0"/>
                          <w:suppressAutoHyphens/>
                          <w:rPr>
                            <w:szCs w:val="24"/>
                          </w:rPr>
                        </w:pPr>
                      </w:p>
                    </w:tc>
                    <w:tc>
                      <w:tcPr>
                        <w:tcW w:w="4387" w:type="dxa"/>
                      </w:tcPr>
                      <w:p>
                        <w:pPr>
                          <w:widowControl w:val="0"/>
                          <w:suppressAutoHyphens/>
                          <w:ind w:firstLine="13"/>
                          <w:jc w:val="both"/>
                          <w:rPr>
                            <w:szCs w:val="24"/>
                          </w:rPr>
                        </w:pPr>
                        <w:r>
                          <w:rPr>
                            <w:szCs w:val="24"/>
                            <w:lang w:val="en-US"/>
                          </w:rPr>
                          <w:t xml:space="preserve">Asignavimų valdytojas – Radviliškio rajono savivaldybės administracija, atsakingas – Šeduvos miesto seniūnija. </w:t>
                        </w:r>
                        <w:r>
                          <w:rPr>
                            <w:szCs w:val="24"/>
                          </w:rPr>
                          <w:t>Vykdytojas – Šeduvos miesto seniūnija. Vykdymo pradžia – 2024 m. kovo 25 d pabaiga – 2024 m. kovo 25 d. (darbus atliko arboristai):</w:t>
                        </w:r>
                      </w:p>
                      <w:p>
                        <w:pPr>
                          <w:widowControl w:val="0"/>
                          <w:suppressAutoHyphens/>
                          <w:jc w:val="both"/>
                          <w:rPr>
                            <w:szCs w:val="24"/>
                          </w:rPr>
                        </w:pPr>
                        <w:r>
                          <w:rPr>
                            <w:szCs w:val="24"/>
                          </w:rPr>
                          <w:t xml:space="preserve">Sanitarinis medžių genėjimas – Šeduvos miesto kapinėse. </w:t>
                        </w:r>
                      </w:p>
                    </w:tc>
                    <w:tc>
                      <w:tcPr>
                        <w:tcW w:w="1369" w:type="dxa"/>
                        <w:gridSpan w:val="2"/>
                      </w:tcPr>
                      <w:p>
                        <w:pPr>
                          <w:widowControl w:val="0"/>
                          <w:suppressAutoHyphens/>
                          <w:jc w:val="center"/>
                          <w:rPr>
                            <w:szCs w:val="24"/>
                          </w:rPr>
                        </w:pPr>
                        <w:r>
                          <w:rPr>
                            <w:szCs w:val="24"/>
                          </w:rPr>
                          <w:t>2 483</w:t>
                        </w:r>
                      </w:p>
                      <w:p>
                        <w:pPr>
                          <w:widowControl w:val="0"/>
                          <w:suppressAutoHyphens/>
                          <w:jc w:val="center"/>
                          <w:rPr>
                            <w:szCs w:val="24"/>
                            <w:highlight w:val="yellow"/>
                          </w:rPr>
                        </w:pPr>
                      </w:p>
                    </w:tc>
                  </w:tr>
                  <w:tr>
                    <w:trPr>
                      <w:trHeight w:val="141"/>
                    </w:trPr>
                    <w:tc>
                      <w:tcPr>
                        <w:tcW w:w="847" w:type="dxa"/>
                        <w:vMerge w:val="restart"/>
                      </w:tcPr>
                      <w:p>
                        <w:pPr>
                          <w:widowControl w:val="0"/>
                          <w:suppressAutoHyphens/>
                          <w:rPr>
                            <w:szCs w:val="24"/>
                          </w:rPr>
                        </w:pPr>
                        <w:r>
                          <w:rPr>
                            <w:szCs w:val="24"/>
                          </w:rPr>
                          <w:t>4.6.5.</w:t>
                        </w:r>
                      </w:p>
                    </w:tc>
                    <w:tc>
                      <w:tcPr>
                        <w:tcW w:w="2458" w:type="dxa"/>
                        <w:vMerge w:val="restart"/>
                      </w:tcPr>
                      <w:p>
                        <w:pPr>
                          <w:widowControl w:val="0"/>
                          <w:suppressAutoHyphens/>
                          <w:rPr>
                            <w:szCs w:val="24"/>
                          </w:rPr>
                        </w:pPr>
                        <w:r>
                          <w:rPr>
                            <w:szCs w:val="24"/>
                          </w:rPr>
                          <w:t>Želdynų tvarkymas, pertvarkymas, pagal želdinių tvarkymo projektus (aiškinamuosius raštus)</w:t>
                        </w:r>
                      </w:p>
                    </w:tc>
                    <w:tc>
                      <w:tcPr>
                        <w:tcW w:w="4387" w:type="dxa"/>
                      </w:tcPr>
                      <w:p>
                        <w:pPr>
                          <w:widowControl w:val="0"/>
                          <w:suppressAutoHyphens/>
                          <w:jc w:val="both"/>
                          <w:rPr>
                            <w:szCs w:val="24"/>
                          </w:rPr>
                        </w:pPr>
                        <w:r>
                          <w:rPr>
                            <w:szCs w:val="24"/>
                          </w:rPr>
                          <w:t xml:space="preserve">Asignavimų valdytojas – </w:t>
                        </w:r>
                        <w:r>
                          <w:rPr>
                            <w:rFonts w:cs="Tahoma"/>
                            <w:szCs w:val="24"/>
                          </w:rPr>
                          <w:t>Radviliškio rajono savivaldybės administracija</w:t>
                        </w:r>
                        <w:r>
                          <w:rPr>
                            <w:szCs w:val="24"/>
                          </w:rPr>
                          <w:t>, atsakingas – Radviliškio miesto seniūnija. Vykdytojas – Radviliškio miesto seniūnija. Vykdymo pradžia – 2024 m. IV ketv., pabaiga – 2024 m. IV ketv.</w:t>
                          <w:tab/>
                        </w:r>
                      </w:p>
                      <w:p>
                        <w:pPr>
                          <w:widowControl w:val="0"/>
                          <w:suppressAutoHyphens/>
                          <w:jc w:val="both"/>
                          <w:rPr>
                            <w:rFonts w:cs="Tahoma"/>
                            <w:szCs w:val="24"/>
                          </w:rPr>
                        </w:pPr>
                        <w:r>
                          <w:rPr>
                            <w:rFonts w:cs="Tahoma"/>
                            <w:szCs w:val="24"/>
                          </w:rPr>
                          <w:t xml:space="preserve">Medžių pjovimo Senosiose miesto kapinėse, Maironio g., Radviliškio m., atsižvelgiant į inventorizacijos duomenis ir išduotus leidimus. </w:t>
                        </w:r>
                      </w:p>
                      <w:p>
                        <w:pPr>
                          <w:widowControl w:val="0"/>
                          <w:suppressAutoHyphens/>
                          <w:jc w:val="both"/>
                          <w:rPr>
                            <w:szCs w:val="24"/>
                          </w:rPr>
                        </w:pPr>
                        <w:r>
                          <w:rPr>
                            <w:rFonts w:cs="Tahoma"/>
                            <w:szCs w:val="24"/>
                          </w:rPr>
                          <w:t>Medžių pjovimas su šakų išvežimu Radviliškio m.</w:t>
                        </w:r>
                      </w:p>
                      <w:p>
                        <w:pPr>
                          <w:widowControl w:val="0"/>
                          <w:suppressAutoHyphens/>
                          <w:jc w:val="both"/>
                          <w:rPr>
                            <w:szCs w:val="24"/>
                          </w:rPr>
                        </w:pPr>
                      </w:p>
                    </w:tc>
                    <w:tc>
                      <w:tcPr>
                        <w:tcW w:w="1369" w:type="dxa"/>
                        <w:gridSpan w:val="2"/>
                      </w:tcPr>
                      <w:p>
                        <w:pPr>
                          <w:widowControl w:val="0"/>
                          <w:suppressAutoHyphens/>
                          <w:jc w:val="center"/>
                          <w:rPr>
                            <w:szCs w:val="24"/>
                          </w:rPr>
                        </w:pPr>
                        <w:r>
                          <w:rPr>
                            <w:szCs w:val="24"/>
                          </w:rPr>
                          <w:t>3 000</w:t>
                        </w:r>
                      </w:p>
                      <w:p>
                        <w:pPr>
                          <w:widowControl w:val="0"/>
                          <w:suppressAutoHyphens/>
                          <w:jc w:val="center"/>
                          <w:rPr>
                            <w:szCs w:val="24"/>
                          </w:rPr>
                        </w:pPr>
                      </w:p>
                    </w:tc>
                  </w:tr>
                  <w:tr>
                    <w:trPr>
                      <w:trHeight w:val="141"/>
                    </w:trPr>
                    <w:tc>
                      <w:tcPr>
                        <w:tcW w:w="847" w:type="dxa"/>
                        <w:vMerge/>
                      </w:tcPr>
                      <w:p>
                        <w:pPr>
                          <w:widowControl w:val="0"/>
                          <w:suppressAutoHyphens/>
                          <w:rPr>
                            <w:szCs w:val="24"/>
                          </w:rPr>
                        </w:pPr>
                      </w:p>
                    </w:tc>
                    <w:tc>
                      <w:tcPr>
                        <w:tcW w:w="2458" w:type="dxa"/>
                        <w:vMerge/>
                      </w:tcPr>
                      <w:p>
                        <w:pPr>
                          <w:widowControl w:val="0"/>
                          <w:suppressAutoHyphens/>
                          <w:rPr>
                            <w:szCs w:val="24"/>
                          </w:rPr>
                        </w:pPr>
                      </w:p>
                    </w:tc>
                    <w:tc>
                      <w:tcPr>
                        <w:tcW w:w="4387" w:type="dxa"/>
                      </w:tcPr>
                      <w:p>
                        <w:pPr>
                          <w:widowControl w:val="0"/>
                          <w:suppressAutoHyphens/>
                          <w:jc w:val="both"/>
                          <w:rPr>
                            <w:rFonts w:cs="Tahoma"/>
                            <w:szCs w:val="24"/>
                          </w:rPr>
                        </w:pPr>
                        <w:r>
                          <w:rPr>
                            <w:rFonts w:cs="Tahoma"/>
                            <w:szCs w:val="24"/>
                          </w:rPr>
                          <w:t>Asignavimų valdytojas – Radviliškio rajono savivaldybės administracija, atsakingas – Sidabravo seniūnija. Vykdytojas – Sidabravo seniūnija. Vykdymo pradžia – 2024 m. IV ketv., pabaiga – 2024 m. IV ketv.</w:t>
                        </w:r>
                      </w:p>
                      <w:p>
                        <w:pPr>
                          <w:widowControl w:val="0"/>
                          <w:suppressAutoHyphens/>
                          <w:ind w:firstLine="13"/>
                          <w:jc w:val="both"/>
                          <w:rPr>
                            <w:sz w:val="8"/>
                            <w:szCs w:val="8"/>
                            <w:lang w:val="en-US"/>
                          </w:rPr>
                        </w:pPr>
                        <w:r>
                          <w:rPr>
                            <w:szCs w:val="24"/>
                          </w:rPr>
                          <w:t xml:space="preserve">Nupirktas  benzinas želdynų tvarkymui pagal  2023 m. Sidabravo mstl. parko ir skvero, Beinoravos dvaro parko (I–II) želdinių inventorizacijos planą. </w:t>
                        </w:r>
                      </w:p>
                    </w:tc>
                    <w:tc>
                      <w:tcPr>
                        <w:tcW w:w="1369" w:type="dxa"/>
                        <w:gridSpan w:val="2"/>
                      </w:tcPr>
                      <w:p>
                        <w:pPr>
                          <w:widowControl w:val="0"/>
                          <w:suppressAutoHyphens/>
                          <w:jc w:val="center"/>
                          <w:rPr>
                            <w:rFonts w:cs="Tahoma"/>
                            <w:szCs w:val="24"/>
                          </w:rPr>
                        </w:pPr>
                        <w:r>
                          <w:rPr>
                            <w:rFonts w:cs="Tahoma"/>
                            <w:szCs w:val="24"/>
                          </w:rPr>
                          <w:t>498</w:t>
                        </w:r>
                      </w:p>
                      <w:p>
                        <w:pPr>
                          <w:widowControl w:val="0"/>
                          <w:suppressAutoHyphens/>
                          <w:jc w:val="center"/>
                          <w:rPr>
                            <w:szCs w:val="24"/>
                            <w:highlight w:val="yellow"/>
                          </w:rPr>
                        </w:pPr>
                      </w:p>
                    </w:tc>
                  </w:tr>
                  <w:tr>
                    <w:trPr>
                      <w:trHeight w:val="1104"/>
                    </w:trPr>
                    <w:tc>
                      <w:tcPr>
                        <w:tcW w:w="847" w:type="dxa"/>
                        <w:vMerge/>
                      </w:tcPr>
                      <w:p>
                        <w:pPr>
                          <w:widowControl w:val="0"/>
                          <w:suppressAutoHyphens/>
                          <w:rPr>
                            <w:szCs w:val="24"/>
                          </w:rPr>
                        </w:pPr>
                      </w:p>
                    </w:tc>
                    <w:tc>
                      <w:tcPr>
                        <w:tcW w:w="2458" w:type="dxa"/>
                        <w:vMerge/>
                      </w:tcPr>
                      <w:p>
                        <w:pPr>
                          <w:widowControl w:val="0"/>
                          <w:suppressAutoHyphens/>
                          <w:rPr>
                            <w:szCs w:val="24"/>
                          </w:rPr>
                        </w:pPr>
                      </w:p>
                    </w:tc>
                    <w:tc>
                      <w:tcPr>
                        <w:tcW w:w="4387" w:type="dxa"/>
                      </w:tcPr>
                      <w:p>
                        <w:pPr>
                          <w:widowControl w:val="0"/>
                          <w:suppressAutoHyphens/>
                          <w:jc w:val="both"/>
                          <w:rPr>
                            <w:szCs w:val="24"/>
                          </w:rPr>
                        </w:pPr>
                        <w:r>
                          <w:rPr>
                            <w:szCs w:val="24"/>
                          </w:rPr>
                          <w:t xml:space="preserve">Asignavimų valdytojas – </w:t>
                        </w:r>
                        <w:r>
                          <w:rPr>
                            <w:rFonts w:cs="Tahoma"/>
                            <w:szCs w:val="24"/>
                          </w:rPr>
                          <w:t>Radviliškio rajono savivaldybės administracija</w:t>
                        </w:r>
                        <w:r>
                          <w:rPr>
                            <w:szCs w:val="24"/>
                          </w:rPr>
                          <w:t xml:space="preserve">, atsakingas – </w:t>
                        </w:r>
                        <w:r>
                          <w:rPr>
                            <w:szCs w:val="24"/>
                            <w:lang w:eastAsia="lt-LT"/>
                          </w:rPr>
                          <w:t>Tyrulių seniūnija</w:t>
                        </w:r>
                        <w:r>
                          <w:rPr>
                            <w:szCs w:val="24"/>
                          </w:rPr>
                          <w:t xml:space="preserve">. Vykdytojas – </w:t>
                        </w:r>
                        <w:r>
                          <w:rPr>
                            <w:szCs w:val="24"/>
                            <w:lang w:eastAsia="lt-LT"/>
                          </w:rPr>
                          <w:t>Tyrulių seniūnija</w:t>
                        </w:r>
                        <w:r>
                          <w:rPr>
                            <w:szCs w:val="24"/>
                          </w:rPr>
                          <w:t>. Vykdymo pradžia – 2024 m. IV ketv., pabaiga – 2024 m. IV ketv.</w:t>
                        </w:r>
                      </w:p>
                      <w:p>
                        <w:pPr>
                          <w:widowControl w:val="0"/>
                          <w:suppressAutoHyphens/>
                          <w:jc w:val="both"/>
                          <w:rPr>
                            <w:szCs w:val="24"/>
                          </w:rPr>
                        </w:pPr>
                        <w:r>
                          <w:rPr>
                            <w:szCs w:val="24"/>
                          </w:rPr>
                          <w:t xml:space="preserve">Išpjauti medžiai pagal želdinių </w:t>
                        </w:r>
                        <w:r>
                          <w:rPr>
                            <w:rFonts w:ascii="Thorndale" w:hAnsi="Thorndale" w:cs="Tahoma"/>
                            <w:szCs w:val="24"/>
                          </w:rPr>
                          <w:t>inventorizavimo</w:t>
                        </w:r>
                        <w:r>
                          <w:rPr>
                            <w:szCs w:val="24"/>
                          </w:rPr>
                          <w:t xml:space="preserve"> ir tvarkymo projektą Polekėlės k. parke.</w:t>
                          <w:tab/>
                        </w:r>
                      </w:p>
                    </w:tc>
                    <w:tc>
                      <w:tcPr>
                        <w:tcW w:w="1369" w:type="dxa"/>
                        <w:gridSpan w:val="2"/>
                      </w:tcPr>
                      <w:p>
                        <w:pPr>
                          <w:widowControl w:val="0"/>
                          <w:suppressAutoHyphens/>
                          <w:jc w:val="center"/>
                          <w:rPr>
                            <w:rFonts w:cs="Tahoma"/>
                            <w:szCs w:val="24"/>
                          </w:rPr>
                        </w:pPr>
                        <w:r>
                          <w:rPr>
                            <w:rFonts w:cs="Tahoma"/>
                            <w:szCs w:val="24"/>
                          </w:rPr>
                          <w:t>1 500</w:t>
                        </w:r>
                      </w:p>
                      <w:p>
                        <w:pPr>
                          <w:widowControl w:val="0"/>
                          <w:suppressAutoHyphens/>
                          <w:jc w:val="center"/>
                          <w:rPr>
                            <w:szCs w:val="24"/>
                            <w:highlight w:val="yellow"/>
                          </w:rPr>
                        </w:pPr>
                      </w:p>
                    </w:tc>
                  </w:tr>
                  <w:tr>
                    <w:trPr>
                      <w:trHeight w:val="1102"/>
                    </w:trPr>
                    <w:tc>
                      <w:tcPr>
                        <w:tcW w:w="847" w:type="dxa"/>
                      </w:tcPr>
                      <w:p>
                        <w:pPr>
                          <w:widowControl w:val="0"/>
                          <w:suppressAutoHyphens/>
                          <w:rPr>
                            <w:szCs w:val="24"/>
                          </w:rPr>
                        </w:pPr>
                        <w:r>
                          <w:rPr>
                            <w:szCs w:val="24"/>
                          </w:rPr>
                          <w:t>4.6.6.</w:t>
                        </w:r>
                      </w:p>
                    </w:tc>
                    <w:tc>
                      <w:tcPr>
                        <w:tcW w:w="2458" w:type="dxa"/>
                      </w:tcPr>
                      <w:p>
                        <w:pPr>
                          <w:widowControl w:val="0"/>
                          <w:suppressAutoHyphens/>
                          <w:rPr>
                            <w:szCs w:val="24"/>
                          </w:rPr>
                        </w:pPr>
                        <w:r>
                          <w:rPr>
                            <w:szCs w:val="24"/>
                          </w:rPr>
                          <w:t>Želdynų ir želdinių būklės stebėsenos programos įgyvendinimas</w:t>
                        </w:r>
                      </w:p>
                    </w:tc>
                    <w:tc>
                      <w:tcPr>
                        <w:tcW w:w="4387" w:type="dxa"/>
                      </w:tcPr>
                      <w:p>
                        <w:pPr>
                          <w:widowControl w:val="0"/>
                          <w:suppressAutoHyphens/>
                          <w:jc w:val="both"/>
                          <w:rPr>
                            <w:szCs w:val="24"/>
                          </w:rPr>
                        </w:pPr>
                        <w:r>
                          <w:rPr>
                            <w:szCs w:val="24"/>
                          </w:rPr>
                          <w:t>Asignavimų valdytojas – Radviliškio rajono savivaldybės administracija, atsakingas – Žemės ūkio skyrius. Vykdytojas – Žemės ūkio skyrius. Vykdymo pradžia – 2024 m. I ketv., pabaiga – 2024 m. IV ketv.</w:t>
                        </w:r>
                      </w:p>
                      <w:p>
                        <w:pPr>
                          <w:widowControl w:val="0"/>
                          <w:suppressAutoHyphens/>
                          <w:jc w:val="both"/>
                          <w:rPr>
                            <w:szCs w:val="24"/>
                          </w:rPr>
                        </w:pPr>
                        <w:r>
                          <w:rPr>
                            <w:szCs w:val="24"/>
                          </w:rPr>
                          <w:t>Parengtos Radviliškio rajono savivaldybės želdynų ir želdinių būklės stebėsenos programos įgyvendinimo priemonių ir želdinių būklės stebėsenos plano 2022–2026 metams įgyvendinimas.</w:t>
                        </w:r>
                      </w:p>
                      <w:p>
                        <w:pPr>
                          <w:widowControl w:val="0"/>
                          <w:suppressAutoHyphens/>
                          <w:jc w:val="both"/>
                          <w:rPr>
                            <w:szCs w:val="24"/>
                          </w:rPr>
                        </w:pPr>
                        <w:r>
                          <w:rPr>
                            <w:szCs w:val="24"/>
                          </w:rPr>
                          <w:t>Vykdoma Radviliškio rajono savivaldybės želdynų ir želdinių būklės stebėsenos programa bei Želdynų ir želdinių būklės stebėsenos programos įgyvendinimo priemonės pagal želdinių būklės stebėsenos planą 2022–2026 m.</w:t>
                        </w:r>
                      </w:p>
                    </w:tc>
                    <w:tc>
                      <w:tcPr>
                        <w:tcW w:w="1369" w:type="dxa"/>
                        <w:gridSpan w:val="2"/>
                      </w:tcPr>
                      <w:p>
                        <w:pPr>
                          <w:widowControl w:val="0"/>
                          <w:suppressAutoHyphens/>
                          <w:jc w:val="center"/>
                          <w:rPr>
                            <w:szCs w:val="24"/>
                            <w:lang w:val="en-US"/>
                          </w:rPr>
                        </w:pPr>
                        <w:r>
                          <w:rPr>
                            <w:szCs w:val="24"/>
                            <w:lang w:val="en-US"/>
                          </w:rPr>
                          <w:t>3 630</w:t>
                        </w:r>
                      </w:p>
                      <w:p>
                        <w:pPr>
                          <w:widowControl w:val="0"/>
                          <w:suppressAutoHyphens/>
                          <w:jc w:val="center"/>
                          <w:rPr>
                            <w:szCs w:val="24"/>
                            <w:lang w:val="en-US"/>
                          </w:rPr>
                        </w:pPr>
                      </w:p>
                    </w:tc>
                  </w:tr>
                  <w:tr>
                    <w:tc>
                      <w:tcPr>
                        <w:tcW w:w="847" w:type="dxa"/>
                      </w:tcPr>
                      <w:p>
                        <w:pPr>
                          <w:widowControl w:val="0"/>
                          <w:suppressAutoHyphens/>
                          <w:jc w:val="both"/>
                          <w:rPr>
                            <w:szCs w:val="24"/>
                          </w:rPr>
                        </w:pPr>
                      </w:p>
                    </w:tc>
                    <w:tc>
                      <w:tcPr>
                        <w:tcW w:w="6851" w:type="dxa"/>
                        <w:gridSpan w:val="3"/>
                      </w:tcPr>
                      <w:p>
                        <w:pPr>
                          <w:widowControl w:val="0"/>
                          <w:suppressAutoHyphens/>
                          <w:jc w:val="both"/>
                          <w:rPr>
                            <w:szCs w:val="24"/>
                          </w:rPr>
                        </w:pPr>
                        <w:r>
                          <w:rPr>
                            <w:szCs w:val="24"/>
                          </w:rPr>
                          <w:t xml:space="preserve">Iš viso: </w:t>
                        </w:r>
                      </w:p>
                    </w:tc>
                    <w:tc>
                      <w:tcPr>
                        <w:tcW w:w="1363" w:type="dxa"/>
                      </w:tcPr>
                      <w:p>
                        <w:pPr>
                          <w:widowControl w:val="0"/>
                          <w:suppressAutoHyphens/>
                          <w:jc w:val="center"/>
                          <w:rPr>
                            <w:b/>
                            <w:bCs/>
                            <w:szCs w:val="24"/>
                          </w:rPr>
                        </w:pPr>
                        <w:r>
                          <w:rPr>
                            <w:b/>
                            <w:bCs/>
                            <w:szCs w:val="24"/>
                          </w:rPr>
                          <w:t>187 325</w:t>
                        </w:r>
                      </w:p>
                      <w:p>
                        <w:pPr>
                          <w:widowControl w:val="0"/>
                          <w:suppressAutoHyphens/>
                          <w:jc w:val="center"/>
                          <w:rPr>
                            <w:szCs w:val="24"/>
                          </w:rPr>
                        </w:pPr>
                      </w:p>
                    </w:tc>
                  </w:tr>
                </w:tbl>
                <w:p>
                  <w:pPr>
                    <w:jc w:val="both"/>
                    <w:rPr>
                      <w:b/>
                      <w:szCs w:val="24"/>
                    </w:rPr>
                  </w:pPr>
                </w:p>
              </w:sdtContent>
            </w:sdt>
            <w:sdt>
              <w:sdtPr>
                <w:alias w:val="5 p."/>
                <w:tag w:val="part_5fd40a9abf5841abab6f3b48b58a4aab"/>
                <w:lock w:val="sdtLocked"/>
                <w:richText/>
              </w:sdtPr>
              <w:sdtContent>
                <w:p>
                  <w:pPr>
                    <w:jc w:val="both"/>
                    <w:rPr>
                      <w:b/>
                      <w:szCs w:val="24"/>
                    </w:rPr>
                  </w:pPr>
                  <w:sdt>
                    <w:sdtPr>
                      <w:alias w:val="Numeris"/>
                      <w:tag w:val="nr_5fd40a9abf5841abab6f3b48b58a4aab"/>
                      <w:lock w:val="sdtLocked"/>
                      <w:richText/>
                    </w:sdtPr>
                    <w:sdtContent>
                      <w:r>
                        <w:rPr>
                          <w:b/>
                          <w:szCs w:val="24"/>
                        </w:rPr>
                        <w:t>5</w:t>
                      </w:r>
                    </w:sdtContent>
                  </w:sdt>
                  <w:r>
                    <w:rPr>
                      <w:b/>
                      <w:szCs w:val="24"/>
                    </w:rPr>
                    <w:t>.</w:t>
                  </w:r>
                  <w:r>
                    <w:rPr>
                      <w:szCs w:val="24"/>
                    </w:rPr>
                    <w:t xml:space="preserve"> </w:t>
                  </w:r>
                  <w:r>
                    <w:rPr>
                      <w:b/>
                      <w:szCs w:val="24"/>
                    </w:rPr>
                    <w:t>Ataskaitinio laikotarpio Programos lėšų likučiai (nepanaudotos lėšos)</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
                    <w:gridCol w:w="6"/>
                    <w:gridCol w:w="7571"/>
                    <w:gridCol w:w="1365"/>
                  </w:tblGrid>
                  <w:tr>
                    <w:trPr>
                      <w:trHeight w:val="512"/>
                    </w:trPr>
                    <w:tc>
                      <w:tcPr>
                        <w:tcW w:w="696" w:type="dxa"/>
                        <w:gridSpan w:val="2"/>
                      </w:tcPr>
                      <w:p>
                        <w:pPr>
                          <w:widowControl w:val="0"/>
                          <w:suppressAutoHyphens/>
                          <w:jc w:val="both"/>
                          <w:rPr>
                            <w:b/>
                            <w:szCs w:val="24"/>
                          </w:rPr>
                        </w:pPr>
                        <w:r>
                          <w:rPr>
                            <w:b/>
                            <w:szCs w:val="24"/>
                          </w:rPr>
                          <w:t>Eil. Nr.</w:t>
                        </w:r>
                      </w:p>
                    </w:tc>
                    <w:tc>
                      <w:tcPr>
                        <w:tcW w:w="7776" w:type="dxa"/>
                      </w:tcPr>
                      <w:p>
                        <w:pPr>
                          <w:widowControl w:val="0"/>
                          <w:suppressAutoHyphens/>
                          <w:jc w:val="both"/>
                          <w:rPr>
                            <w:b/>
                            <w:szCs w:val="24"/>
                          </w:rPr>
                        </w:pPr>
                        <w:r>
                          <w:rPr>
                            <w:b/>
                            <w:szCs w:val="24"/>
                          </w:rPr>
                          <w:t>Programos priemonių grupės pavadinimas</w:t>
                        </w:r>
                      </w:p>
                    </w:tc>
                    <w:tc>
                      <w:tcPr>
                        <w:tcW w:w="1382" w:type="dxa"/>
                      </w:tcPr>
                      <w:p>
                        <w:pPr>
                          <w:widowControl w:val="0"/>
                          <w:suppressAutoHyphens/>
                          <w:jc w:val="both"/>
                          <w:rPr>
                            <w:b/>
                            <w:szCs w:val="24"/>
                          </w:rPr>
                        </w:pPr>
                        <w:r>
                          <w:rPr>
                            <w:b/>
                            <w:szCs w:val="24"/>
                          </w:rPr>
                          <w:t>Lėšų likutis Eur</w:t>
                        </w:r>
                      </w:p>
                    </w:tc>
                  </w:tr>
                  <w:tr>
                    <w:trPr>
                      <w:trHeight w:val="499"/>
                    </w:trPr>
                    <w:tc>
                      <w:tcPr>
                        <w:tcW w:w="696" w:type="dxa"/>
                        <w:gridSpan w:val="2"/>
                      </w:tcPr>
                      <w:p>
                        <w:pPr>
                          <w:widowControl w:val="0"/>
                          <w:suppressAutoHyphens/>
                          <w:jc w:val="both"/>
                          <w:rPr>
                            <w:szCs w:val="24"/>
                          </w:rPr>
                        </w:pPr>
                        <w:r>
                          <w:rPr>
                            <w:szCs w:val="24"/>
                          </w:rPr>
                          <w:t>5.1.</w:t>
                        </w:r>
                      </w:p>
                    </w:tc>
                    <w:tc>
                      <w:tcPr>
                        <w:tcW w:w="7776" w:type="dxa"/>
                      </w:tcPr>
                      <w:p>
                        <w:pPr>
                          <w:widowControl w:val="0"/>
                          <w:suppressAutoHyphens/>
                          <w:rPr>
                            <w:szCs w:val="24"/>
                          </w:rPr>
                        </w:pPr>
                        <w:r>
                          <w:rPr>
                            <w:szCs w:val="24"/>
                          </w:rPr>
                          <w:t>Programos priemonių grupė, kuriai naudojamos lėšos, surinktos už medžiojamųjų gyvūnų išteklių naudojimą (1.8–2)</w:t>
                        </w:r>
                      </w:p>
                    </w:tc>
                    <w:tc>
                      <w:tcPr>
                        <w:tcW w:w="1382" w:type="dxa"/>
                      </w:tcPr>
                      <w:p>
                        <w:pPr>
                          <w:widowControl w:val="0"/>
                          <w:suppressAutoHyphens/>
                          <w:jc w:val="center"/>
                          <w:rPr>
                            <w:b/>
                            <w:szCs w:val="24"/>
                            <w:highlight w:val="yellow"/>
                          </w:rPr>
                        </w:pPr>
                        <w:r>
                          <w:rPr>
                            <w:b/>
                            <w:szCs w:val="24"/>
                          </w:rPr>
                          <w:t>47 095</w:t>
                        </w:r>
                      </w:p>
                    </w:tc>
                  </w:tr>
                  <w:tr>
                    <w:trPr>
                      <w:trHeight w:val="249"/>
                    </w:trPr>
                    <w:tc>
                      <w:tcPr>
                        <w:tcW w:w="696" w:type="dxa"/>
                        <w:gridSpan w:val="2"/>
                      </w:tcPr>
                      <w:p>
                        <w:pPr>
                          <w:widowControl w:val="0"/>
                          <w:suppressAutoHyphens/>
                          <w:jc w:val="both"/>
                          <w:rPr>
                            <w:szCs w:val="24"/>
                          </w:rPr>
                        </w:pPr>
                        <w:r>
                          <w:rPr>
                            <w:szCs w:val="24"/>
                          </w:rPr>
                          <w:t>5.2.</w:t>
                        </w:r>
                      </w:p>
                    </w:tc>
                    <w:tc>
                      <w:tcPr>
                        <w:tcW w:w="7776" w:type="dxa"/>
                      </w:tcPr>
                      <w:p>
                        <w:pPr>
                          <w:widowControl w:val="0"/>
                          <w:suppressAutoHyphens/>
                          <w:jc w:val="both"/>
                          <w:rPr>
                            <w:szCs w:val="24"/>
                          </w:rPr>
                        </w:pPr>
                        <w:r>
                          <w:rPr>
                            <w:szCs w:val="24"/>
                          </w:rPr>
                          <w:t>Savivaldybės visuomenės sveikatos rėmimo specialioji programa (1.12–3)</w:t>
                        </w:r>
                      </w:p>
                    </w:tc>
                    <w:tc>
                      <w:tcPr>
                        <w:tcW w:w="1382" w:type="dxa"/>
                      </w:tcPr>
                      <w:p>
                        <w:pPr>
                          <w:widowControl w:val="0"/>
                          <w:suppressAutoHyphens/>
                          <w:jc w:val="center"/>
                          <w:rPr>
                            <w:b/>
                            <w:bCs/>
                            <w:szCs w:val="24"/>
                          </w:rPr>
                        </w:pPr>
                        <w:r>
                          <w:rPr>
                            <w:b/>
                            <w:bCs/>
                            <w:szCs w:val="24"/>
                          </w:rPr>
                          <w:t>11 321</w:t>
                        </w:r>
                      </w:p>
                      <w:p>
                        <w:pPr>
                          <w:widowControl w:val="0"/>
                          <w:suppressAutoHyphens/>
                          <w:jc w:val="center"/>
                          <w:rPr>
                            <w:szCs w:val="24"/>
                            <w:highlight w:val="yellow"/>
                          </w:rPr>
                        </w:pPr>
                      </w:p>
                    </w:tc>
                  </w:tr>
                  <w:tr>
                    <w:trPr>
                      <w:trHeight w:val="263"/>
                    </w:trPr>
                    <w:tc>
                      <w:tcPr>
                        <w:tcW w:w="696" w:type="dxa"/>
                        <w:gridSpan w:val="2"/>
                      </w:tcPr>
                      <w:p>
                        <w:pPr>
                          <w:widowControl w:val="0"/>
                          <w:suppressAutoHyphens/>
                          <w:jc w:val="both"/>
                          <w:rPr>
                            <w:szCs w:val="24"/>
                          </w:rPr>
                        </w:pPr>
                        <w:r>
                          <w:rPr>
                            <w:szCs w:val="24"/>
                          </w:rPr>
                          <w:t>5.3.</w:t>
                        </w:r>
                      </w:p>
                    </w:tc>
                    <w:tc>
                      <w:tcPr>
                        <w:tcW w:w="7776" w:type="dxa"/>
                      </w:tcPr>
                      <w:p>
                        <w:pPr>
                          <w:widowControl w:val="0"/>
                          <w:suppressAutoHyphens/>
                          <w:jc w:val="both"/>
                          <w:rPr>
                            <w:szCs w:val="24"/>
                          </w:rPr>
                        </w:pPr>
                        <w:r>
                          <w:rPr>
                            <w:szCs w:val="24"/>
                          </w:rPr>
                          <w:t>Kitų Programos aplinkosaugos priemonių grupė (1.15–4)</w:t>
                        </w:r>
                      </w:p>
                    </w:tc>
                    <w:tc>
                      <w:tcPr>
                        <w:tcW w:w="1382" w:type="dxa"/>
                      </w:tcPr>
                      <w:p>
                        <w:pPr>
                          <w:widowControl w:val="0"/>
                          <w:suppressAutoHyphens/>
                          <w:jc w:val="center"/>
                          <w:rPr>
                            <w:b/>
                            <w:szCs w:val="24"/>
                          </w:rPr>
                        </w:pPr>
                        <w:r>
                          <w:rPr>
                            <w:b/>
                            <w:szCs w:val="24"/>
                          </w:rPr>
                          <w:t>43 906</w:t>
                        </w:r>
                      </w:p>
                    </w:tc>
                  </w:tr>
                  <w:tr>
                    <w:trPr>
                      <w:trHeight w:val="249"/>
                    </w:trPr>
                    <w:tc>
                      <w:tcPr>
                        <w:tcW w:w="690" w:type="dxa"/>
                      </w:tcPr>
                      <w:p>
                        <w:pPr>
                          <w:widowControl w:val="0"/>
                          <w:suppressAutoHyphens/>
                          <w:jc w:val="both"/>
                          <w:rPr>
                            <w:szCs w:val="24"/>
                          </w:rPr>
                        </w:pPr>
                        <w:r>
                          <w:rPr>
                            <w:szCs w:val="24"/>
                          </w:rPr>
                          <w:t>5.4.</w:t>
                        </w:r>
                      </w:p>
                    </w:tc>
                    <w:tc>
                      <w:tcPr>
                        <w:tcW w:w="7782" w:type="dxa"/>
                        <w:gridSpan w:val="2"/>
                      </w:tcPr>
                      <w:p>
                        <w:pPr>
                          <w:widowControl w:val="0"/>
                          <w:suppressAutoHyphens/>
                          <w:jc w:val="both"/>
                          <w:rPr>
                            <w:szCs w:val="24"/>
                          </w:rPr>
                        </w:pPr>
                        <w:r>
                          <w:rPr>
                            <w:szCs w:val="24"/>
                          </w:rPr>
                          <w:t xml:space="preserve">Iš viso: </w:t>
                        </w:r>
                      </w:p>
                    </w:tc>
                    <w:tc>
                      <w:tcPr>
                        <w:tcW w:w="1382" w:type="dxa"/>
                      </w:tcPr>
                      <w:p>
                        <w:pPr>
                          <w:widowControl w:val="0"/>
                          <w:suppressAutoHyphens/>
                          <w:jc w:val="center"/>
                          <w:rPr>
                            <w:b/>
                            <w:szCs w:val="24"/>
                          </w:rPr>
                        </w:pPr>
                        <w:r>
                          <w:rPr>
                            <w:b/>
                            <w:szCs w:val="24"/>
                          </w:rPr>
                          <w:t>102 322</w:t>
                        </w:r>
                      </w:p>
                    </w:tc>
                  </w:tr>
                </w:tbl>
                <w:sdt>
                  <w:sdtPr>
                    <w:alias w:val="lentele"/>
                    <w:tag w:val="part_b10ead9f07a247e09ba949c04d9a99a3"/>
                    <w:lock w:val="sdtLocked"/>
                    <w:richText/>
                  </w:sdtPr>
                  <w:sdtContent>
                    <w:sdt>
                      <w:sdtPr>
                        <w:alias w:val="Pavadinimas"/>
                        <w:tag w:val="title_b10ead9f07a247e09ba949c04d9a99a3"/>
                        <w:lock w:val="sdtLocked"/>
                        <w:richText/>
                      </w:sdtPr>
                      <w:sdtContent>
                        <w:p>
                          <w:pPr>
                            <w:jc w:val="center"/>
                            <w:rPr>
                              <w:b/>
                              <w:szCs w:val="24"/>
                            </w:rPr>
                          </w:pPr>
                          <w:r>
                            <w:rPr>
                              <w:b/>
                              <w:szCs w:val="24"/>
                            </w:rPr>
                            <w:t xml:space="preserve">RADVILIŠKIO RAJONO SAVIVALDYBĖS TARYBOS SPRENDIMO                                     „DĖL RADVILIŠKIO RAJONO SAVIVALDYBĖS APLINKOS APSAUGOS RĖMIMO SPECIALIOSIOS PROGRAMOS 2024 METŲ PRIEMONIŲ VYKDYMO ATASKAITOS PATVIRTINIMO“ PROJEKTO</w:t>
                          </w:r>
                        </w:p>
                        <w:p>
                          <w:pPr>
                            <w:keepNext/>
                            <w:jc w:val="center"/>
                            <w:outlineLvl w:val="1"/>
                            <w:rPr>
                              <w:b/>
                              <w:bCs/>
                              <w:caps/>
                              <w:szCs w:val="24"/>
                            </w:rPr>
                          </w:pPr>
                          <w:r>
                            <w:rPr>
                              <w:b/>
                              <w:bCs/>
                              <w:caps/>
                              <w:szCs w:val="24"/>
                            </w:rPr>
                            <w:t>AIŠKINAMASIS RAŠTAS</w:t>
                          </w:r>
                        </w:p>
                      </w:sdtContent>
                    </w:sdt>
                    <w:tbl>
                      <w:tblPr>
                        <w:tblW w:w="9793" w:type="dxa"/>
                        <w:tblInd w:w="-12" w:type="dxa"/>
                        <w:tblLayout w:type="fixed"/>
                        <w:tblLook w:val="0000" w:firstRow="0" w:lastRow="0" w:firstColumn="0" w:lastColumn="0" w:noHBand="0" w:noVBand="0"/>
                      </w:tblPr>
                      <w:tblGrid>
                        <w:gridCol w:w="12"/>
                        <w:gridCol w:w="9781"/>
                      </w:tblGrid>
                      <w:tr>
                        <w:tc>
                          <w:tcPr>
                            <w:tcW w:w="9793" w:type="dxa"/>
                            <w:gridSpan w:val="2"/>
                          </w:tcPr>
                          <w:p>
                            <w:pPr>
                              <w:widowControl w:val="0"/>
                              <w:tabs>
                                <w:tab w:val="left" w:pos="567"/>
                              </w:tabs>
                              <w:suppressAutoHyphens/>
                              <w:jc w:val="center"/>
                              <w:rPr>
                                <w:szCs w:val="24"/>
                              </w:rPr>
                            </w:pPr>
                          </w:p>
                          <w:p>
                            <w:pPr>
                              <w:widowControl w:val="0"/>
                              <w:tabs>
                                <w:tab w:val="left" w:pos="567"/>
                              </w:tabs>
                              <w:suppressAutoHyphens/>
                              <w:jc w:val="center"/>
                              <w:rPr>
                                <w:szCs w:val="24"/>
                              </w:rPr>
                            </w:pPr>
                            <w:r>
                              <w:rPr>
                                <w:szCs w:val="24"/>
                              </w:rPr>
                              <w:t>2025 m. sausio 20 d.</w:t>
                            </w:r>
                          </w:p>
                          <w:p>
                            <w:pPr>
                              <w:widowControl w:val="0"/>
                              <w:tabs>
                                <w:tab w:val="left" w:pos="567"/>
                              </w:tabs>
                              <w:suppressAutoHyphens/>
                              <w:jc w:val="center"/>
                              <w:rPr>
                                <w:szCs w:val="24"/>
                              </w:rPr>
                            </w:pPr>
                            <w:r>
                              <w:rPr>
                                <w:szCs w:val="24"/>
                              </w:rPr>
                              <w:t>Radviliškis</w:t>
                            </w:r>
                          </w:p>
                          <w:p>
                            <w:pPr>
                              <w:tabs>
                                <w:tab w:val="left" w:pos="1134"/>
                              </w:tabs>
                              <w:spacing w:line="276" w:lineRule="auto"/>
                              <w:jc w:val="both"/>
                              <w:rPr>
                                <w:rFonts w:ascii="Thorndale" w:hAnsi="Thorndale" w:cs="Tahoma"/>
                                <w:szCs w:val="24"/>
                                <w:lang w:bidi="he-IL"/>
                              </w:rPr>
                            </w:pPr>
                          </w:p>
                          <w:p>
                            <w:pPr>
                              <w:widowControl w:val="0"/>
                              <w:tabs>
                                <w:tab w:val="left" w:pos="993"/>
                              </w:tabs>
                              <w:suppressAutoHyphens/>
                              <w:spacing w:line="276" w:lineRule="auto"/>
                              <w:ind w:firstLine="761"/>
                              <w:jc w:val="both"/>
                              <w:rPr>
                                <w:rFonts w:ascii="Thorndale" w:hAnsi="Thorndale" w:cs="Tahoma"/>
                                <w:b/>
                                <w:bCs/>
                                <w:szCs w:val="24"/>
                              </w:rPr>
                            </w:pPr>
                            <w:r>
                              <w:rPr>
                                <w:b/>
                                <w:bCs/>
                                <w:szCs w:val="24"/>
                              </w:rPr>
                              <w:t>1.</w:t>
                              <w:tab/>
                            </w:r>
                            <w:r>
                              <w:rPr>
                                <w:rFonts w:ascii="Thorndale" w:hAnsi="Thorndale" w:cs="Tahoma"/>
                                <w:b/>
                                <w:szCs w:val="24"/>
                                <w:lang w:bidi="he-IL"/>
                              </w:rPr>
                              <w:t>Projekto rengimą paskatinusios priežastys, parengto projekto tikslai, sprendimo projekto tikslai ir uždaviniai</w:t>
                            </w:r>
                            <w:r>
                              <w:rPr>
                                <w:rFonts w:ascii="Thorndale" w:hAnsi="Thorndale" w:cs="Tahoma"/>
                                <w:szCs w:val="24"/>
                                <w:lang w:bidi="he-IL"/>
                              </w:rPr>
                              <w:t>.</w:t>
                            </w:r>
                          </w:p>
                          <w:p>
                            <w:pPr>
                              <w:widowControl w:val="0"/>
                              <w:tabs>
                                <w:tab w:val="left" w:pos="993"/>
                              </w:tabs>
                              <w:suppressAutoHyphens/>
                              <w:spacing w:line="276" w:lineRule="auto"/>
                              <w:ind w:firstLine="761"/>
                              <w:jc w:val="both"/>
                              <w:rPr>
                                <w:rFonts w:ascii="Thorndale" w:hAnsi="Thorndale" w:cs="Tahoma"/>
                                <w:szCs w:val="24"/>
                              </w:rPr>
                            </w:pPr>
                            <w:r>
                              <w:rPr>
                                <w:rFonts w:ascii="Thorndale" w:hAnsi="Thorndale" w:cs="Tahoma"/>
                                <w:szCs w:val="24"/>
                              </w:rPr>
                              <w:t>Parengti Radviliškio rajono savivaldybės 2024 m. aplinkos apsaugos rėmimo specialiosios programos lėšų panaudojimo ataskaitą.</w:t>
                            </w:r>
                          </w:p>
                          <w:p>
                            <w:pPr>
                              <w:widowControl w:val="0"/>
                              <w:tabs>
                                <w:tab w:val="left" w:pos="993"/>
                              </w:tabs>
                              <w:suppressAutoHyphens/>
                              <w:spacing w:line="276" w:lineRule="auto"/>
                              <w:ind w:left="1656" w:hanging="895"/>
                              <w:jc w:val="both"/>
                              <w:rPr>
                                <w:rFonts w:ascii="Thorndale" w:hAnsi="Thorndale" w:cs="Tahoma"/>
                                <w:b/>
                                <w:bCs/>
                                <w:szCs w:val="24"/>
                              </w:rPr>
                            </w:pPr>
                            <w:r>
                              <w:rPr>
                                <w:b/>
                                <w:bCs/>
                                <w:szCs w:val="24"/>
                              </w:rPr>
                              <w:t>2.</w:t>
                              <w:tab/>
                            </w:r>
                            <w:r>
                              <w:rPr>
                                <w:rFonts w:ascii="Thorndale" w:hAnsi="Thorndale" w:cs="Tahoma"/>
                                <w:b/>
                                <w:bCs/>
                                <w:szCs w:val="24"/>
                              </w:rPr>
                              <w:t>Projekto iniciatoriai (institucija, asmenys ar piliečių atstovai) ir rengėjai.</w:t>
                            </w:r>
                          </w:p>
                          <w:p>
                            <w:pPr>
                              <w:widowControl w:val="0"/>
                              <w:suppressAutoHyphens/>
                              <w:spacing w:line="276" w:lineRule="auto"/>
                              <w:ind w:firstLine="761"/>
                              <w:jc w:val="both"/>
                              <w:rPr>
                                <w:rFonts w:ascii="Thorndale" w:hAnsi="Thorndale" w:cs="Tahoma"/>
                                <w:szCs w:val="24"/>
                              </w:rPr>
                            </w:pPr>
                            <w:r>
                              <w:rPr>
                                <w:szCs w:val="24"/>
                              </w:rPr>
                              <w:t>Žemės ūkio skyriaus vyriausioji specialistė Valentina Grinienė.</w:t>
                            </w:r>
                          </w:p>
                          <w:p>
                            <w:pPr>
                              <w:widowControl w:val="0"/>
                              <w:tabs>
                                <w:tab w:val="left" w:pos="993"/>
                              </w:tabs>
                              <w:suppressAutoHyphens/>
                              <w:spacing w:line="276" w:lineRule="auto"/>
                              <w:ind w:left="1656" w:hanging="895"/>
                              <w:jc w:val="both"/>
                              <w:rPr>
                                <w:rFonts w:ascii="Thorndale" w:hAnsi="Thorndale" w:cs="Tahoma"/>
                                <w:b/>
                                <w:szCs w:val="24"/>
                              </w:rPr>
                            </w:pPr>
                            <w:r>
                              <w:rPr>
                                <w:b/>
                                <w:szCs w:val="24"/>
                              </w:rPr>
                              <w:t>3.</w:t>
                              <w:tab/>
                            </w:r>
                            <w:r>
                              <w:rPr>
                                <w:rFonts w:ascii="Thorndale" w:hAnsi="Thorndale" w:cs="Tahoma"/>
                                <w:b/>
                                <w:szCs w:val="24"/>
                              </w:rPr>
                              <w:t>Kaip šiuo metu yra reguliuojami sprendimo projekte aptarti teisiniai santykiai.</w:t>
                            </w:r>
                          </w:p>
                          <w:p>
                            <w:pPr>
                              <w:widowControl w:val="0"/>
                              <w:tabs>
                                <w:tab w:val="left" w:pos="0"/>
                              </w:tabs>
                              <w:suppressAutoHyphens/>
                              <w:ind w:firstLine="761"/>
                              <w:jc w:val="both"/>
                              <w:rPr>
                                <w:szCs w:val="24"/>
                              </w:rPr>
                            </w:pPr>
                            <w:r>
                              <w:rPr>
                                <w:szCs w:val="24"/>
                              </w:rPr>
                              <w:t xml:space="preserve">Radviliškio rajono savivaldybės 2024 m. aplinkos apsaugos rėmimo specialiosios programos sąmata buvo patvirtinta  2024 m. vasario 1 d. Tarybos sprendimu  Nr. T-265. </w:t>
                            </w:r>
                          </w:p>
                          <w:p>
                            <w:pPr>
                              <w:widowControl w:val="0"/>
                              <w:tabs>
                                <w:tab w:val="left" w:pos="0"/>
                              </w:tabs>
                              <w:suppressAutoHyphens/>
                              <w:ind w:firstLine="761"/>
                              <w:jc w:val="both"/>
                              <w:rPr>
                                <w:szCs w:val="24"/>
                              </w:rPr>
                            </w:pPr>
                            <w:r>
                              <w:rPr>
                                <w:szCs w:val="24"/>
                              </w:rPr>
                              <w:t xml:space="preserve">Radviliškio rajono savivaldybės 2024 m. aplinkos apsaugos rėmimo specialiosios programos ataskaita parengta vadovaujantis Lietuvos Respublikos aplinkos ministro </w:t>
                            </w:r>
                            <w:smartTag w:uri="urn:schemas-microsoft-com:office:smarttags" w:element="metricconverter">
                              <w:smartTagPr>
                                <w:attr w:name="ProductID" w:val="2011 m"/>
                              </w:smartTagPr>
                              <w:r>
                                <w:rPr>
                                  <w:szCs w:val="24"/>
                                </w:rPr>
                                <w:t>2011 m</w:t>
                              </w:r>
                            </w:smartTag>
                            <w:r>
                              <w:rPr>
                                <w:szCs w:val="24"/>
                              </w:rPr>
                              <w:t xml:space="preserve">. kovo 4 d. įsakymu Nr. D1-201 „Dėl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 </w:t>
                            </w:r>
                          </w:p>
                          <w:p>
                            <w:pPr>
                              <w:widowControl w:val="0"/>
                              <w:tabs>
                                <w:tab w:val="left" w:pos="993"/>
                              </w:tabs>
                              <w:suppressAutoHyphens/>
                              <w:spacing w:line="276" w:lineRule="auto"/>
                              <w:ind w:firstLine="761"/>
                              <w:jc w:val="both"/>
                              <w:rPr>
                                <w:rFonts w:ascii="Thorndale" w:hAnsi="Thorndale" w:cs="Tahoma"/>
                                <w:szCs w:val="24"/>
                                <w:shd w:val="clear" w:color="auto" w:fill="FFFFFF"/>
                              </w:rPr>
                            </w:pPr>
                            <w:r>
                              <w:rPr>
                                <w:b/>
                                <w:szCs w:val="24"/>
                              </w:rPr>
                              <w:t>4.</w:t>
                              <w:tab/>
                            </w:r>
                            <w:r>
                              <w:rPr>
                                <w:rFonts w:ascii="Thorndale" w:hAnsi="Thorndale" w:cs="Tahoma"/>
                                <w:b/>
                                <w:bCs/>
                                <w:szCs w:val="24"/>
                              </w:rPr>
                              <w:t>Kokios siūlomos naujos teisinio reguliavimo nuostatos, kokių teigiamų rezultatų laukiama.</w:t>
                            </w:r>
                          </w:p>
                          <w:p>
                            <w:pPr>
                              <w:widowControl w:val="0"/>
                              <w:tabs>
                                <w:tab w:val="left" w:pos="0"/>
                              </w:tabs>
                              <w:suppressAutoHyphens/>
                              <w:ind w:firstLine="761"/>
                              <w:jc w:val="both"/>
                              <w:rPr>
                                <w:szCs w:val="24"/>
                              </w:rPr>
                            </w:pPr>
                            <w:r>
                              <w:rPr>
                                <w:szCs w:val="24"/>
                              </w:rPr>
                              <w:t xml:space="preserve">Įgyvendinant įstatymo nuostatas, Radviliškio rajono savivaldybė  ne vėliau kaip iki kovo 1 d. turi pateikti Aplinkos apsaugos departamentui prie Aplinkos ministerijos Savivaldybės tarybos sprendimu patvirtintą aplinkos apsaugos rėmimo specialiosios programos priemonių vykdymo ataskaitą kartu su šio sprendimo kopija. </w:t>
                            </w:r>
                          </w:p>
                          <w:p>
                            <w:pPr>
                              <w:widowControl w:val="0"/>
                              <w:tabs>
                                <w:tab w:val="left" w:pos="993"/>
                              </w:tabs>
                              <w:suppressAutoHyphens/>
                              <w:spacing w:line="276" w:lineRule="auto"/>
                              <w:ind w:left="-90" w:firstLine="851"/>
                              <w:jc w:val="both"/>
                              <w:rPr>
                                <w:rFonts w:ascii="Thorndale" w:hAnsi="Thorndale" w:cs="Tahoma"/>
                                <w:b/>
                                <w:bCs/>
                                <w:szCs w:val="24"/>
                              </w:rPr>
                            </w:pPr>
                            <w:r>
                              <w:rPr>
                                <w:b/>
                                <w:bCs/>
                                <w:szCs w:val="24"/>
                              </w:rPr>
                              <w:t>5.</w:t>
                              <w:tab/>
                            </w:r>
                            <w:r>
                              <w:rPr>
                                <w:rFonts w:ascii="Thorndale" w:hAnsi="Thorndale" w:cs="Tahoma"/>
                                <w:b/>
                                <w:bCs/>
                                <w:szCs w:val="24"/>
                              </w:rPr>
                              <w:t>Galimos neigiamos priimto sprendimo projekto pasekmės ir kokių priemonių reikėtų imtis, kad tokių pasekmių būtų išvengta.</w:t>
                            </w:r>
                          </w:p>
                          <w:p>
                            <w:pPr>
                              <w:widowControl w:val="0"/>
                              <w:suppressAutoHyphens/>
                              <w:spacing w:line="276" w:lineRule="auto"/>
                              <w:ind w:firstLine="709"/>
                              <w:jc w:val="both"/>
                              <w:rPr>
                                <w:rFonts w:ascii="Thorndale" w:hAnsi="Thorndale" w:cs="Tahoma"/>
                                <w:szCs w:val="24"/>
                              </w:rPr>
                            </w:pPr>
                            <w:r>
                              <w:rPr>
                                <w:rFonts w:ascii="Thorndale" w:hAnsi="Thorndale" w:cs="Tahoma"/>
                                <w:szCs w:val="24"/>
                              </w:rPr>
                              <w:t xml:space="preserve">Neigiamų pasekmių nenumatoma. </w:t>
                            </w:r>
                          </w:p>
                          <w:p>
                            <w:pPr>
                              <w:widowControl w:val="0"/>
                              <w:tabs>
                                <w:tab w:val="left" w:pos="993"/>
                              </w:tabs>
                              <w:suppressAutoHyphens/>
                              <w:spacing w:line="276" w:lineRule="auto"/>
                              <w:ind w:firstLine="761"/>
                              <w:jc w:val="both"/>
                              <w:rPr>
                                <w:rFonts w:ascii="Thorndale" w:hAnsi="Thorndale" w:cs="Tahoma"/>
                                <w:b/>
                                <w:bCs/>
                                <w:szCs w:val="24"/>
                              </w:rPr>
                            </w:pPr>
                            <w:r>
                              <w:rPr>
                                <w:b/>
                                <w:bCs/>
                                <w:szCs w:val="24"/>
                              </w:rPr>
                              <w:t>6.</w:t>
                              <w:tab/>
                            </w:r>
                            <w:r>
                              <w:rPr>
                                <w:rFonts w:ascii="Thorndale" w:hAnsi="Thorndale" w:cs="Tahoma"/>
                                <w:b/>
                                <w:bCs/>
                                <w:szCs w:val="24"/>
                              </w:rPr>
                              <w:t>Kokius teisės aktus būtina priimti, kokius galiojančius teisės aktus būtina pakeisti ar pripažinti netekusiais galios priėmus sprendimo projektą.</w:t>
                            </w:r>
                          </w:p>
                          <w:p>
                            <w:pPr>
                              <w:tabs>
                                <w:tab w:val="left" w:pos="993"/>
                              </w:tabs>
                              <w:spacing w:line="276" w:lineRule="auto"/>
                              <w:ind w:left="761"/>
                              <w:jc w:val="both"/>
                              <w:rPr>
                                <w:b/>
                                <w:bCs/>
                                <w:szCs w:val="24"/>
                              </w:rPr>
                            </w:pPr>
                            <w:r>
                              <w:rPr>
                                <w:b/>
                                <w:bCs/>
                                <w:szCs w:val="24"/>
                              </w:rPr>
                              <w:t>-</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61"/>
                              <w:jc w:val="both"/>
                              <w:rPr>
                                <w:rFonts w:ascii="Thorndale" w:hAnsi="Thorndale" w:cs="Tahoma"/>
                                <w:b/>
                                <w:szCs w:val="24"/>
                              </w:rPr>
                            </w:pPr>
                            <w:r>
                              <w:rPr>
                                <w:b/>
                                <w:szCs w:val="24"/>
                              </w:rPr>
                              <w:t>7.</w:t>
                              <w:tab/>
                            </w:r>
                            <w:r>
                              <w:rPr>
                                <w:rFonts w:ascii="Thorndale" w:hAnsi="Thorndale" w:cs="Tahoma"/>
                                <w:b/>
                                <w:szCs w:val="24"/>
                              </w:rPr>
                              <w:t>Sprendimo projektui įgyvendinti reikalingos lėšos, finansavimo šaltiniai.</w:t>
                            </w:r>
                          </w:p>
                          <w:p>
                            <w:pPr>
                              <w:tabs>
                                <w:tab w:val="left" w:pos="7680"/>
                              </w:tabs>
                              <w:ind w:firstLine="761"/>
                              <w:jc w:val="both"/>
                              <w:rPr>
                                <w:szCs w:val="24"/>
                              </w:rPr>
                            </w:pPr>
                            <w:r>
                              <w:rPr>
                                <w:szCs w:val="24"/>
                              </w:rPr>
                              <w:t>Radviliškio rajono savivaldybės aplinkos apsaugos rėmimo specialiosios programos 2024 metų faktines pajamas sudarė:</w:t>
                            </w:r>
                          </w:p>
                          <w:p>
                            <w:pPr>
                              <w:tabs>
                                <w:tab w:val="left" w:pos="7680"/>
                              </w:tabs>
                              <w:ind w:firstLine="761"/>
                              <w:jc w:val="both"/>
                              <w:rPr>
                                <w:szCs w:val="24"/>
                              </w:rPr>
                            </w:pPr>
                            <w:r>
                              <w:rPr>
                                <w:szCs w:val="24"/>
                              </w:rPr>
                              <w:t>Mokesčiai už teršalų išmetimą į aplinką – 116 658 Eur.;</w:t>
                            </w:r>
                          </w:p>
                          <w:p>
                            <w:pPr>
                              <w:tabs>
                                <w:tab w:val="left" w:pos="7680"/>
                              </w:tabs>
                              <w:ind w:firstLine="761"/>
                              <w:jc w:val="both"/>
                              <w:rPr>
                                <w:szCs w:val="24"/>
                              </w:rPr>
                            </w:pPr>
                            <w:r>
                              <w:rPr>
                                <w:szCs w:val="24"/>
                              </w:rPr>
                              <w:t>Mokesčiai už valstybinius gamtos išteklius – 64 377 Eur.;</w:t>
                            </w:r>
                          </w:p>
                          <w:p>
                            <w:pPr>
                              <w:tabs>
                                <w:tab w:val="left" w:pos="7680"/>
                              </w:tabs>
                              <w:ind w:firstLine="761"/>
                              <w:jc w:val="both"/>
                              <w:rPr>
                                <w:szCs w:val="24"/>
                              </w:rPr>
                            </w:pPr>
                            <w:r>
                              <w:rPr>
                                <w:szCs w:val="24"/>
                              </w:rPr>
                              <w:t>Lėšos, gautos kaip želdinių atkuriamosios vertės kompensacija – 2 225 Eur.;</w:t>
                            </w:r>
                          </w:p>
                          <w:p>
                            <w:pPr>
                              <w:tabs>
                                <w:tab w:val="left" w:pos="7680"/>
                              </w:tabs>
                              <w:ind w:firstLine="761"/>
                              <w:jc w:val="both"/>
                              <w:rPr>
                                <w:szCs w:val="24"/>
                              </w:rPr>
                            </w:pPr>
                            <w:r>
                              <w:rPr>
                                <w:szCs w:val="24"/>
                              </w:rPr>
                              <w:t xml:space="preserve">Savanoriškos juridinių ir fizinių asmenų įmokos ir kitos teisėtai gautos lėšos (delspinigiai, palūkanos, už vandens telkinių nuomą) – 8 304 Eur.; </w:t>
                            </w:r>
                          </w:p>
                          <w:p>
                            <w:pPr>
                              <w:tabs>
                                <w:tab w:val="left" w:pos="7680"/>
                              </w:tabs>
                              <w:ind w:firstLine="761"/>
                              <w:jc w:val="both"/>
                              <w:rPr>
                                <w:szCs w:val="24"/>
                              </w:rPr>
                            </w:pPr>
                            <w:r>
                              <w:rPr>
                                <w:szCs w:val="24"/>
                              </w:rPr>
                              <w:t>Mokesčiai, sumokėti už medžiojamųjų gyvūnų išteklių naudojimą – 46 069 Eur.;</w:t>
                            </w:r>
                          </w:p>
                          <w:p>
                            <w:pPr>
                              <w:tabs>
                                <w:tab w:val="left" w:pos="7680"/>
                              </w:tabs>
                              <w:ind w:firstLine="761"/>
                              <w:jc w:val="both"/>
                              <w:rPr>
                                <w:szCs w:val="24"/>
                              </w:rPr>
                            </w:pPr>
                            <w:r>
                              <w:rPr>
                                <w:szCs w:val="24"/>
                              </w:rPr>
                              <w:t>Lėšų likutis 2024 m. sausio 1 d. – 145 162 Eur.</w:t>
                            </w:r>
                          </w:p>
                          <w:p>
                            <w:pPr>
                              <w:tabs>
                                <w:tab w:val="left" w:pos="7680"/>
                              </w:tabs>
                              <w:ind w:firstLine="761"/>
                              <w:jc w:val="both"/>
                              <w:rPr>
                                <w:szCs w:val="24"/>
                              </w:rPr>
                            </w:pPr>
                            <w:r>
                              <w:rPr>
                                <w:szCs w:val="24"/>
                              </w:rPr>
                              <w:t>Iš viso – 382 795 Eur.</w:t>
                            </w:r>
                          </w:p>
                          <w:p>
                            <w:pPr>
                              <w:tabs>
                                <w:tab w:val="left" w:pos="720"/>
                                <w:tab w:val="left" w:pos="7680"/>
                              </w:tabs>
                              <w:ind w:firstLine="744"/>
                              <w:jc w:val="both"/>
                              <w:rPr>
                                <w:szCs w:val="24"/>
                              </w:rPr>
                            </w:pPr>
                            <w:r>
                              <w:rPr>
                                <w:szCs w:val="24"/>
                              </w:rPr>
                              <w:t>Aplinkos kokybės gerinimo ir apsaugos priemonėms, atliekų, kurių turėtojo nustatyti neįmanoma arba kuris nebeegzistuoja, tvarkymo priemonėms, visuomenės švietimo ir mokymo aplinkosaugos klausimais priemonėms ir želdynų ir želdinių apsaugos, tvarkymo, būklės stebėsenos, želdynų kūrimo, želdinių veisimo ir inventorizavimo priemonėms 2024 metais išleista 187 325 Eur.</w:t>
                            </w:r>
                          </w:p>
                          <w:p>
                            <w:pPr>
                              <w:tabs>
                                <w:tab w:val="left" w:pos="7680"/>
                              </w:tabs>
                              <w:ind w:firstLine="761"/>
                              <w:jc w:val="both"/>
                              <w:rPr>
                                <w:szCs w:val="24"/>
                              </w:rPr>
                            </w:pPr>
                            <w:r>
                              <w:rPr>
                                <w:szCs w:val="24"/>
                              </w:rPr>
                              <w:t>2024 metais visuomenės sveikatos rėmimo specialiajai programai finansuoti išleista 43 148 Eur.</w:t>
                            </w:r>
                          </w:p>
                          <w:p>
                            <w:pPr>
                              <w:tabs>
                                <w:tab w:val="left" w:pos="7680"/>
                              </w:tabs>
                              <w:ind w:firstLine="761"/>
                              <w:jc w:val="both"/>
                              <w:rPr>
                                <w:szCs w:val="24"/>
                              </w:rPr>
                            </w:pPr>
                            <w:r>
                              <w:rPr>
                                <w:szCs w:val="24"/>
                              </w:rPr>
                              <w:t>2024 metais miško želdinių apsaugai skirtų priemonių panaudojimui išleista 50 000 Eur.</w:t>
                            </w:r>
                          </w:p>
                          <w:p>
                            <w:pPr>
                              <w:tabs>
                                <w:tab w:val="left" w:pos="7680"/>
                              </w:tabs>
                              <w:ind w:firstLine="761"/>
                              <w:jc w:val="both"/>
                              <w:rPr>
                                <w:szCs w:val="24"/>
                              </w:rPr>
                            </w:pPr>
                            <w:r>
                              <w:rPr>
                                <w:szCs w:val="24"/>
                              </w:rPr>
                              <w:t>Likusios lėšos (102 322 Eur.) perkeliamos į 2025 metų Radviliškio rajono savivaldybės aplinkos apsaugos rėmimo specialiosios programos sąmatą.</w:t>
                            </w:r>
                          </w:p>
                          <w:p>
                            <w:pPr>
                              <w:tabs>
                                <w:tab w:val="left" w:pos="7680"/>
                              </w:tabs>
                              <w:ind w:firstLine="761"/>
                              <w:jc w:val="both"/>
                              <w:rPr>
                                <w:szCs w:val="24"/>
                              </w:rPr>
                            </w:pPr>
                            <w:r>
                              <w:rPr>
                                <w:szCs w:val="24"/>
                              </w:rPr>
                              <w:t>Finansavimo šaltiniai:</w:t>
                            </w:r>
                          </w:p>
                          <w:p>
                            <w:pPr>
                              <w:tabs>
                                <w:tab w:val="left" w:pos="7680"/>
                              </w:tabs>
                              <w:ind w:firstLine="761"/>
                              <w:jc w:val="both"/>
                              <w:rPr>
                                <w:szCs w:val="24"/>
                              </w:rPr>
                            </w:pPr>
                            <w:r>
                              <w:rPr>
                                <w:szCs w:val="24"/>
                              </w:rPr>
                              <w:t xml:space="preserve">1. Mokestis už aplinkos teršimą, išskyrus mokestį už aplinkos teršimą gaminių ar pakuočių  atliekomis (</w:t>
                            </w:r>
                            <w:r>
                              <w:rPr>
                                <w:szCs w:val="24"/>
                                <w:lang w:eastAsia="lt-LT"/>
                              </w:rPr>
                              <w:t>70 procentų įskaitoma į savivaldybės, kurios teritorijoje yra stacionarusis taršos objektas (įrenginys), o teršiant iš mobiliojo taršos šaltinio – į savivaldybės, kurios teritorijoje registruotas mokesčio mokėtojas, eksploatuojantis (naudojantis) mobilųjį taršos šaltinį, biudžetą</w:t>
                            </w:r>
                            <w:r>
                              <w:rPr>
                                <w:szCs w:val="24"/>
                              </w:rPr>
                              <w:t>).</w:t>
                            </w:r>
                          </w:p>
                          <w:p>
                            <w:pPr>
                              <w:tabs>
                                <w:tab w:val="left" w:pos="7680"/>
                              </w:tabs>
                              <w:ind w:firstLine="761"/>
                              <w:jc w:val="both"/>
                              <w:rPr>
                                <w:szCs w:val="24"/>
                              </w:rPr>
                            </w:pPr>
                            <w:r>
                              <w:rPr>
                                <w:szCs w:val="24"/>
                              </w:rPr>
                              <w:t xml:space="preserve">2. Mokestis už valstybinius gamtos išteklius, išskyrus mokestį už medžiojamųjų gyvūnų išteklius (20 %  mokama į  savivaldybės, kurios teritorijoje išgaunami gamtos ištekliai, biudžetą).</w:t>
                            </w:r>
                          </w:p>
                          <w:p>
                            <w:pPr>
                              <w:tabs>
                                <w:tab w:val="left" w:pos="7680"/>
                              </w:tabs>
                              <w:ind w:firstLine="761"/>
                              <w:jc w:val="both"/>
                              <w:rPr>
                                <w:szCs w:val="24"/>
                              </w:rPr>
                            </w:pPr>
                            <w:r>
                              <w:rPr>
                                <w:rFonts w:ascii="Thorndale" w:hAnsi="Thorndale" w:cs="Tahoma"/>
                                <w:szCs w:val="24"/>
                              </w:rPr>
                              <w:t xml:space="preserve">3. Mokestis už medžiojamųjų gyvūnų išteklius (50 % medžioklės plotų naudotojų mokamo mokesčio už medžiojamųjų gyvūnų išteklių naudojimą mokama  į savivaldybės, kurios  teritorijoje išgaunami medžiojamų gyvūnų ištekliai, biudžetą).</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left="1656" w:hanging="895"/>
                              <w:jc w:val="both"/>
                              <w:rPr>
                                <w:rFonts w:ascii="Thorndale" w:hAnsi="Thorndale" w:cs="Tahoma"/>
                                <w:b/>
                                <w:szCs w:val="24"/>
                              </w:rPr>
                            </w:pPr>
                            <w:r>
                              <w:rPr>
                                <w:b/>
                                <w:szCs w:val="24"/>
                              </w:rPr>
                              <w:t>8.</w:t>
                              <w:tab/>
                            </w:r>
                            <w:r>
                              <w:rPr>
                                <w:rFonts w:ascii="Thorndale" w:hAnsi="Thorndale" w:cs="Tahoma"/>
                                <w:b/>
                                <w:szCs w:val="24"/>
                              </w:rPr>
                              <w:t xml:space="preserve">Sprendimo projekto rengimo metu gauti specialistų vertinimai ir išvados. </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left="761"/>
                              <w:jc w:val="both"/>
                              <w:rPr>
                                <w:rFonts w:ascii="Thorndale" w:hAnsi="Thorndale" w:cs="Tahoma"/>
                                <w:b/>
                                <w:szCs w:val="24"/>
                              </w:rPr>
                            </w:pPr>
                            <w:r>
                              <w:rPr>
                                <w:rFonts w:ascii="Thorndale" w:hAnsi="Thorndale" w:cs="Tahoma"/>
                                <w:b/>
                                <w:szCs w:val="24"/>
                              </w:rPr>
                              <w:t>-</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left="1656" w:hanging="895"/>
                              <w:jc w:val="both"/>
                              <w:rPr>
                                <w:rFonts w:ascii="Thorndale" w:hAnsi="Thorndale" w:cs="Tahoma"/>
                                <w:bCs/>
                                <w:szCs w:val="24"/>
                              </w:rPr>
                            </w:pPr>
                            <w:r>
                              <w:rPr>
                                <w:b/>
                                <w:bCs/>
                                <w:szCs w:val="24"/>
                              </w:rPr>
                              <w:t>9.</w:t>
                              <w:tab/>
                            </w:r>
                            <w:r>
                              <w:rPr>
                                <w:rFonts w:ascii="Thorndale" w:hAnsi="Thorndale" w:cs="Tahoma"/>
                                <w:b/>
                                <w:szCs w:val="24"/>
                              </w:rPr>
                              <w:t>Numatomo teisinio reguliavimo poveikio vertinimo rezultatai.</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left="761"/>
                              <w:jc w:val="both"/>
                              <w:rPr>
                                <w:rFonts w:ascii="Thorndale" w:hAnsi="Thorndale" w:cs="Tahoma"/>
                                <w:bCs/>
                                <w:szCs w:val="24"/>
                              </w:rPr>
                            </w:pPr>
                            <w:r>
                              <w:rPr>
                                <w:rFonts w:ascii="Thorndale" w:hAnsi="Thorndale" w:cs="Tahoma"/>
                                <w:bCs/>
                                <w:szCs w:val="24"/>
                              </w:rPr>
                              <w:t>-</w:t>
                            </w:r>
                          </w:p>
                          <w:p>
                            <w:pPr>
                              <w:widowControl w:val="0"/>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left="1656" w:hanging="895"/>
                              <w:jc w:val="both"/>
                              <w:rPr>
                                <w:rFonts w:ascii="Thorndale" w:hAnsi="Thorndale" w:cs="Tahoma"/>
                                <w:bCs/>
                                <w:szCs w:val="24"/>
                              </w:rPr>
                            </w:pPr>
                            <w:r>
                              <w:rPr>
                                <w:b/>
                                <w:bCs/>
                                <w:szCs w:val="24"/>
                              </w:rPr>
                              <w:t>10.</w:t>
                              <w:tab/>
                            </w:r>
                            <w:r>
                              <w:rPr>
                                <w:rFonts w:ascii="Thorndale" w:eastAsia="Calibri" w:hAnsi="Thorndale" w:cs="Tahoma"/>
                                <w:b/>
                                <w:szCs w:val="24"/>
                                <w:lang w:eastAsia="ar-SA"/>
                              </w:rPr>
                              <w:t>Sprendimo projekto antikorupcinis vertinimas.</w:t>
                            </w:r>
                          </w:p>
                          <w:p>
                            <w:pPr>
                              <w:widowControl w:val="0"/>
                              <w:tabs>
                                <w:tab w:val="left" w:pos="1134"/>
                              </w:tabs>
                              <w:suppressAutoHyphens/>
                              <w:spacing w:line="276" w:lineRule="auto"/>
                              <w:ind w:firstLine="709"/>
                              <w:rPr>
                                <w:rFonts w:ascii="Thorndale" w:eastAsia="Calibri" w:hAnsi="Thorndale" w:cs="Tahoma"/>
                                <w:szCs w:val="24"/>
                              </w:rPr>
                            </w:pPr>
                            <w:r>
                              <w:rPr>
                                <w:rFonts w:ascii="Thorndale" w:eastAsia="Calibri" w:hAnsi="Thorndale" w:cs="Tahoma"/>
                                <w:szCs w:val="24"/>
                              </w:rPr>
                              <w:t>Teisės akto projektas antikorupciniam vertinimui neteikiamas.</w:t>
                            </w:r>
                          </w:p>
                          <w:p>
                            <w:pPr>
                              <w:widowControl w:val="0"/>
                              <w:tabs>
                                <w:tab w:val="left" w:pos="1134"/>
                              </w:tabs>
                              <w:suppressAutoHyphens/>
                              <w:spacing w:line="276" w:lineRule="auto"/>
                              <w:ind w:left="1656" w:hanging="895"/>
                              <w:rPr>
                                <w:rFonts w:ascii="Thorndale" w:eastAsia="Calibri" w:hAnsi="Thorndale" w:cs="Tahoma"/>
                                <w:b/>
                                <w:bCs/>
                                <w:szCs w:val="24"/>
                              </w:rPr>
                            </w:pPr>
                            <w:r>
                              <w:rPr>
                                <w:rFonts w:eastAsia="Calibri"/>
                                <w:b/>
                                <w:bCs/>
                                <w:szCs w:val="24"/>
                              </w:rPr>
                              <w:t>11.</w:t>
                              <w:tab/>
                            </w:r>
                            <w:r>
                              <w:rPr>
                                <w:rFonts w:ascii="Thorndale" w:eastAsia="Calibri" w:hAnsi="Thorndale" w:cs="Tahoma"/>
                                <w:b/>
                                <w:bCs/>
                                <w:szCs w:val="24"/>
                              </w:rPr>
                              <w:t xml:space="preserve">Kiti, iniciatoriaus nuomone, reikalingi pagrindimai ir paaiškinimai. </w:t>
                            </w:r>
                          </w:p>
                          <w:p>
                            <w:pPr>
                              <w:tabs>
                                <w:tab w:val="left" w:pos="1134"/>
                              </w:tabs>
                              <w:spacing w:line="276" w:lineRule="auto"/>
                              <w:ind w:left="709" w:firstLine="52"/>
                              <w:rPr>
                                <w:rFonts w:eastAsia="Calibri"/>
                                <w:szCs w:val="24"/>
                              </w:rPr>
                            </w:pPr>
                            <w:r>
                              <w:rPr>
                                <w:rFonts w:eastAsia="Calibri"/>
                                <w:szCs w:val="24"/>
                              </w:rPr>
                              <w:t xml:space="preserve">Nėra. </w:t>
                            </w:r>
                          </w:p>
                          <w:p>
                            <w:pPr>
                              <w:widowControl w:val="0"/>
                              <w:tabs>
                                <w:tab w:val="left" w:pos="1134"/>
                              </w:tabs>
                              <w:suppressAutoHyphens/>
                              <w:spacing w:line="276" w:lineRule="auto"/>
                              <w:ind w:left="1656" w:hanging="895"/>
                              <w:rPr>
                                <w:rFonts w:ascii="Thorndale" w:eastAsia="Calibri" w:hAnsi="Thorndale" w:cs="Tahoma"/>
                                <w:b/>
                                <w:bCs/>
                                <w:szCs w:val="24"/>
                              </w:rPr>
                            </w:pPr>
                            <w:r>
                              <w:rPr>
                                <w:rFonts w:eastAsia="Calibri"/>
                                <w:b/>
                                <w:bCs/>
                                <w:szCs w:val="24"/>
                              </w:rPr>
                              <w:t>12.</w:t>
                              <w:tab/>
                            </w:r>
                            <w:r>
                              <w:rPr>
                                <w:rFonts w:ascii="Thorndale" w:eastAsia="Calibri" w:hAnsi="Thorndale" w:cs="Tahoma"/>
                                <w:b/>
                                <w:bCs/>
                                <w:szCs w:val="24"/>
                              </w:rPr>
                              <w:t xml:space="preserve">Pridedami dokumentai. </w:t>
                            </w:r>
                          </w:p>
                          <w:p>
                            <w:pPr>
                              <w:widowControl w:val="0"/>
                              <w:suppressAutoHyphens/>
                              <w:spacing w:line="276" w:lineRule="auto"/>
                              <w:ind w:firstLine="761"/>
                              <w:jc w:val="both"/>
                              <w:rPr>
                                <w:rFonts w:ascii="Thorndale" w:hAnsi="Thorndale" w:cs="Tahoma"/>
                                <w:b/>
                                <w:szCs w:val="24"/>
                              </w:rPr>
                            </w:pPr>
                            <w:r>
                              <w:rPr>
                                <w:szCs w:val="24"/>
                              </w:rPr>
                              <w:t xml:space="preserve">Aplinkos apsaugos rėmimo specialiosios programos lėšų naudojimą reglamentuoja Lietuvos Respublikos  savivaldybių aplinkos apsaugos  rėmimo specialiosios programos įstatymas, Lietuvos Respublikos aplinkos ministerijos 2019-08-14 raštas Nr. (15-3)-D8E-1810 „Dėl Savivaldybių aplinkos apsaugos rėmimo programos lėšomis finansuojamų priemonių“ pridedama lėšų naudojimo rekomendacija“.</w:t>
                            </w:r>
                          </w:p>
                          <w:p>
                            <w:pPr>
                              <w:widowControl w:val="0"/>
                              <w:tabs>
                                <w:tab w:val="left" w:pos="709"/>
                              </w:tabs>
                              <w:suppressAutoHyphens/>
                              <w:spacing w:line="276" w:lineRule="auto"/>
                              <w:jc w:val="both"/>
                              <w:rPr>
                                <w:rFonts w:ascii="Thorndale" w:eastAsia="Batang" w:hAnsi="Thorndale" w:cs="Tahoma" w:hint="eastAsia"/>
                                <w:b/>
                                <w:bCs/>
                                <w:color w:val="000000"/>
                                <w:szCs w:val="24"/>
                              </w:rPr>
                            </w:pPr>
                          </w:p>
                          <w:p>
                            <w:pPr>
                              <w:widowControl w:val="0"/>
                              <w:tabs>
                                <w:tab w:val="left" w:pos="0"/>
                              </w:tabs>
                              <w:suppressAutoHyphens/>
                              <w:ind w:firstLine="761"/>
                              <w:rPr>
                                <w:b/>
                                <w:szCs w:val="24"/>
                              </w:rPr>
                            </w:pPr>
                          </w:p>
                          <w:p>
                            <w:pPr>
                              <w:widowControl w:val="0"/>
                              <w:tabs>
                                <w:tab w:val="left" w:pos="0"/>
                              </w:tabs>
                              <w:suppressAutoHyphens/>
                              <w:ind w:firstLine="761"/>
                              <w:rPr>
                                <w:b/>
                                <w:szCs w:val="24"/>
                              </w:rPr>
                            </w:pPr>
                          </w:p>
                        </w:tc>
                      </w:tr>
                      <w:tr>
                        <w:trPr>
                          <w:gridBefore w:val="1"/>
                          <w:wBefore w:w="12" w:type="dxa"/>
                          <w:cantSplit/>
                        </w:trPr>
                        <w:tc>
                          <w:tcPr>
                            <w:tcW w:w="9781" w:type="dxa"/>
                          </w:tcPr>
                          <w:p>
                            <w:pPr>
                              <w:widowControl w:val="0"/>
                              <w:tabs>
                                <w:tab w:val="left" w:pos="0"/>
                              </w:tabs>
                              <w:suppressAutoHyphens/>
                              <w:jc w:val="both"/>
                              <w:rPr>
                                <w:szCs w:val="24"/>
                              </w:rPr>
                            </w:pPr>
                          </w:p>
                        </w:tc>
                      </w:tr>
                    </w:tbl>
                    <w:p>
                      <w:pPr>
                        <w:widowControl w:val="0"/>
                        <w:suppressAutoHyphens/>
                        <w:rPr>
                          <w:szCs w:val="24"/>
                        </w:rPr>
                      </w:pPr>
                    </w:p>
                  </w:sdtContent>
                </w:sdt>
                <w:sdt>
                  <w:sdtPr>
                    <w:alias w:val="pastraipa"/>
                    <w:tag w:val="part_c45e52f37afd4e7abab262f27b5c374c"/>
                    <w:lock w:val="sdtLocked"/>
                    <w:richText/>
                  </w:sdtPr>
                  <w:sdtContent>
                    <w:p>
                      <w:pPr>
                        <w:widowControl w:val="0"/>
                        <w:suppressAutoHyphens/>
                        <w:rPr>
                          <w:szCs w:val="24"/>
                        </w:rPr>
                      </w:pPr>
                      <w:r>
                        <w:rPr>
                          <w:szCs w:val="24"/>
                        </w:rPr>
                        <w:t xml:space="preserve">Žemės ūkio skyriaus vyriausioji specialistė         </w:t>
                        <w:tab/>
                        <w:t xml:space="preserve">                                           Valentina Grinienė</w:t>
                      </w:r>
                    </w:p>
                    <w:p>
                      <w:pPr>
                        <w:widowControl w:val="0"/>
                        <w:suppressAutoHyphens/>
                        <w:rPr>
                          <w:szCs w:val="24"/>
                        </w:rPr>
                      </w:pPr>
                    </w:p>
                    <w:p>
                      <w:pPr>
                        <w:widowControl w:val="0"/>
                        <w:suppressAutoHyphens/>
                        <w:rPr>
                          <w:szCs w:val="24"/>
                        </w:rPr>
                      </w:pPr>
                    </w:p>
                    <w:p>
                      <w:pPr>
                        <w:rPr>
                          <w:szCs w:val="24"/>
                          <w:lang w:eastAsia="lt-LT"/>
                        </w:rPr>
                      </w:pPr>
                    </w:p>
                    <w:p/>
                  </w:sdtContent>
                </w:sdt>
              </w:sdtContent>
            </w:sdt>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hAnsi="Thorndale" w:cs="Tahoma"/>
          <w:szCs w:val="24"/>
        </w:rPr>
      </w:pPr>
      <w:r>
        <w:rPr>
          <w:rFonts w:ascii="Thorndale" w:hAnsi="Thorndale" w:cs="Tahoma"/>
          <w:szCs w:val="24"/>
        </w:rPr>
        <w:separator/>
      </w:r>
    </w:p>
  </w:endnote>
  <w:endnote w:type="continuationSeparator" w:id="0">
    <w:p>
      <w:pPr>
        <w:widowControl w:val="0"/>
        <w:suppressAutoHyphens/>
        <w:rPr>
          <w:rFonts w:ascii="Thorndale" w:hAnsi="Thorndale" w:cs="Tahoma"/>
          <w:szCs w:val="24"/>
        </w:rPr>
      </w:pPr>
      <w:r>
        <w:rPr>
          <w:rFonts w:ascii="Thorndale" w:hAnsi="Thorndale" w:cs="Tahoma"/>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auto"/>
    <w:pitch w:val="default"/>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Book Antiqua">
    <w:panose1 w:val="02040602050305030304"/>
    <w:charset w:val="BA"/>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hAnsi="Thorndale" w:cs="Tahoma"/>
          <w:szCs w:val="24"/>
        </w:rPr>
      </w:pPr>
      <w:r>
        <w:rPr>
          <w:rFonts w:ascii="Thorndale" w:hAnsi="Thorndale" w:cs="Tahoma"/>
          <w:szCs w:val="24"/>
        </w:rPr>
        <w:separator/>
      </w:r>
    </w:p>
  </w:footnote>
  <w:footnote w:type="continuationSeparator" w:id="0">
    <w:p>
      <w:pPr>
        <w:widowControl w:val="0"/>
        <w:suppressAutoHyphens/>
        <w:rPr>
          <w:rFonts w:ascii="Thorndale" w:hAnsi="Thorndale" w:cs="Tahoma"/>
          <w:szCs w:val="24"/>
        </w:rPr>
      </w:pPr>
      <w:r>
        <w:rPr>
          <w:rFonts w:ascii="Thorndale" w:hAnsi="Thorndale" w:cs="Tahoma"/>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E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F55898DE-7FEE-43F9-B205-FDCE4004BF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8931413">
      <w:bodyDiv w:val="1"/>
      <w:marLeft w:val="0"/>
      <w:marRight w:val="0"/>
      <w:marTop w:val="0"/>
      <w:marBottom w:val="0"/>
      <w:divBdr>
        <w:top w:val="none" w:sz="0" w:space="0" w:color="auto"/>
        <w:left w:val="none" w:sz="0" w:space="0" w:color="auto"/>
        <w:bottom w:val="none" w:sz="0" w:space="0" w:color="auto"/>
        <w:right w:val="none" w:sz="0" w:space="0" w:color="auto"/>
      </w:divBdr>
    </w:div>
    <w:div w:id="951547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12a4540e5394f08ab9708e222f6982f" PartId="5b70072b47a24babac7c59dce83a1958">
    <Part Type="preambule" DocPartId="9212b06cb81f4aa69103f703dd4b2212" PartId="d3f19b5f9ee74899bbc12756cb4b25e8"/>
    <Part Type="pastraipa" DocPartId="16c6b63b934d4148b0335488ca6418cd" PartId="1c082777fe534c628e1abbce2f674eae"/>
    <Part Type="signatura" DocPartId="d0e7f80256e3419cb39f7500d8312dc2" PartId="e8b825e6f7b945948c4eb94c8483eb8e"/>
  </Part>
  <Part Type="patvirtinta" Title="RADVILIŠKIO RAJONO SAVIVALDYBĖS ADMINISTRACIJA" DocPartId="9b185ae852304a4e862162a3ed432a0d" PartId="d40bd7c889284f3a91cb10bc754238b5">
    <Part Type="skirsnis" Title="RADVILIŠKIO RAJONO SAVIVALDYBĖS APLINKOS APSAUGOS RĖMIMO SPECIALIOSIOS PROGRAMOS 2024 METŲ ATASKAITA" DocPartId="e79c71d2fdf348cd8b0a37a8320ae07f" PartId="523c4912aa7948ec86325fd42c7c319a">
      <Part Type="punktas" Nr="1" Abbr="1 p." DocPartId="2dd2e120975f48e5a93eca2fd75a80cf" PartId="ade4f1e1abf64b39bd569908206a0636"/>
      <Part Type="punktas" Nr="2" Abbr="2 p." DocPartId="6dce04a8af11427b810dbe5dae1fb9e1" PartId="912c919035fc47ee8d14aa9b19319974"/>
      <Part Type="punktas" Nr="3" Abbr="3 p." DocPartId="589cab56bd674ccfa69c6922e6dbc68d" PartId="4e2c7023aaf342ffb8b6781d962d3945"/>
      <Part Type="punktas" Nr="4" Abbr="4 p." DocPartId="ec4988f0258249d78f4296aa1bcaec5c" PartId="a1da4bab63584aada22fef387061606c"/>
      <Part Type="punktas" Nr="5" Abbr="5 p." DocPartId="8f13898990dc47f8a855d82b80c2124e" PartId="5fd40a9abf5841abab6f3b48b58a4aab">
        <Part Type="lentele" Title="RADVILIŠKIO RAJONO SAVIVALDYBĖS TARYBOS SPRENDIMO „DĖL RADVILIŠKIO RAJONO SAVIVALDYBĖS APLINKOS APSAUGOS RĖMIMO SPECIALIOSIOS PROGRAMOS 2024 METŲ PRIEMONIŲ VYKDYMO ATASKAITOS PATVIRTINIMO“ PROJEKTO AIŠKINAMASIS RAŠTAS" DocPartId="7a72408e9d554c7f8fd81324949e92d0" PartId="b10ead9f07a247e09ba949c04d9a99a3"/>
        <Part Type="pastraipa" DocPartId="8f5e3c4a0d5a456f8e3349f0574a7251" PartId="c45e52f37afd4e7abab262f27b5c374c"/>
      </Part>
    </Part>
  </Part>
</Parts>
</file>

<file path=customXml/itemProps1.xml><?xml version="1.0" encoding="utf-8"?>
<ds:datastoreItem xmlns:ds="http://schemas.openxmlformats.org/officeDocument/2006/customXml" ds:itemID="{45214784-2608-46F0-8776-18DC187FCC65}">
  <ds:schemaRefs>
    <ds:schemaRef ds:uri="http://schemas.openxmlformats.org/officeDocument/2006/bibliography"/>
  </ds:schemaRefs>
</ds:datastoreItem>
</file>

<file path=customXml/itemProps2.xml><?xml version="1.0" encoding="utf-8"?>
<ds:datastoreItem xmlns:ds="http://schemas.openxmlformats.org/officeDocument/2006/customXml" ds:itemID="{61B54A93-05FA-482A-9EA9-24F4F04726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4712</Words>
  <Characters>33834</Characters>
  <Application>Microsoft Office Word</Application>
  <DocSecurity>4</DocSecurity>
  <Lines>1353</Lines>
  <Paragraphs>448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38098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2025-02-06T13:53:00Z</dcterms:created>
  <dc:creator>Radviliskis Zemes skyrius</dc:creator>
  <lastModifiedBy>adlibuser</lastModifiedBy>
  <lastPrinted>2025-01-16T13:22:00Z</lastPrinted>
  <dcterms:modified xsi:type="dcterms:W3CDTF">2025-02-06T13:53:00Z</dcterms:modified>
  <revision>2</revision>
</coreProperties>
</file>