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6e6336f757f48a383931511b891f543"/>
        <w:lock w:val="sdtLocked"/>
        <w:richText/>
      </w:sdtPr>
      <w:sdtContent>
        <w:p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ascii="Thorndale" w:eastAsia="HG Mincho Light J" w:hAnsi="Thorndale"/>
              <w:b/>
              <w:color w:val="000000"/>
              <w:szCs w:val="24"/>
            </w:rPr>
          </w:pPr>
        </w:p>
        <w:p/>
        <w:p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</w:rPr>
          </w:pPr>
          <w:r>
            <w:rPr>
              <w:rFonts w:eastAsia="HG Mincho Light J"/>
              <w:b/>
              <w:color w:val="000000"/>
              <w:szCs w:val="24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</w:rPr>
          </w:pPr>
        </w:p>
        <w:p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</w:rPr>
          </w:pPr>
          <w:r>
            <w:rPr>
              <w:rFonts w:eastAsia="HG Mincho Light J"/>
              <w:b/>
              <w:color w:val="000000"/>
              <w:szCs w:val="24"/>
            </w:rPr>
            <w:t>SPRENDIMAS</w:t>
          </w:r>
        </w:p>
        <w:p>
          <w:pPr>
            <w:shd w:val="clear" w:color="auto" w:fill="FFFFFF"/>
            <w:ind w:firstLine="720"/>
            <w:jc w:val="center"/>
            <w:rPr>
              <w:b/>
              <w:color w:val="000000"/>
              <w:kern w:val="36"/>
              <w:szCs w:val="24"/>
            </w:rPr>
          </w:pPr>
          <w:r>
            <w:rPr>
              <w:b/>
              <w:color w:val="000000"/>
              <w:kern w:val="36"/>
              <w:szCs w:val="24"/>
            </w:rPr>
            <w:t>DĖL BIUDŽETINĖS ĮSTAIGOS ŠIAULIŲ APSKAITOS CENTRO NUOSTATŲ PATVIRTINIMO</w:t>
          </w:r>
        </w:p>
        <w:p>
          <w:pPr>
            <w:widowControl w:val="0"/>
            <w:suppressAutoHyphens/>
            <w:rPr>
              <w:rFonts w:eastAsia="HG Mincho Light J"/>
              <w:b/>
              <w:color w:val="000000"/>
              <w:szCs w:val="24"/>
            </w:rPr>
          </w:pPr>
        </w:p>
        <w:p>
          <w:pPr>
            <w:widowControl w:val="0"/>
            <w:suppressAutoHyphens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fa3760cfe8264ce093d650d1847e7bb8"/>
            <w:lock w:val="sdtLocked"/>
            <w:richText/>
          </w:sdtPr>
          <w:sdtContent>
            <w:p>
              <w:pPr>
                <w:widowControl w:val="0"/>
                <w:tabs>
                  <w:tab w:val="center" w:pos="4819"/>
                  <w:tab w:val="left" w:pos="7416"/>
                </w:tabs>
                <w:suppressAutoHyphens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ab/>
                <w:t>2024 m.______________________ Nr. T-</w:t>
                <w:tab/>
              </w:r>
            </w:p>
          </w:sdtContent>
        </w:sdt>
        <w:sdt>
          <w:sdtPr>
            <w:alias w:val="pastraipa"/>
            <w:tag w:val="part_0dee7454a7b348d78bf8360fd2cefda7"/>
            <w:lock w:val="sdtLocked"/>
            <w:richText/>
          </w:sdtPr>
          <w:sdtContent>
            <w:p>
              <w:pPr>
                <w:widowControl w:val="0"/>
                <w:suppressAutoHyphens/>
                <w:jc w:val="center"/>
                <w:rPr>
                  <w:rFonts w:eastAsia="HG Mincho Light J"/>
                  <w:i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Šiauliai</w:t>
              </w:r>
            </w:p>
            <w:p>
              <w:pPr>
                <w:widowControl w:val="0"/>
                <w:tabs>
                  <w:tab w:val="left" w:pos="552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</w:rPr>
              </w:pPr>
            </w:p>
            <w:p>
              <w:pPr>
                <w:widowControl w:val="0"/>
                <w:tabs>
                  <w:tab w:val="left" w:pos="552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</w:rPr>
              </w:pPr>
            </w:p>
            <w:p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pacing w:val="4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  <w:lang w:bidi="lo-LA"/>
                </w:rPr>
                <w:t>Vadovaudamasi Lietuvos Respublikos vietos savivaldos įstatymo 15 straipsnio 2 dalies 9 punktu, 16 straipsnio 1 dalimi, Lietuvos</w:t>
              </w:r>
              <w:r>
                <w:rPr>
                  <w:rFonts w:eastAsia="HG Mincho Light J"/>
                  <w:color w:val="000000"/>
                  <w:szCs w:val="24"/>
                </w:rPr>
                <w:t xml:space="preserve"> Respublikos biudžetinių įstaigų įstatymo 5 straipsnio 3 dalies 1 punktu, 4 dalimi,  7 straipsniu,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c401bec0dc33410daac3c440c12a78f6"/>
            <w:lock w:val="sdtLocked"/>
            <w:richText/>
          </w:sdtPr>
          <w:sdtContent>
            <w:p>
              <w:pPr>
                <w:widowControl w:val="0"/>
                <w:tabs>
                  <w:tab w:val="left" w:pos="552"/>
                </w:tabs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</w:rPr>
              </w:pPr>
              <w:sdt>
                <w:sdtPr>
                  <w:alias w:val="Numeris"/>
                  <w:tag w:val="nr_c401bec0dc33410daac3c440c12a78f6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shd w:val="clear" w:color="auto" w:fill="FFFFFF"/>
                </w:rPr>
                <w:t>Patvirtinti biudžetinės įstaigos Šiaulių apskaitos centro nuostatus (toliau – Nuostatai) (pridedama).</w:t>
              </w:r>
            </w:p>
          </w:sdtContent>
        </w:sdt>
        <w:sdt>
          <w:sdtPr>
            <w:alias w:val="2 p."/>
            <w:tag w:val="part_d5cf4ee1a35d46049cc1adcd06d3ad54"/>
            <w:lock w:val="sdtLocked"/>
            <w:richText/>
          </w:sdtPr>
          <w:sdtContent>
            <w:p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Numeris"/>
                  <w:tag w:val="nr_d5cf4ee1a35d46049cc1adcd06d3ad54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</w:rPr>
                <w:t>. Įpareigoti biudžetinės įstaigos Šiaulių apskaitos centro direktorių</w:t>
              </w:r>
              <w:r>
                <w:rPr>
                  <w:rFonts w:eastAsia="HG Mincho Light J"/>
                  <w:color w:val="000000"/>
                  <w:szCs w:val="24"/>
                  <w:shd w:val="clear" w:color="auto" w:fill="FFFFFF"/>
                </w:rPr>
                <w:t xml:space="preserve">  pasirašyti šio sprendimo 1 punktu patvirtintus Nuostatus ir </w:t>
              </w:r>
              <w:r>
                <w:rPr>
                  <w:rFonts w:eastAsia="HG Mincho Light J"/>
                  <w:color w:val="000000"/>
                  <w:szCs w:val="24"/>
                </w:rPr>
                <w:t xml:space="preserve">teisės aktų nustatyta tvarka ir terminais juos įregistruoti Juridinių asmenų registre.  </w:t>
              </w:r>
            </w:p>
          </w:sdtContent>
        </w:sdt>
        <w:sdt>
          <w:sdtPr>
            <w:alias w:val="3 p."/>
            <w:tag w:val="part_5ac23845c5fd4072b15d31026528ce64"/>
            <w:lock w:val="sdtLocked"/>
            <w:richText/>
          </w:sdtPr>
          <w:sdtContent>
            <w:p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</w:rPr>
              </w:pPr>
              <w:sdt>
                <w:sdtPr>
                  <w:alias w:val="Numeris"/>
                  <w:tag w:val="nr_5ac23845c5fd4072b15d31026528ce64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</w:rPr>
                <w:t xml:space="preserve">. Pripažinti netekusiais galios biudžetinės įstaigos Šiaulių apskaitos centro nuostatus, patvirtintus Šiaulių miesto savivaldybės tarybos 2021 m. liepos 1 d. sprendimo Nr. T-323 „Dėl biudžetinės įstaigos Šiaulių apskaitos centro steigimo ir nuostatų patvirtinimo“ 3 punktu. </w:t>
              </w:r>
            </w:p>
          </w:sdtContent>
        </w:sdt>
        <w:sdt>
          <w:sdtPr>
            <w:alias w:val="4 p."/>
            <w:tag w:val="part_9a70286747814512946a98877b83b253"/>
            <w:lock w:val="sdtLocked"/>
            <w:richText/>
          </w:sdtPr>
          <w:sdtContent>
            <w:p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</w:rPr>
              </w:pPr>
              <w:sdt>
                <w:sdtPr>
                  <w:alias w:val="Numeris"/>
                  <w:tag w:val="nr_9a70286747814512946a98877b83b253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</w:rPr>
                <w:t xml:space="preserve">. Nustatyti, kad šio sprendimo 3 punktas įsigalioja nuo šio sprendimo 1 punktu patvirtintų Nuostatų įregistravimo Juridinių asmenų registre dienos. </w:t>
              </w:r>
            </w:p>
            <w:p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c7b322b50f2c4f6f95dcc65b7f8b5a4f"/>
            <w:lock w:val="sdtLocked"/>
            <w:richText/>
          </w:sdtPr>
          <w:sdtContent>
            <w:p>
              <w:pPr>
                <w:widowControl w:val="0"/>
                <w:tabs>
                  <w:tab w:val="left" w:pos="4253"/>
                  <w:tab w:val="right" w:pos="9570"/>
                </w:tabs>
                <w:suppressAutoHyphens/>
                <w:jc w:val="center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 xml:space="preserve">Savivaldybės meras </w:t>
                <w:tab/>
                <w:tab/>
              </w: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</w:rPr>
              </w:pP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</w:p>
            <w:p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</w:p>
            <w:p/>
          </w:sdtContent>
        </w:sdt>
      </w:sdtContent>
    </w:sdt>
    <w:sectPr>
      <w:headerReference w:type="default" r:id="rId6"/>
      <w:footerReference w:type="default" r:id="rId7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5" w:left="1701" w:header="72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</w:rPr>
      </w:pPr>
      <w:r>
        <w:rPr>
          <w:rFonts w:ascii="Thorndale" w:eastAsia="HG Mincho Light J" w:hAnsi="Thorndale"/>
          <w:color w:val="000000"/>
          <w:szCs w:val="24"/>
        </w:rPr>
        <w:separator/>
      </w:r>
    </w:p>
  </w:endnote>
  <w:end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</w:rPr>
      </w:pPr>
      <w:r>
        <w:rPr>
          <w:rFonts w:ascii="Thorndale" w:eastAsia="HG Mincho Light J" w:hAnsi="Thorndale"/>
          <w:color w:val="000000"/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</w:rPr>
      </w:pPr>
      <w:r>
        <w:rPr>
          <w:rFonts w:ascii="Thorndale" w:eastAsia="HG Mincho Light J" w:hAnsi="Thorndale"/>
          <w:color w:val="000000"/>
          <w:szCs w:val="24"/>
        </w:rPr>
        <w:separator/>
      </w:r>
    </w:p>
  </w:footnote>
  <w:foot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</w:rPr>
      </w:pPr>
      <w:r>
        <w:rPr>
          <w:rFonts w:ascii="Thorndale" w:eastAsia="HG Mincho Light J" w:hAnsi="Thorndale"/>
          <w:color w:val="000000"/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ind w:firstLine="7938"/>
      <w:rPr>
        <w:rFonts w:ascii="Thorndale" w:eastAsia="HG Mincho Light J" w:hAnsi="Thorndale"/>
        <w:b/>
        <w:bCs/>
        <w:color w:val="000000"/>
        <w:szCs w:val="24"/>
      </w:rPr>
    </w:pPr>
    <w:r>
      <w:rPr>
        <w:rFonts w:ascii="Thorndale" w:eastAsia="HG Mincho Light J" w:hAnsi="Thorndale"/>
        <w:b/>
        <w:bCs/>
        <w:color w:val="000000"/>
        <w:szCs w:val="24"/>
      </w:rPr>
      <w:t xml:space="preserve">Projektas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3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AB634B7-EC79-4537-8BA7-A80FF083212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04b9f55f2d6481fb0e44087f4ba1cb3" PartId="86e6336f757f48a383931511b891f543">
    <Part Type="preambule" DocPartId="2b95ef0697d9457ca9e79509e19e5e94" PartId="fa3760cfe8264ce093d650d1847e7bb8"/>
    <Part Type="pastraipa" DocPartId="cefae773058846cab8b2649e2113f744" PartId="0dee7454a7b348d78bf8360fd2cefda7"/>
    <Part Type="punktas" Nr="1" Abbr="1 p." DocPartId="f4381a32a8d743998c44c82d74fde7a7" PartId="c401bec0dc33410daac3c440c12a78f6"/>
    <Part Type="punktas" Nr="2" Abbr="2 p." DocPartId="09fcc01b2c1b4159a82c7005b5b60d94" PartId="d5cf4ee1a35d46049cc1adcd06d3ad54"/>
    <Part Type="punktas" Nr="3" Abbr="3 p." DocPartId="70a37ad6f69f43859baf64782f5b46fe" PartId="5ac23845c5fd4072b15d31026528ce64"/>
    <Part Type="punktas" Nr="4" Abbr="4 p." DocPartId="891dbb9a2f2f4e0a9eceaa04a3772a1b" PartId="9a70286747814512946a98877b83b253"/>
    <Part Type="signatura" DocPartId="5adc6688bae740aba75da5269a37527e" PartId="c7b322b50f2c4f6f95dcc65b7f8b5a4f"/>
  </Part>
</Parts>
</file>

<file path=customXml/itemProps1.xml><?xml version="1.0" encoding="utf-8"?>
<ds:datastoreItem xmlns:ds="http://schemas.openxmlformats.org/officeDocument/2006/customXml" ds:itemID="{163A4761-A7C4-4A93-B782-6CECFE1851B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191</Words>
  <Characters>1320</Characters>
  <Application>Microsoft Office Word</Application>
  <DocSecurity>4</DocSecurity>
  <Lines>42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2024-03-18T07:04:00Z</dcterms:created>
  <dc:creator>Violeta Valančienė</dc:creator>
  <lastModifiedBy>adlibuser</lastModifiedBy>
  <dcterms:modified xsi:type="dcterms:W3CDTF">2024-03-18T07:04:00Z</dcterms:modified>
  <revision>2</revision>
</coreProperties>
</file>