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d0806868b6a44bd9cedecdcb6711332"/>
        <w:lock w:val="sdtLocked"/>
        <w:richText/>
      </w:sdtPr>
      <w:sdtContent>
        <w:p>
          <w:pPr>
            <w:tabs>
              <w:tab w:val="center" w:pos="4819"/>
              <w:tab w:val="right" w:pos="9638"/>
            </w:tabs>
            <w:ind w:firstLine="720"/>
            <w:rPr>
              <w:rFonts w:ascii="Arial" w:hAnsi="Arial" w:cs="Arial"/>
              <w:sz w:val="20"/>
              <w:szCs w:val="24"/>
              <w:lang w:eastAsia="lt-LT"/>
            </w:rPr>
          </w:pPr>
        </w:p>
        <w:p>
          <w:pPr>
            <w:rPr>
              <w:sz w:val="22"/>
            </w:rPr>
          </w:pPr>
        </w:p>
        <w:p>
          <w:pPr>
            <w:spacing w:line="264" w:lineRule="atLeast"/>
            <w:ind w:left="6803" w:firstLine="312"/>
            <w:jc w:val="right"/>
            <w:textAlignment w:val="center"/>
            <w:rPr>
              <w:rFonts w:ascii="Calibri" w:hAnsi="Calibri"/>
              <w:color w:val="000000"/>
              <w:sz w:val="22"/>
              <w:szCs w:val="22"/>
              <w:lang w:val="en-US"/>
            </w:rPr>
          </w:pPr>
          <w:r>
            <w:rPr>
              <w:b/>
              <w:bCs/>
              <w:color w:val="000000"/>
              <w:szCs w:val="24"/>
            </w:rPr>
            <w:t>Projektas</w:t>
          </w:r>
        </w:p>
        <w:p>
          <w:pPr>
            <w:tabs>
              <w:tab w:val="left" w:pos="9639"/>
            </w:tabs>
            <w:jc w:val="center"/>
            <w:rPr>
              <w:b/>
              <w:szCs w:val="24"/>
              <w:lang w:eastAsia="lt-LT"/>
            </w:rPr>
          </w:pPr>
        </w:p>
        <w:p>
          <w:pPr>
            <w:tabs>
              <w:tab w:val="left" w:pos="9639"/>
            </w:tabs>
            <w:jc w:val="center"/>
            <w:rPr>
              <w:b/>
              <w:szCs w:val="24"/>
              <w:lang w:eastAsia="lt-LT"/>
            </w:rPr>
          </w:pPr>
          <w:r>
            <w:rPr>
              <w:b/>
              <w:szCs w:val="24"/>
              <w:lang w:eastAsia="lt-LT"/>
            </w:rPr>
            <w:t>LIETUVOS RESPUBLIKOS ENERGETIKOS MINISTRAS</w:t>
          </w:r>
        </w:p>
        <w:p>
          <w:pPr>
            <w:tabs>
              <w:tab w:val="left" w:pos="9639"/>
            </w:tabs>
            <w:rPr>
              <w:b/>
              <w:szCs w:val="24"/>
              <w:lang w:eastAsia="lt-LT"/>
            </w:rPr>
          </w:pPr>
        </w:p>
        <w:p>
          <w:pPr>
            <w:tabs>
              <w:tab w:val="left" w:pos="9639"/>
            </w:tabs>
            <w:jc w:val="center"/>
            <w:rPr>
              <w:b/>
              <w:szCs w:val="24"/>
              <w:lang w:eastAsia="lt-LT"/>
            </w:rPr>
          </w:pPr>
          <w:r>
            <w:rPr>
              <w:b/>
              <w:szCs w:val="24"/>
              <w:lang w:eastAsia="lt-LT"/>
            </w:rPr>
            <w:t>ĮSAKYMAS</w:t>
          </w:r>
        </w:p>
        <w:p>
          <w:pPr>
            <w:tabs>
              <w:tab w:val="left" w:pos="9639"/>
            </w:tabs>
            <w:jc w:val="center"/>
            <w:rPr>
              <w:b/>
              <w:szCs w:val="24"/>
              <w:lang w:eastAsia="lt-LT"/>
            </w:rPr>
          </w:pPr>
          <w:r>
            <w:rPr>
              <w:b/>
              <w:szCs w:val="24"/>
              <w:lang w:eastAsia="lt-LT"/>
            </w:rPr>
            <w:t>DĖL LIETUVOS RESPUBLIKOS ENERGETIKOS MINISTRO 2014 M. GRUODŽIO 2 D. ĮSAKYMO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PAKEITIMO</w:t>
          </w:r>
        </w:p>
        <w:p>
          <w:pPr>
            <w:tabs>
              <w:tab w:val="left" w:pos="9639"/>
            </w:tabs>
            <w:jc w:val="center"/>
            <w:rPr>
              <w:szCs w:val="24"/>
              <w:lang w:eastAsia="lt-LT"/>
            </w:rPr>
          </w:pPr>
        </w:p>
        <w:p>
          <w:pPr>
            <w:tabs>
              <w:tab w:val="left" w:pos="9639"/>
            </w:tabs>
            <w:jc w:val="center"/>
            <w:rPr>
              <w:szCs w:val="24"/>
              <w:lang w:eastAsia="lt-LT"/>
            </w:rPr>
          </w:pPr>
          <w:r>
            <w:rPr>
              <w:szCs w:val="24"/>
              <w:lang w:eastAsia="lt-LT"/>
            </w:rPr>
            <w:t xml:space="preserve">2017 m.                  d. Nr. </w:t>
          </w:r>
        </w:p>
        <w:p>
          <w:pPr>
            <w:tabs>
              <w:tab w:val="left" w:pos="9639"/>
            </w:tabs>
            <w:jc w:val="center"/>
            <w:rPr>
              <w:b/>
              <w:szCs w:val="24"/>
              <w:lang w:eastAsia="lt-LT"/>
            </w:rPr>
          </w:pPr>
          <w:r>
            <w:rPr>
              <w:szCs w:val="24"/>
              <w:lang w:eastAsia="lt-LT"/>
            </w:rPr>
            <w:t>Vilnius</w:t>
          </w:r>
        </w:p>
        <w:p>
          <w:pPr>
            <w:tabs>
              <w:tab w:val="left" w:pos="9639"/>
            </w:tabs>
            <w:jc w:val="center"/>
            <w:rPr>
              <w:szCs w:val="24"/>
              <w:lang w:eastAsia="lt-LT"/>
            </w:rPr>
          </w:pPr>
        </w:p>
        <w:sdt>
          <w:sdtPr>
            <w:alias w:val="preambule"/>
            <w:tag w:val="part_4f1c57a9d5a5407ba8d5cb23e78805c7"/>
            <w:lock w:val="sdtLocked"/>
            <w:richText/>
          </w:sdtPr>
          <w:sdtContent>
            <w:p>
              <w:pPr>
                <w:tabs>
                  <w:tab w:val="left" w:pos="9639"/>
                </w:tabs>
                <w:ind w:firstLine="567"/>
                <w:jc w:val="both"/>
                <w:rPr>
                  <w:color w:val="000000"/>
                  <w:szCs w:val="24"/>
                  <w:lang w:eastAsia="lt-LT"/>
                </w:rPr>
              </w:pPr>
              <w:r>
                <w:rPr>
                  <w:color w:val="000000"/>
                </w:rPr>
                <w:t xml:space="preserve">P a k e i č i u  </w:t>
              </w:r>
              <w:r>
                <w:rPr>
                  <w:szCs w:val="24"/>
                  <w:lang w:eastAsia="lt-LT"/>
                </w:rPr>
                <w:t xml:space="preserve">2014–2020 metų Europos Sąjungos fondų investicijų veiksmų programos prioritetų įgyvendinimo priemonių įgyvendinimo planą, patvirtintą </w:t>
              </w:r>
              <w:r>
                <w:rPr>
                  <w:color w:val="000000"/>
                  <w:szCs w:val="24"/>
                  <w:lang w:eastAsia="lt-LT"/>
                </w:rPr>
                <w:t xml:space="preserve">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w:t>
              </w:r>
            </w:p>
          </w:sdtContent>
        </w:sdt>
        <w:sdt>
          <w:sdtPr>
            <w:alias w:val="1 p."/>
            <w:tag w:val="part_759ab7d2296e431fb3aa53b5cbc9319a"/>
            <w:lock w:val="sdtLocked"/>
            <w:richText/>
          </w:sdtPr>
          <w:sdtContent>
            <w:p>
              <w:pPr>
                <w:tabs>
                  <w:tab w:val="left" w:pos="0"/>
                  <w:tab w:val="left" w:pos="567"/>
                  <w:tab w:val="left" w:pos="851"/>
                </w:tabs>
                <w:ind w:firstLine="567"/>
                <w:jc w:val="both"/>
                <w:rPr>
                  <w:color w:val="000000"/>
                  <w:szCs w:val="24"/>
                  <w:lang w:eastAsia="lt-LT"/>
                </w:rPr>
              </w:pPr>
              <w:sdt>
                <w:sdtPr>
                  <w:alias w:val="Numeris"/>
                  <w:tag w:val="nr_759ab7d2296e431fb3aa53b5cbc9319a"/>
                  <w:lock w:val="sdtLocked"/>
                  <w:richText/>
                </w:sdtPr>
                <w:sdtContent>
                  <w:r>
                    <w:rPr>
                      <w:color w:val="000000"/>
                      <w:szCs w:val="24"/>
                      <w:lang w:eastAsia="lt-LT"/>
                    </w:rPr>
                    <w:t>1</w:t>
                  </w:r>
                </w:sdtContent>
              </w:sdt>
              <w:r>
                <w:rPr>
                  <w:color w:val="000000"/>
                  <w:szCs w:val="24"/>
                  <w:lang w:eastAsia="lt-LT"/>
                </w:rPr>
                <w:t>. Pakeičiu I skyriaus penktojo skirsnio 5 punktą ir jį išdėstau taip:</w:t>
              </w:r>
            </w:p>
            <w:sdt>
              <w:sdtPr>
                <w:alias w:val="citata"/>
                <w:tag w:val="part_8fddeac0b982438dbba0eace52b400e5"/>
                <w:lock w:val="sdtLocked"/>
                <w:richText/>
              </w:sdtPr>
              <w:sdtContent>
                <w:sdt>
                  <w:sdtPr>
                    <w:alias w:val="5 p."/>
                    <w:tag w:val="part_8b7208cc77e346e68a23b9320b2afd2d"/>
                    <w:lock w:val="sdtLocked"/>
                    <w:richText/>
                  </w:sdtPr>
                  <w:sdtContent>
                    <w:p>
                      <w:pPr>
                        <w:tabs>
                          <w:tab w:val="left" w:pos="851"/>
                          <w:tab w:val="left" w:pos="993"/>
                        </w:tabs>
                        <w:ind w:firstLine="567"/>
                        <w:jc w:val="both"/>
                        <w:rPr>
                          <w:color w:val="000000"/>
                          <w:szCs w:val="24"/>
                          <w:lang w:eastAsia="lt-LT"/>
                        </w:rPr>
                      </w:pPr>
                      <w:r>
                        <w:rPr>
                          <w:color w:val="000000"/>
                          <w:szCs w:val="24"/>
                          <w:lang w:eastAsia="lt-LT"/>
                        </w:rPr>
                        <w:t>„</w:t>
                      </w:r>
                      <w:sdt>
                        <w:sdtPr>
                          <w:alias w:val="Numeris"/>
                          <w:tag w:val="nr_8b7208cc77e346e68a23b9320b2afd2d"/>
                          <w:lock w:val="sdtLocked"/>
                          <w:richText/>
                        </w:sdtPr>
                        <w:sdtContent>
                          <w:r>
                            <w:rPr>
                              <w:color w:val="000000"/>
                              <w:szCs w:val="24"/>
                              <w:lang w:eastAsia="lt-LT"/>
                            </w:rPr>
                            <w:t>5</w:t>
                          </w:r>
                        </w:sdtContent>
                      </w:sdt>
                      <w:r>
                        <w:rPr>
                          <w:color w:val="000000"/>
                          <w:szCs w:val="24"/>
                          <w:lang w:eastAsia="lt-LT"/>
                        </w:rPr>
                        <w:t>.</w:t>
                        <w:tab/>
                        <w:t>Reikalavimai, taikomi priemonei atskirti nuo kitų iš ES bei kitos tarptautinės finansinės paramos finansuojamų programų priemonių:</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tc>
                          <w:tcPr>
                            <w:tcW w:w="9639" w:type="dxa"/>
                          </w:tcPr>
                          <w:p>
                            <w:pPr>
                              <w:tabs>
                                <w:tab w:val="left" w:pos="0"/>
                                <w:tab w:val="left" w:pos="567"/>
                                <w:tab w:val="left" w:pos="9639"/>
                              </w:tabs>
                              <w:ind w:firstLine="488"/>
                              <w:jc w:val="both"/>
                              <w:rPr>
                                <w:color w:val="000000"/>
                                <w:szCs w:val="24"/>
                                <w:lang w:eastAsia="lt-LT"/>
                              </w:rPr>
                            </w:pPr>
                            <w:r>
                              <w:rPr>
                                <w:color w:val="000000"/>
                                <w:szCs w:val="24"/>
                                <w:lang w:eastAsia="lt-LT"/>
                              </w:rPr>
                              <w:t xml:space="preserve">Pagal priemonę finansavimas teikiamas Energinio efektyvumo didinimo programoje nurodytiems viešųjų pastatų atnaujinimo veiksmams (priemonėms). </w:t>
                            </w:r>
                          </w:p>
                          <w:p>
                            <w:pPr>
                              <w:tabs>
                                <w:tab w:val="left" w:pos="0"/>
                                <w:tab w:val="left" w:pos="567"/>
                                <w:tab w:val="left" w:pos="9639"/>
                              </w:tabs>
                              <w:ind w:firstLine="488"/>
                              <w:jc w:val="both"/>
                              <w:rPr>
                                <w:color w:val="000000"/>
                                <w:szCs w:val="24"/>
                                <w:lang w:eastAsia="lt-LT"/>
                              </w:rPr>
                            </w:pPr>
                            <w:r>
                              <w:rPr>
                                <w:color w:val="000000"/>
                                <w:szCs w:val="24"/>
                                <w:lang w:eastAsia="lt-LT"/>
                              </w:rPr>
                              <w:t>Pagal 04.3.1-VIPA-V-101 priemonę „Valstybei nuosavybės teise priklausančių pastatų atnaujinimas“, siekiant ją atskirti nuo 04.3.1-FM-F-105 priemonės „Energijos vartojimo efektyvumo didinimas viešojoje infrastruktūroje“, bus finansuojami energinio efektyvumo didinimo projektai pastatams, kurie pagal Lietuvos Respublikos vadovybės apsaugos įstatymo nuostatas priskirtini saugomiems objektams ir jiems taikomas specialus režimas apsaugai užtikrinti arba kuriuose pagal kitus teisės aktus energijos taupymo paslaugų teikimo įmonės negali užtikrinti paslaugų teikimo.</w:t>
                            </w:r>
                          </w:p>
                          <w:p>
                            <w:pPr>
                              <w:tabs>
                                <w:tab w:val="left" w:pos="0"/>
                                <w:tab w:val="left" w:pos="567"/>
                                <w:tab w:val="left" w:pos="9639"/>
                              </w:tabs>
                              <w:ind w:firstLine="488"/>
                              <w:jc w:val="both"/>
                              <w:rPr>
                                <w:color w:val="000000"/>
                                <w:szCs w:val="24"/>
                                <w:lang w:eastAsia="lt-LT"/>
                              </w:rPr>
                            </w:pPr>
                            <w:r>
                              <w:rPr>
                                <w:color w:val="000000"/>
                                <w:szCs w:val="24"/>
                                <w:lang w:eastAsia="lt-LT"/>
                              </w:rPr>
                              <w:t>Pagal priemonę taip pat bus finansuojami į Lietuvos Respublikos energetikos ministro įsakymu tvirtinamus tinkamų atnaujinti pastatų sąrašus įtrauktų pastatų energinio efektyvumo didinimo projektai, dėl kurių buvo kreiptasi, bet kuriems nebuvo skirtas finansavimas pagal 04.3.1-FM-F-105 priemonę „Energijos vartojimo efektyvumo didinimas viešojoje infrastruktūroje“.</w:t>
                            </w:r>
                          </w:p>
                        </w:tc>
                      </w:tr>
                    </w:tbl>
                    <w:p>
                      <w:pPr>
                        <w:tabs>
                          <w:tab w:val="left" w:pos="9639"/>
                        </w:tabs>
                        <w:ind w:firstLine="567"/>
                        <w:jc w:val="right"/>
                        <w:rPr>
                          <w:szCs w:val="24"/>
                          <w:lang w:eastAsia="lt-LT"/>
                        </w:rPr>
                      </w:pPr>
                      <w:r>
                        <w:rPr>
                          <w:szCs w:val="24"/>
                          <w:lang w:eastAsia="lt-LT"/>
                        </w:rPr>
                        <w:t>“</w:t>
                      </w:r>
                    </w:p>
                  </w:sdtContent>
                </w:sdt>
              </w:sdtContent>
            </w:sdt>
          </w:sdtContent>
        </w:sdt>
        <w:sdt>
          <w:sdtPr>
            <w:alias w:val="2 p."/>
            <w:tag w:val="part_b1a56760396f4e1a9e87be89d2bf750f"/>
            <w:lock w:val="sdtLocked"/>
            <w:richText/>
          </w:sdtPr>
          <w:sdtContent>
            <w:p>
              <w:pPr>
                <w:tabs>
                  <w:tab w:val="left" w:pos="0"/>
                  <w:tab w:val="left" w:pos="567"/>
                  <w:tab w:val="left" w:pos="851"/>
                  <w:tab w:val="left" w:pos="9639"/>
                </w:tabs>
                <w:ind w:firstLine="567"/>
                <w:jc w:val="both"/>
                <w:rPr>
                  <w:color w:val="000000"/>
                  <w:szCs w:val="24"/>
                  <w:lang w:eastAsia="lt-LT"/>
                </w:rPr>
              </w:pPr>
              <w:sdt>
                <w:sdtPr>
                  <w:alias w:val="Numeris"/>
                  <w:tag w:val="nr_b1a56760396f4e1a9e87be89d2bf750f"/>
                  <w:lock w:val="sdtLocked"/>
                  <w:richText/>
                </w:sdtPr>
                <w:sdtContent>
                  <w:r>
                    <w:rPr>
                      <w:szCs w:val="24"/>
                      <w:lang w:eastAsia="lt-LT"/>
                    </w:rPr>
                    <w:t>2</w:t>
                  </w:r>
                </w:sdtContent>
              </w:sdt>
              <w:r>
                <w:rPr>
                  <w:szCs w:val="24"/>
                  <w:lang w:eastAsia="lt-LT"/>
                </w:rPr>
                <w:t xml:space="preserve">. </w:t>
              </w:r>
              <w:r>
                <w:rPr>
                  <w:color w:val="000000"/>
                  <w:szCs w:val="24"/>
                  <w:lang w:eastAsia="lt-LT"/>
                </w:rPr>
                <w:t>Pakeičiu I skyriaus penktojo skirsnio 6 punktą ir jį išdėstau taip:</w:t>
              </w:r>
            </w:p>
            <w:sdt>
              <w:sdtPr>
                <w:alias w:val="citata"/>
                <w:tag w:val="part_8eee581d9c3742378ee0a5bef10e3f6a"/>
                <w:lock w:val="sdtLocked"/>
                <w:richText/>
              </w:sdtPr>
              <w:sdtContent>
                <w:sdt>
                  <w:sdtPr>
                    <w:alias w:val="6 p."/>
                    <w:tag w:val="part_9030761ade084789a7c148c9471af657"/>
                    <w:lock w:val="sdtLocked"/>
                    <w:richText/>
                  </w:sdtPr>
                  <w:sdtContent>
                    <w:p>
                      <w:pPr>
                        <w:tabs>
                          <w:tab w:val="left" w:pos="0"/>
                          <w:tab w:val="left" w:pos="567"/>
                          <w:tab w:val="left" w:pos="851"/>
                          <w:tab w:val="left" w:pos="9639"/>
                        </w:tabs>
                        <w:ind w:firstLine="567"/>
                        <w:jc w:val="both"/>
                        <w:rPr>
                          <w:szCs w:val="24"/>
                          <w:lang w:eastAsia="lt-LT"/>
                        </w:rPr>
                      </w:pPr>
                      <w:r>
                        <w:rPr>
                          <w:color w:val="000000"/>
                          <w:szCs w:val="24"/>
                          <w:lang w:eastAsia="lt-LT"/>
                        </w:rPr>
                        <w:t>„</w:t>
                      </w:r>
                      <w:sdt>
                        <w:sdtPr>
                          <w:alias w:val="Numeris"/>
                          <w:tag w:val="nr_9030761ade084789a7c148c9471af657"/>
                          <w:lock w:val="sdtLocked"/>
                          <w:richText/>
                        </w:sdtPr>
                        <w:sdtContent>
                          <w:r>
                            <w:rPr>
                              <w:szCs w:val="24"/>
                              <w:lang w:eastAsia="lt-LT"/>
                            </w:rPr>
                            <w:t>6</w:t>
                          </w:r>
                        </w:sdtContent>
                      </w:sdt>
                      <w:r>
                        <w:rPr>
                          <w:szCs w:val="24"/>
                          <w:lang w:eastAsia="lt-LT"/>
                        </w:rPr>
                        <w:t>. P</w:t>
                      </w:r>
                      <w:r>
                        <w:rPr>
                          <w:bCs/>
                          <w:szCs w:val="24"/>
                          <w:lang w:eastAsia="lt-LT"/>
                        </w:rPr>
                        <w:t>riemonės įgyvendinimo stebėsenos rodikliai</w:t>
                      </w:r>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3"/>
                        <w:gridCol w:w="2128"/>
                        <w:gridCol w:w="1418"/>
                        <w:gridCol w:w="1986"/>
                        <w:gridCol w:w="2410"/>
                      </w:tblGrid>
                      <w:tr>
                        <w:tc>
                          <w:tcPr>
                            <w:tcW w:w="1703" w:type="dxa"/>
                            <w:tcBorders>
                              <w:top w:val="single" w:sz="4" w:space="0" w:color="auto"/>
                              <w:left w:val="single" w:sz="4" w:space="0" w:color="auto"/>
                              <w:bottom w:val="single" w:sz="4" w:space="0" w:color="auto"/>
                              <w:right w:val="single" w:sz="4" w:space="0" w:color="auto"/>
                            </w:tcBorders>
                            <w:hideMark/>
                          </w:tcPr>
                          <w:p>
                            <w:pPr>
                              <w:tabs>
                                <w:tab w:val="left" w:pos="284"/>
                                <w:tab w:val="left" w:pos="9639"/>
                              </w:tabs>
                              <w:jc w:val="center"/>
                              <w:rPr>
                                <w:szCs w:val="24"/>
                                <w:lang w:eastAsia="lt-LT"/>
                              </w:rPr>
                            </w:pPr>
                            <w:r>
                              <w:rPr>
                                <w:szCs w:val="24"/>
                                <w:lang w:eastAsia="lt-LT"/>
                              </w:rPr>
                              <w:t>Stebėsenos rodiklio kodas</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Stebėsenos rodiklio pavadinimas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Matavimo vienetas</w:t>
                            </w:r>
                          </w:p>
                        </w:tc>
                        <w:tc>
                          <w:tcPr>
                            <w:tcW w:w="1986"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Tarpinė reikšmė 2018 m. gruodžio 31 d.</w:t>
                            </w:r>
                          </w:p>
                        </w:tc>
                        <w:tc>
                          <w:tcPr>
                            <w:tcW w:w="2410" w:type="dxa"/>
                            <w:tcBorders>
                              <w:top w:val="single" w:sz="4" w:space="0" w:color="auto"/>
                              <w:left w:val="single" w:sz="4" w:space="0" w:color="auto"/>
                              <w:bottom w:val="single" w:sz="4" w:space="0" w:color="auto"/>
                              <w:right w:val="single" w:sz="4" w:space="0" w:color="auto"/>
                            </w:tcBorders>
                            <w:hideMark/>
                          </w:tcPr>
                          <w:p>
                            <w:pPr>
                              <w:tabs>
                                <w:tab w:val="left" w:pos="0"/>
                                <w:tab w:val="left" w:pos="9639"/>
                              </w:tabs>
                              <w:jc w:val="center"/>
                              <w:rPr>
                                <w:szCs w:val="24"/>
                                <w:lang w:eastAsia="lt-LT"/>
                              </w:rPr>
                            </w:pPr>
                            <w:r>
                              <w:rPr>
                                <w:szCs w:val="24"/>
                                <w:lang w:eastAsia="lt-LT"/>
                              </w:rPr>
                              <w:t>Galutinė reikšmė 2023 m. gruodžio 31 d.</w:t>
                            </w:r>
                          </w:p>
                        </w:tc>
                      </w:tr>
                      <w:tr>
                        <w:trPr>
                          <w:trHeight w:val="141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R.S.317</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„Sunaudotas galutinės energijos kiekis paslaugų ir namų ūkių sektoriuose“</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b/>
                                <w:szCs w:val="24"/>
                                <w:lang w:eastAsia="lt-LT"/>
                              </w:rPr>
                            </w:pPr>
                            <w:r>
                              <w:rPr>
                                <w:szCs w:val="24"/>
                                <w:lang w:eastAsia="lt-LT"/>
                              </w:rPr>
                              <w:t>1948</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1 680</w:t>
                            </w:r>
                          </w:p>
                        </w:tc>
                      </w:tr>
                      <w:tr>
                        <w:trPr>
                          <w:trHeight w:val="1702"/>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P.B.232</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„Metinis pirminės energijos suvartojimo viešuosiuose pastatuose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kWh/per metus</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t>0</w:t>
                            </w:r>
                          </w:p>
                        </w:tc>
                        <w:tc>
                          <w:tcPr>
                            <w:tcW w:w="2410" w:type="dxa"/>
                            <w:tcBorders>
                              <w:top w:val="single" w:sz="4" w:space="0" w:color="auto"/>
                              <w:left w:val="single" w:sz="4" w:space="0" w:color="auto"/>
                              <w:bottom w:val="single" w:sz="4" w:space="0" w:color="auto"/>
                              <w:right w:val="single" w:sz="4" w:space="0" w:color="auto"/>
                            </w:tcBorders>
                            <w:vAlign w:val="center"/>
                          </w:tcPr>
                          <w:p>
                            <w:pPr>
                              <w:tabs>
                                <w:tab w:val="left" w:pos="0"/>
                                <w:tab w:val="left" w:pos="9639"/>
                              </w:tabs>
                              <w:jc w:val="center"/>
                              <w:rPr>
                                <w:szCs w:val="24"/>
                                <w:lang w:eastAsia="lt-LT"/>
                              </w:rPr>
                            </w:pPr>
                            <w:r>
                              <w:rPr>
                                <w:szCs w:val="24"/>
                                <w:lang w:eastAsia="lt-LT"/>
                              </w:rPr>
                              <w:t>9 925 000</w:t>
                            </w:r>
                          </w:p>
                          <w:p>
                            <w:pPr>
                              <w:tabs>
                                <w:tab w:val="left" w:pos="0"/>
                                <w:tab w:val="left" w:pos="9639"/>
                              </w:tabs>
                              <w:ind w:firstLine="720"/>
                              <w:jc w:val="center"/>
                              <w:rPr>
                                <w:szCs w:val="24"/>
                                <w:lang w:eastAsia="lt-LT"/>
                              </w:rPr>
                            </w:pPr>
                          </w:p>
                        </w:tc>
                      </w:tr>
                      <w:tr>
                        <w:trPr>
                          <w:trHeight w:val="1139"/>
                        </w:trPr>
                        <w:tc>
                          <w:tcPr>
                            <w:tcW w:w="1703"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P.B.234</w:t>
                            </w:r>
                          </w:p>
                        </w:tc>
                        <w:tc>
                          <w:tcPr>
                            <w:tcW w:w="2128" w:type="dxa"/>
                            <w:tcBorders>
                              <w:top w:val="single" w:sz="4" w:space="0" w:color="auto"/>
                              <w:left w:val="single" w:sz="4" w:space="0" w:color="auto"/>
                              <w:bottom w:val="single" w:sz="4" w:space="0" w:color="auto"/>
                              <w:right w:val="single" w:sz="4" w:space="0" w:color="auto"/>
                            </w:tcBorders>
                            <w:hideMark/>
                          </w:tcPr>
                          <w:p>
                            <w:pPr>
                              <w:tabs>
                                <w:tab w:val="left" w:pos="0"/>
                                <w:tab w:val="left" w:pos="9639"/>
                              </w:tabs>
                              <w:rPr>
                                <w:szCs w:val="24"/>
                                <w:lang w:eastAsia="lt-LT"/>
                              </w:rPr>
                            </w:pPr>
                            <w:r>
                              <w:rPr>
                                <w:szCs w:val="24"/>
                                <w:lang w:eastAsia="lt-LT"/>
                              </w:rPr>
                              <w:t>„Bendras metinis šiltnamio efektą sukeliančių dujų sumažėjimas“</w:t>
                            </w:r>
                          </w:p>
                        </w:tc>
                        <w:tc>
                          <w:tcPr>
                            <w:tcW w:w="1418"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 CO</w:t>
                            </w:r>
                            <w:r>
                              <w:rPr>
                                <w:szCs w:val="24"/>
                                <w:vertAlign w:val="subscript"/>
                                <w:lang w:eastAsia="lt-LT"/>
                              </w:rPr>
                              <w:t>2</w:t>
                            </w:r>
                            <w:r>
                              <w:rPr>
                                <w:szCs w:val="24"/>
                                <w:lang w:eastAsia="lt-LT"/>
                              </w:rPr>
                              <w:t xml:space="preserve"> ekvivalentu</w:t>
                            </w:r>
                          </w:p>
                        </w:tc>
                        <w:tc>
                          <w:tcPr>
                            <w:tcW w:w="1986"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2410"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cs="Arial"/>
                                <w:szCs w:val="24"/>
                                <w:lang w:eastAsia="lt-LT"/>
                              </w:rPr>
                              <w:t>2 878</w:t>
                            </w:r>
                          </w:p>
                        </w:tc>
                      </w:tr>
                    </w:tbl>
                    <w:p>
                      <w:pPr>
                        <w:tabs>
                          <w:tab w:val="left" w:pos="9639"/>
                        </w:tabs>
                        <w:ind w:firstLine="567"/>
                        <w:jc w:val="right"/>
                        <w:rPr>
                          <w:szCs w:val="24"/>
                          <w:lang w:eastAsia="lt-LT"/>
                        </w:rPr>
                      </w:pPr>
                      <w:r>
                        <w:rPr>
                          <w:szCs w:val="24"/>
                          <w:lang w:eastAsia="lt-LT"/>
                        </w:rPr>
                        <w:t>“</w:t>
                      </w:r>
                    </w:p>
                  </w:sdtContent>
                </w:sdt>
              </w:sdtContent>
            </w:sdt>
          </w:sdtContent>
        </w:sdt>
        <w:sdt>
          <w:sdtPr>
            <w:alias w:val="3 p."/>
            <w:tag w:val="part_49617d39fa244547b5ea62b8ca41115a"/>
            <w:lock w:val="sdtLocked"/>
            <w:richText/>
          </w:sdtPr>
          <w:sdtContent>
            <w:p>
              <w:pPr>
                <w:tabs>
                  <w:tab w:val="left" w:pos="9639"/>
                </w:tabs>
                <w:ind w:firstLine="567"/>
                <w:jc w:val="both"/>
                <w:rPr>
                  <w:szCs w:val="24"/>
                  <w:lang w:val="en-US" w:eastAsia="lt-LT"/>
                </w:rPr>
              </w:pPr>
              <w:sdt>
                <w:sdtPr>
                  <w:alias w:val="Numeris"/>
                  <w:tag w:val="nr_49617d39fa244547b5ea62b8ca41115a"/>
                  <w:lock w:val="sdtLocked"/>
                  <w:richText/>
                </w:sdtPr>
                <w:sdtContent>
                  <w:r>
                    <w:rPr>
                      <w:color w:val="000000"/>
                      <w:szCs w:val="24"/>
                      <w:lang w:eastAsia="lt-LT"/>
                    </w:rPr>
                    <w:t>3</w:t>
                  </w:r>
                </w:sdtContent>
              </w:sdt>
              <w:r>
                <w:rPr>
                  <w:color w:val="000000"/>
                  <w:szCs w:val="24"/>
                  <w:lang w:eastAsia="lt-LT"/>
                </w:rPr>
                <w:t>.Pakeičiu I skyriaus š</w:t>
              </w:r>
              <w:r>
                <w:rPr>
                  <w:szCs w:val="24"/>
                  <w:lang w:eastAsia="lt-LT"/>
                </w:rPr>
                <w:t xml:space="preserve">eštojo skirsnio </w:t>
              </w:r>
              <w:r>
                <w:rPr>
                  <w:color w:val="000000"/>
                  <w:szCs w:val="24"/>
                  <w:lang w:eastAsia="lt-LT"/>
                </w:rPr>
                <w:t>6 punktą ir jį išdėstau taip:</w:t>
              </w:r>
            </w:p>
            <w:sdt>
              <w:sdtPr>
                <w:alias w:val="citata"/>
                <w:tag w:val="part_bb80148e2d8645eabd855bf3e5ede806"/>
                <w:lock w:val="sdtLocked"/>
                <w:richText/>
              </w:sdtPr>
              <w:sdtContent>
                <w:sdt>
                  <w:sdtPr>
                    <w:alias w:val="6 p."/>
                    <w:tag w:val="part_9cc884d0400a4aaaa6ce423ef3877fe9"/>
                    <w:lock w:val="sdtLocked"/>
                    <w:richText/>
                  </w:sdtPr>
                  <w:sdtContent>
                    <w:p>
                      <w:pPr>
                        <w:keepNext/>
                        <w:tabs>
                          <w:tab w:val="left" w:pos="0"/>
                          <w:tab w:val="left" w:pos="567"/>
                          <w:tab w:val="left" w:pos="993"/>
                        </w:tabs>
                        <w:ind w:firstLine="567"/>
                        <w:rPr>
                          <w:szCs w:val="24"/>
                          <w:lang w:eastAsia="lt-LT"/>
                        </w:rPr>
                      </w:pPr>
                      <w:r>
                        <w:rPr>
                          <w:szCs w:val="24"/>
                          <w:lang w:eastAsia="lt-LT"/>
                        </w:rPr>
                        <w:t>„</w:t>
                      </w:r>
                      <w:sdt>
                        <w:sdtPr>
                          <w:alias w:val="Numeris"/>
                          <w:tag w:val="nr_9cc884d0400a4aaaa6ce423ef3877fe9"/>
                          <w:lock w:val="sdtLocked"/>
                          <w:richText/>
                        </w:sdtPr>
                        <w:sdtContent>
                          <w:r>
                            <w:rPr>
                              <w:szCs w:val="24"/>
                              <w:lang w:eastAsia="lt-LT"/>
                            </w:rPr>
                            <w:t>6</w:t>
                          </w:r>
                        </w:sdtContent>
                      </w:sdt>
                      <w:r>
                        <w:rPr>
                          <w:szCs w:val="24"/>
                          <w:lang w:eastAsia="lt-LT"/>
                        </w:rPr>
                        <w:t>.</w:t>
                        <w:tab/>
                        <w:t>P</w:t>
                      </w:r>
                      <w:r>
                        <w:rPr>
                          <w:bCs/>
                          <w:szCs w:val="24"/>
                          <w:lang w:eastAsia="lt-LT"/>
                        </w:rPr>
                        <w:t>riemonės įgyvendinimo stebėsenos rodikliai</w:t>
                      </w:r>
                    </w:p>
                  </w:sdtContent>
                </w:sdt>
              </w:sdtContent>
            </w:sdt>
            <w:sdt>
              <w:sdtPr>
                <w:alias w:val="pastraipa"/>
                <w:tag w:val="part_08670415a38046a495697f1c52f8ebd1"/>
                <w:lock w:val="sdtLocked"/>
                <w:richText/>
              </w:sdtPr>
              <w:sdtContent>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831"/>
                    <w:gridCol w:w="2435"/>
                    <w:gridCol w:w="1420"/>
                    <w:gridCol w:w="1984"/>
                    <w:gridCol w:w="1978"/>
                  </w:tblGrid>
                  <w:tr>
                    <w:tc>
                      <w:tcPr>
                        <w:tcW w:w="949" w:type="pct"/>
                        <w:tcBorders>
                          <w:top w:val="single" w:sz="4" w:space="0" w:color="auto"/>
                          <w:left w:val="single" w:sz="4" w:space="0" w:color="auto"/>
                          <w:bottom w:val="single" w:sz="4" w:space="0" w:color="auto"/>
                          <w:right w:val="single" w:sz="4" w:space="0" w:color="auto"/>
                        </w:tcBorders>
                        <w:vAlign w:val="center"/>
                        <w:hideMark/>
                      </w:tcPr>
                      <w:p>
                        <w:pPr>
                          <w:keepNext/>
                          <w:tabs>
                            <w:tab w:val="left" w:pos="284"/>
                            <w:tab w:val="left" w:pos="9639"/>
                          </w:tabs>
                          <w:jc w:val="center"/>
                          <w:rPr>
                            <w:szCs w:val="24"/>
                            <w:lang w:eastAsia="lt-LT"/>
                          </w:rPr>
                        </w:pPr>
                        <w:r>
                          <w:rPr>
                            <w:szCs w:val="24"/>
                            <w:lang w:eastAsia="lt-LT"/>
                          </w:rPr>
                          <w:t>Stebėsenos rodiklio kodas</w:t>
                        </w:r>
                      </w:p>
                    </w:tc>
                    <w:tc>
                      <w:tcPr>
                        <w:tcW w:w="1262"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Stebėsenos rodiklio pavadinimas</w:t>
                        </w:r>
                      </w:p>
                    </w:tc>
                    <w:tc>
                      <w:tcPr>
                        <w:tcW w:w="736"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Matavimo vienetas</w:t>
                        </w:r>
                      </w:p>
                    </w:tc>
                    <w:tc>
                      <w:tcPr>
                        <w:tcW w:w="1028"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Tarpinė reikšmė 2018 m. gruodžio 31 d.</w:t>
                        </w:r>
                      </w:p>
                    </w:tc>
                    <w:tc>
                      <w:tcPr>
                        <w:tcW w:w="1024" w:type="pct"/>
                        <w:tcBorders>
                          <w:top w:val="single" w:sz="4" w:space="0" w:color="auto"/>
                          <w:left w:val="single" w:sz="4" w:space="0" w:color="auto"/>
                          <w:bottom w:val="single" w:sz="4" w:space="0" w:color="auto"/>
                          <w:right w:val="single" w:sz="4" w:space="0" w:color="auto"/>
                        </w:tcBorders>
                        <w:vAlign w:val="center"/>
                        <w:hideMark/>
                      </w:tcPr>
                      <w:p>
                        <w:pPr>
                          <w:keepNext/>
                          <w:tabs>
                            <w:tab w:val="left" w:pos="0"/>
                            <w:tab w:val="left" w:pos="9639"/>
                          </w:tabs>
                          <w:jc w:val="center"/>
                          <w:rPr>
                            <w:szCs w:val="24"/>
                            <w:lang w:eastAsia="lt-LT"/>
                          </w:rPr>
                        </w:pPr>
                        <w:r>
                          <w:rPr>
                            <w:szCs w:val="24"/>
                            <w:lang w:eastAsia="lt-LT"/>
                          </w:rPr>
                          <w:t xml:space="preserve">Galutinė reikšmė </w:t>
                        </w:r>
                        <w:r>
                          <w:t>2023 m</w:t>
                        </w:r>
                        <w:r>
                          <w:rPr>
                            <w:szCs w:val="24"/>
                            <w:lang w:eastAsia="lt-LT"/>
                          </w:rPr>
                          <w:t>. gruodžio 31 d.</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R.S.318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9639"/>
                          </w:tabs>
                          <w:ind w:left="23"/>
                          <w:rPr>
                            <w:szCs w:val="24"/>
                            <w:lang w:eastAsia="lt-LT"/>
                          </w:rPr>
                        </w:pPr>
                        <w:r>
                          <w:rPr>
                            <w:szCs w:val="24"/>
                            <w:lang w:eastAsia="lt-LT"/>
                          </w:rPr>
                          <w:t>„Transportavimo bei paskirstymo nuostoliai šilumos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tūkst. tne</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123</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113</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P.S.318</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rFonts w:eastAsia="AngsanaUPC"/>
                            <w:bCs/>
                            <w:iCs/>
                            <w:szCs w:val="24"/>
                            <w:lang w:eastAsia="lt-LT"/>
                          </w:rPr>
                          <w:t>„Šilumos vartotojai, kuriems šiluma tiekiama patikimiau ir pagerėjo tiekimo kokybė“</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asmenys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160 000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660 000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P.S.319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„Modernizuoti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150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600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P.N.101</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rFonts w:eastAsia="AngsanaUPC"/>
                            <w:bCs/>
                            <w:iCs/>
                            <w:szCs w:val="24"/>
                            <w:lang w:eastAsia="lt-LT"/>
                          </w:rPr>
                          <w:t>„Naujai nutiesti centralizuoto šilumos tiekimo tinklai“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km</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8</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P.N.102</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rFonts w:eastAsia="AngsanaUPC"/>
                            <w:bCs/>
                            <w:iCs/>
                            <w:szCs w:val="24"/>
                            <w:lang w:eastAsia="lt-LT"/>
                          </w:rPr>
                        </w:pPr>
                        <w:r>
                          <w:rPr>
                            <w:szCs w:val="24"/>
                            <w:lang w:eastAsia="lt-LT"/>
                          </w:rPr>
                          <w:t>„Transportavimo bei paskirstymo nuostolių sumažėjimas modernizuotuose centralizuoto šilumos tiekimo tinkluose“</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eastAsia="lt-LT"/>
                          </w:rPr>
                        </w:pPr>
                        <w:r>
                          <w:rPr>
                            <w:rFonts w:eastAsia="AngsanaUPC"/>
                            <w:bCs/>
                            <w:iCs/>
                            <w:szCs w:val="24"/>
                            <w:lang w:eastAsia="lt-LT"/>
                          </w:rPr>
                          <w:t>MWh</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17 000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138 000</w:t>
                        </w:r>
                      </w:p>
                    </w:tc>
                  </w:tr>
                  <w:tr>
                    <w:tc>
                      <w:tcPr>
                        <w:tcW w:w="949"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ind w:firstLine="567"/>
                          <w:rPr>
                            <w:szCs w:val="24"/>
                            <w:lang w:eastAsia="lt-LT"/>
                          </w:rPr>
                        </w:pPr>
                        <w:r>
                          <w:rPr>
                            <w:szCs w:val="24"/>
                            <w:lang w:eastAsia="lt-LT"/>
                          </w:rPr>
                          <w:t>P.N.109</w:t>
                        </w:r>
                      </w:p>
                    </w:tc>
                    <w:tc>
                      <w:tcPr>
                        <w:tcW w:w="1262" w:type="pct"/>
                        <w:tcBorders>
                          <w:top w:val="single" w:sz="4" w:space="0" w:color="auto"/>
                          <w:left w:val="single" w:sz="4" w:space="0" w:color="auto"/>
                          <w:bottom w:val="single" w:sz="4" w:space="0" w:color="auto"/>
                          <w:right w:val="single" w:sz="4" w:space="0" w:color="auto"/>
                        </w:tcBorders>
                        <w:vAlign w:val="center"/>
                        <w:hideMark/>
                      </w:tcPr>
                      <w:p>
                        <w:pPr>
                          <w:tabs>
                            <w:tab w:val="left" w:pos="165"/>
                            <w:tab w:val="left" w:pos="298"/>
                            <w:tab w:val="left" w:pos="9639"/>
                          </w:tabs>
                          <w:ind w:left="23"/>
                          <w:rPr>
                            <w:szCs w:val="24"/>
                            <w:lang w:eastAsia="lt-LT"/>
                          </w:rPr>
                        </w:pPr>
                        <w:r>
                          <w:rPr>
                            <w:szCs w:val="24"/>
                            <w:lang w:eastAsia="lt-LT"/>
                          </w:rPr>
                          <w:t>„Prie centralizuoto šilumos tiekimo sistemos prijungti nauji šilumos vartotojai“</w:t>
                        </w:r>
                      </w:p>
                    </w:tc>
                    <w:tc>
                      <w:tcPr>
                        <w:tcW w:w="736"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rFonts w:eastAsia="AngsanaUPC"/>
                            <w:bCs/>
                            <w:iCs/>
                            <w:szCs w:val="24"/>
                            <w:lang w:val="en-US" w:eastAsia="lt-LT"/>
                          </w:rPr>
                        </w:pPr>
                        <w:r>
                          <w:rPr>
                            <w:rFonts w:eastAsia="AngsanaUPC"/>
                            <w:bCs/>
                            <w:iCs/>
                            <w:szCs w:val="24"/>
                            <w:lang w:eastAsia="lt-LT"/>
                          </w:rPr>
                          <w:t>skaičius</w:t>
                        </w:r>
                      </w:p>
                    </w:tc>
                    <w:tc>
                      <w:tcPr>
                        <w:tcW w:w="1028"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zCs w:val="24"/>
                            <w:lang w:eastAsia="lt-LT"/>
                          </w:rPr>
                        </w:pPr>
                        <w:r>
                          <w:rPr>
                            <w:szCs w:val="24"/>
                            <w:lang w:eastAsia="lt-LT"/>
                          </w:rPr>
                          <w:t>0</w:t>
                        </w:r>
                      </w:p>
                    </w:tc>
                    <w:tc>
                      <w:tcPr>
                        <w:tcW w:w="1024" w:type="pct"/>
                        <w:tcBorders>
                          <w:top w:val="single" w:sz="4" w:space="0" w:color="auto"/>
                          <w:left w:val="single" w:sz="4" w:space="0" w:color="auto"/>
                          <w:bottom w:val="single" w:sz="4" w:space="0" w:color="auto"/>
                          <w:right w:val="single" w:sz="4" w:space="0" w:color="auto"/>
                        </w:tcBorders>
                        <w:vAlign w:val="center"/>
                        <w:hideMark/>
                      </w:tcPr>
                      <w:p>
                        <w:pPr>
                          <w:tabs>
                            <w:tab w:val="left" w:pos="0"/>
                            <w:tab w:val="left" w:pos="9639"/>
                          </w:tabs>
                          <w:jc w:val="center"/>
                          <w:rPr>
                            <w:strike/>
                            <w:szCs w:val="24"/>
                            <w:lang w:eastAsia="lt-LT"/>
                          </w:rPr>
                        </w:pPr>
                        <w:r>
                          <w:rPr>
                            <w:szCs w:val="24"/>
                            <w:lang w:eastAsia="lt-LT"/>
                          </w:rPr>
                          <w:t>500</w:t>
                        </w:r>
                      </w:p>
                    </w:tc>
                  </w:tr>
                  <w:tr>
                    <w:tc>
                      <w:tcPr>
                        <w:tcW w:w="2947" w:type="pct"/>
                        <w:gridSpan w:val="3"/>
                        <w:tcBorders>
                          <w:top w:val="nil"/>
                          <w:left w:val="nil"/>
                          <w:bottom w:val="nil"/>
                          <w:right w:val="nil"/>
                        </w:tcBorders>
                        <w:tcMar>
                          <w:top w:w="0" w:type="dxa"/>
                          <w:left w:w="108" w:type="dxa"/>
                          <w:bottom w:w="0" w:type="dxa"/>
                          <w:right w:w="108" w:type="dxa"/>
                        </w:tcMar>
                        <w:vAlign w:val="bottom"/>
                      </w:tcPr>
                      <w:p>
                        <w:pPr>
                          <w:tabs>
                            <w:tab w:val="left" w:pos="9639"/>
                          </w:tabs>
                          <w:ind w:left="927"/>
                          <w:jc w:val="right"/>
                          <w:rPr>
                            <w:szCs w:val="24"/>
                            <w:lang w:eastAsia="lt-LT"/>
                          </w:rPr>
                        </w:pPr>
                      </w:p>
                    </w:tc>
                    <w:tc>
                      <w:tcPr>
                        <w:tcW w:w="2053" w:type="pct"/>
                        <w:gridSpan w:val="2"/>
                        <w:tcBorders>
                          <w:top w:val="nil"/>
                          <w:left w:val="nil"/>
                          <w:bottom w:val="nil"/>
                          <w:right w:val="nil"/>
                        </w:tcBorders>
                        <w:tcMar>
                          <w:top w:w="0" w:type="dxa"/>
                          <w:left w:w="108" w:type="dxa"/>
                          <w:bottom w:w="0" w:type="dxa"/>
                          <w:right w:w="108" w:type="dxa"/>
                        </w:tcMar>
                        <w:vAlign w:val="bottom"/>
                      </w:tcPr>
                      <w:p>
                        <w:pPr>
                          <w:tabs>
                            <w:tab w:val="left" w:pos="142"/>
                            <w:tab w:val="left" w:pos="469"/>
                            <w:tab w:val="left" w:pos="7088"/>
                            <w:tab w:val="left" w:pos="8364"/>
                            <w:tab w:val="left" w:pos="9639"/>
                          </w:tabs>
                          <w:ind w:right="-113" w:firstLine="3591"/>
                          <w:jc w:val="right"/>
                          <w:rPr>
                            <w:bCs/>
                            <w:szCs w:val="24"/>
                            <w:lang w:eastAsia="lt-LT"/>
                          </w:rPr>
                        </w:pPr>
                        <w:r>
                          <w:rPr>
                            <w:bCs/>
                            <w:szCs w:val="24"/>
                            <w:lang w:eastAsia="lt-LT"/>
                          </w:rPr>
                          <w:t>“</w:t>
                        </w:r>
                      </w:p>
                    </w:tc>
                  </w:tr>
                </w:tbl>
                <w:p>
                  <w:pPr>
                    <w:tabs>
                      <w:tab w:val="left" w:pos="4927"/>
                    </w:tabs>
                    <w:rPr>
                      <w:szCs w:val="24"/>
                      <w:lang w:eastAsia="lt-LT"/>
                    </w:rPr>
                  </w:pPr>
                </w:p>
                <w:p>
                  <w:pPr>
                    <w:tabs>
                      <w:tab w:val="left" w:pos="4927"/>
                    </w:tabs>
                    <w:rPr>
                      <w:szCs w:val="24"/>
                      <w:lang w:eastAsia="lt-LT"/>
                    </w:rPr>
                  </w:pPr>
                </w:p>
                <w:p>
                  <w:pPr>
                    <w:tabs>
                      <w:tab w:val="left" w:pos="4927"/>
                    </w:tabs>
                    <w:rPr>
                      <w:szCs w:val="24"/>
                      <w:lang w:eastAsia="lt-LT"/>
                    </w:rPr>
                  </w:pPr>
                </w:p>
              </w:sdtContent>
            </w:sdt>
          </w:sdtContent>
        </w:sdt>
        <w:sdt>
          <w:sdtPr>
            <w:alias w:val="signatura"/>
            <w:tag w:val="part_c14c81b6e43e4c258ced6536d1578888"/>
            <w:lock w:val="sdtLocked"/>
            <w:richText/>
          </w:sdtPr>
          <w:sdtContent>
            <w:p>
              <w:pPr>
                <w:tabs>
                  <w:tab w:val="left" w:pos="7513"/>
                </w:tabs>
                <w:rPr>
                  <w:szCs w:val="24"/>
                  <w:lang w:eastAsia="lt-LT"/>
                </w:rPr>
              </w:pPr>
              <w:r>
                <w:rPr>
                  <w:szCs w:val="24"/>
                  <w:lang w:eastAsia="lt-LT"/>
                </w:rPr>
                <w:t>Energetikos ministras</w:t>
                <w:tab/>
              </w:r>
            </w:p>
            <w:p/>
            <w:p/>
            <w:p/>
            <w:p/>
            <w:p/>
            <w:p>
              <w:pPr>
                <w:rPr>
                  <w:szCs w:val="24"/>
                  <w:lang w:eastAsia="lt-LT"/>
                </w:rPr>
              </w:pPr>
              <w:r>
                <w:rPr>
                  <w:szCs w:val="24"/>
                  <w:lang w:eastAsia="lt-LT"/>
                </w:rPr>
                <w:t>SUDERINTA</w:t>
              </w:r>
            </w:p>
            <w:p>
              <w:pPr>
                <w:rPr>
                  <w:szCs w:val="24"/>
                  <w:lang w:eastAsia="lt-LT"/>
                </w:rPr>
              </w:pPr>
              <w:r>
                <w:rPr>
                  <w:szCs w:val="24"/>
                  <w:lang w:eastAsia="lt-LT"/>
                </w:rPr>
                <w:t>Lietuvos Respublikos finansų ministerijos</w:t>
              </w:r>
            </w:p>
            <w:p>
              <w:r>
                <w:rPr>
                  <w:szCs w:val="24"/>
                  <w:lang w:eastAsia="lt-LT"/>
                </w:rPr>
                <w:t xml:space="preserve">2017            raštu Nr.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paperSrc w:first="15"/>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C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01954092">
      <w:bodyDiv w:val="1"/>
      <w:marLeft w:val="0"/>
      <w:marRight w:val="0"/>
      <w:marTop w:val="0"/>
      <w:marBottom w:val="0"/>
      <w:divBdr>
        <w:top w:val="none" w:sz="0" w:space="0" w:color="auto"/>
        <w:left w:val="none" w:sz="0" w:space="0" w:color="auto"/>
        <w:bottom w:val="none" w:sz="0" w:space="0" w:color="auto"/>
        <w:right w:val="none" w:sz="0" w:space="0" w:color="auto"/>
      </w:divBdr>
    </w:div>
    <w:div w:id="646786205">
      <w:bodyDiv w:val="1"/>
      <w:marLeft w:val="0"/>
      <w:marRight w:val="0"/>
      <w:marTop w:val="0"/>
      <w:marBottom w:val="0"/>
      <w:divBdr>
        <w:top w:val="none" w:sz="0" w:space="0" w:color="auto"/>
        <w:left w:val="none" w:sz="0" w:space="0" w:color="auto"/>
        <w:bottom w:val="none" w:sz="0" w:space="0" w:color="auto"/>
        <w:right w:val="none" w:sz="0" w:space="0" w:color="auto"/>
      </w:divBdr>
      <w:divsChild>
        <w:div w:id="375470030">
          <w:marLeft w:val="0"/>
          <w:marRight w:val="0"/>
          <w:marTop w:val="0"/>
          <w:marBottom w:val="0"/>
          <w:divBdr>
            <w:top w:val="none" w:sz="0" w:space="0" w:color="auto"/>
            <w:left w:val="none" w:sz="0" w:space="0" w:color="auto"/>
            <w:bottom w:val="none" w:sz="0" w:space="0" w:color="auto"/>
            <w:right w:val="none" w:sz="0" w:space="0" w:color="auto"/>
          </w:divBdr>
        </w:div>
        <w:div w:id="771555595">
          <w:marLeft w:val="0"/>
          <w:marRight w:val="0"/>
          <w:marTop w:val="0"/>
          <w:marBottom w:val="0"/>
          <w:divBdr>
            <w:top w:val="none" w:sz="0" w:space="0" w:color="auto"/>
            <w:left w:val="none" w:sz="0" w:space="0" w:color="auto"/>
            <w:bottom w:val="none" w:sz="0" w:space="0" w:color="auto"/>
            <w:right w:val="none" w:sz="0" w:space="0" w:color="auto"/>
          </w:divBdr>
          <w:divsChild>
            <w:div w:id="414516169">
              <w:marLeft w:val="0"/>
              <w:marRight w:val="0"/>
              <w:marTop w:val="0"/>
              <w:marBottom w:val="0"/>
              <w:divBdr>
                <w:top w:val="none" w:sz="0" w:space="0" w:color="auto"/>
                <w:left w:val="none" w:sz="0" w:space="0" w:color="auto"/>
                <w:bottom w:val="none" w:sz="0" w:space="0" w:color="auto"/>
                <w:right w:val="none" w:sz="0" w:space="0" w:color="auto"/>
              </w:divBdr>
              <w:divsChild>
                <w:div w:id="185132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1434648">
          <w:marLeft w:val="0"/>
          <w:marRight w:val="0"/>
          <w:marTop w:val="0"/>
          <w:marBottom w:val="0"/>
          <w:divBdr>
            <w:top w:val="none" w:sz="0" w:space="0" w:color="auto"/>
            <w:left w:val="none" w:sz="0" w:space="0" w:color="auto"/>
            <w:bottom w:val="none" w:sz="0" w:space="0" w:color="auto"/>
            <w:right w:val="none" w:sz="0" w:space="0" w:color="auto"/>
          </w:divBdr>
          <w:divsChild>
            <w:div w:id="26874502">
              <w:marLeft w:val="0"/>
              <w:marRight w:val="0"/>
              <w:marTop w:val="0"/>
              <w:marBottom w:val="0"/>
              <w:divBdr>
                <w:top w:val="none" w:sz="0" w:space="0" w:color="auto"/>
                <w:left w:val="none" w:sz="0" w:space="0" w:color="auto"/>
                <w:bottom w:val="none" w:sz="0" w:space="0" w:color="auto"/>
                <w:right w:val="none" w:sz="0" w:space="0" w:color="auto"/>
              </w:divBdr>
              <w:divsChild>
                <w:div w:id="47090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13238000">
      <w:bodyDiv w:val="1"/>
      <w:marLeft w:val="0"/>
      <w:marRight w:val="0"/>
      <w:marTop w:val="0"/>
      <w:marBottom w:val="0"/>
      <w:divBdr>
        <w:top w:val="none" w:sz="0" w:space="0" w:color="auto"/>
        <w:left w:val="none" w:sz="0" w:space="0" w:color="auto"/>
        <w:bottom w:val="none" w:sz="0" w:space="0" w:color="auto"/>
        <w:right w:val="none" w:sz="0" w:space="0" w:color="auto"/>
      </w:divBdr>
      <w:divsChild>
        <w:div w:id="776174865">
          <w:marLeft w:val="0"/>
          <w:marRight w:val="0"/>
          <w:marTop w:val="0"/>
          <w:marBottom w:val="0"/>
          <w:divBdr>
            <w:top w:val="none" w:sz="0" w:space="0" w:color="auto"/>
            <w:left w:val="none" w:sz="0" w:space="0" w:color="auto"/>
            <w:bottom w:val="none" w:sz="0" w:space="0" w:color="auto"/>
            <w:right w:val="none" w:sz="0" w:space="0" w:color="auto"/>
          </w:divBdr>
        </w:div>
        <w:div w:id="681975754">
          <w:marLeft w:val="0"/>
          <w:marRight w:val="0"/>
          <w:marTop w:val="0"/>
          <w:marBottom w:val="0"/>
          <w:divBdr>
            <w:top w:val="none" w:sz="0" w:space="0" w:color="auto"/>
            <w:left w:val="none" w:sz="0" w:space="0" w:color="auto"/>
            <w:bottom w:val="none" w:sz="0" w:space="0" w:color="auto"/>
            <w:right w:val="none" w:sz="0" w:space="0" w:color="auto"/>
          </w:divBdr>
          <w:divsChild>
            <w:div w:id="30181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141656075">
      <w:bodyDiv w:val="1"/>
      <w:marLeft w:val="0"/>
      <w:marRight w:val="0"/>
      <w:marTop w:val="0"/>
      <w:marBottom w:val="0"/>
      <w:divBdr>
        <w:top w:val="none" w:sz="0" w:space="0" w:color="auto"/>
        <w:left w:val="none" w:sz="0" w:space="0" w:color="auto"/>
        <w:bottom w:val="none" w:sz="0" w:space="0" w:color="auto"/>
        <w:right w:val="none" w:sz="0" w:space="0" w:color="auto"/>
      </w:divBdr>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756783024">
      <w:bodyDiv w:val="1"/>
      <w:marLeft w:val="0"/>
      <w:marRight w:val="0"/>
      <w:marTop w:val="0"/>
      <w:marBottom w:val="0"/>
      <w:divBdr>
        <w:top w:val="none" w:sz="0" w:space="0" w:color="auto"/>
        <w:left w:val="none" w:sz="0" w:space="0" w:color="auto"/>
        <w:bottom w:val="none" w:sz="0" w:space="0" w:color="auto"/>
        <w:right w:val="none" w:sz="0" w:space="0" w:color="auto"/>
      </w:divBdr>
      <w:divsChild>
        <w:div w:id="623073372">
          <w:marLeft w:val="0"/>
          <w:marRight w:val="0"/>
          <w:marTop w:val="0"/>
          <w:marBottom w:val="0"/>
          <w:divBdr>
            <w:top w:val="none" w:sz="0" w:space="0" w:color="auto"/>
            <w:left w:val="none" w:sz="0" w:space="0" w:color="auto"/>
            <w:bottom w:val="none" w:sz="0" w:space="0" w:color="auto"/>
            <w:right w:val="none" w:sz="0" w:space="0" w:color="auto"/>
          </w:divBdr>
          <w:divsChild>
            <w:div w:id="1944146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861ab8dc79914ea0ba97c3a9cfdf929d" PartId="5d0806868b6a44bd9cedecdcb6711332">
    <Part Type="preambule" DocPartId="de02010e96944a21949cb870290935a2" PartId="4f1c57a9d5a5407ba8d5cb23e78805c7"/>
    <Part Type="punktas" Nr="1" Abbr="1 p." DocPartId="a443e820a53444888cd4a22c20d1c87e" PartId="759ab7d2296e431fb3aa53b5cbc9319a">
      <Part Type="citata" DocPartId="70707e0c18c14e2ea0551dac29ea9e8f" PartId="8fddeac0b982438dbba0eace52b400e5">
        <Part Type="punktas" Nr="5" Abbr="5 p." DocPartId="713e2f543a0b4edcb06953a1fd3f08b1" PartId="8b7208cc77e346e68a23b9320b2afd2d"/>
      </Part>
    </Part>
    <Part Type="punktas" Nr="2" Abbr="2 p." DocPartId="2cf7b3d4a46c45289e142b88e7544c27" PartId="b1a56760396f4e1a9e87be89d2bf750f">
      <Part Type="citata" DocPartId="7b60e9f860184c11b9586c08e674abac" PartId="8eee581d9c3742378ee0a5bef10e3f6a">
        <Part Type="punktas" Nr="6" Abbr="6 p." DocPartId="863b601d10b445f786114845bd9039c3" PartId="9030761ade084789a7c148c9471af657"/>
      </Part>
    </Part>
    <Part Type="punktas" Nr="3" Abbr="3 p." DocPartId="c336bff68d794868afaceb7960556bca" PartId="49617d39fa244547b5ea62b8ca41115a">
      <Part Type="citata" DocPartId="5b61c9d1c6214312bfe046b73a8d3b89" PartId="bb80148e2d8645eabd855bf3e5ede806">
        <Part Type="punktas" Nr="6" Abbr="6 p." DocPartId="7d5548ae0b3144699d45bc9581acd61e" PartId="9cc884d0400a4aaaa6ce423ef3877fe9"/>
      </Part>
      <Part Type="pastraipa" DocPartId="c42e65f584ba4b14a7c54c32444a0526" PartId="08670415a38046a495697f1c52f8ebd1"/>
    </Part>
    <Part Type="signatura" DocPartId="2ac6ead823514ab2860b2f4d39379e05" PartId="c14c81b6e43e4c258ced6536d1578888"/>
  </Part>
</Parts>
</file>

<file path=customXml/itemProps1.xml><?xml version="1.0" encoding="utf-8"?>
<ds:datastoreItem xmlns:ds="http://schemas.openxmlformats.org/officeDocument/2006/customXml" ds:itemID="{E3E5865B-4944-43CB-8271-CFDB8BC5CC04}">
  <ds:schemaRefs>
    <ds:schemaRef ds:uri="http://schemas.openxmlformats.org/officeDocument/2006/bibliography"/>
  </ds:schemaRefs>
</ds:datastoreItem>
</file>

<file path=customXml/itemProps2.xml><?xml version="1.0" encoding="utf-8"?>
<ds:datastoreItem xmlns:ds="http://schemas.openxmlformats.org/officeDocument/2006/customXml" ds:itemID="{3870769F-FC4E-4693-B651-8C142A1A95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482</Words>
  <Characters>3345</Characters>
  <Application>Microsoft Office Word</Application>
  <DocSecurity>4</DocSecurity>
  <Lines>167</Lines>
  <Paragraphs>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3739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2017-12-22T12:40:00Z</dcterms:created>
  <dc:creator>rasaz</dc:creator>
  <lastModifiedBy>adlibuser</lastModifiedBy>
  <lastPrinted>2017-05-22T11:05:00Z</lastPrinted>
  <dcterms:modified xsi:type="dcterms:W3CDTF">2017-12-22T12:40:00Z</dcterms:modified>
  <revision>2</revision>
  <dc:title>LIETUVOS RESPUBLIKOS ŪKIO MINISTRAS</dc:title>
</coreProperties>
</file>