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556471ac7f48bbb4fdd3b15120b966"/>
        <w:lock w:val="sdtLocked"/>
        <w:richText/>
      </w:sdtPr>
      <w:sdtContent>
        <w:p>
          <w:pPr>
            <w:ind w:left="7920" w:firstLine="720"/>
            <w:jc w:val="center"/>
            <w:rPr>
              <w:rFonts w:ascii="Arial" w:hAnsi="Arial"/>
              <w:b/>
              <w:spacing w:val="8"/>
            </w:rPr>
          </w:pPr>
          <w:r>
            <w:rPr>
              <w:b/>
              <w:lang w:eastAsia="en-GB"/>
            </w:rPr>
            <w:t>Projektas</w:t>
          </w:r>
        </w:p>
        <w:p>
          <w:pPr>
            <w:jc w:val="center"/>
            <w:rPr>
              <w:rFonts w:ascii="Arial" w:hAnsi="Arial"/>
              <w:b/>
              <w:spacing w:val="8"/>
            </w:rPr>
          </w:pPr>
        </w:p>
        <w:p>
          <w:pPr>
            <w:jc w:val="center"/>
            <w:rPr>
              <w:b/>
            </w:rPr>
          </w:pPr>
          <w:r>
            <w:rPr>
              <w:b/>
            </w:rPr>
            <w:t>LIETUVOS RESPUBLIKOS APLINKOS MINISTRAS</w:t>
          </w:r>
        </w:p>
        <w:p>
          <w:pPr>
            <w:jc w:val="center"/>
            <w:rPr>
              <w:b/>
              <w:bCs/>
            </w:rPr>
          </w:pPr>
        </w:p>
        <w:p>
          <w:pPr>
            <w:jc w:val="center"/>
            <w:rPr>
              <w:b/>
              <w:bCs/>
            </w:rPr>
          </w:pPr>
          <w:r>
            <w:rPr>
              <w:b/>
              <w:bCs/>
            </w:rPr>
            <w:t>ĮSAKYMAS</w:t>
          </w:r>
        </w:p>
        <w:p>
          <w:pPr>
            <w:jc w:val="center"/>
            <w:rPr>
              <w:b/>
              <w:bCs/>
              <w:caps/>
            </w:rPr>
          </w:pPr>
          <w:r>
            <w:rPr>
              <w:b/>
            </w:rPr>
            <w:t>DĖL LIETUVOS RESPUBLIKOS APLINKOS MINISTRO 2007 M. GRUODŽIO 21 D. ĮSAKYMO NR. D1-694 „</w:t>
          </w:r>
          <w:r>
            <w:rPr>
              <w:b/>
              <w:bCs/>
            </w:rPr>
            <w:t>DĖL ATSKIRŲJŲ REKREACINĖS PASKIRTIES ŽELDYNŲ PLOTŲ NORMŲ IR PRIKLAUSOMŲJŲ ŽELDYNŲ NORMŲ (PLOTŲ) NUSTATYMO TVARKOS APRAŠO PATVIRTINIMO</w:t>
          </w:r>
          <w:r>
            <w:rPr>
              <w:b/>
              <w:bCs/>
              <w:caps/>
            </w:rPr>
            <w:t>“ PAKEITIMO</w:t>
          </w:r>
        </w:p>
        <w:p>
          <w:pPr>
            <w:jc w:val="center"/>
            <w:rPr>
              <w:b/>
            </w:rPr>
          </w:pPr>
        </w:p>
        <w:p>
          <w:pPr>
            <w:jc w:val="center"/>
            <w:rPr>
              <w:b/>
            </w:rPr>
          </w:pPr>
        </w:p>
        <w:p>
          <w:pPr>
            <w:jc w:val="center"/>
          </w:pPr>
          <w:r>
            <w:t xml:space="preserve">2022  m.                               d. Nr. </w:t>
          </w:r>
        </w:p>
        <w:p>
          <w:pPr>
            <w:jc w:val="center"/>
          </w:pPr>
          <w:r>
            <w:t>Vilnius</w:t>
            <w:br/>
          </w:r>
        </w:p>
        <w:sdt>
          <w:sdtPr>
            <w:alias w:val="1 p."/>
            <w:tag w:val="part_e3e40abeaaad4612af1314b745342726"/>
            <w:lock w:val="sdtLocked"/>
            <w:richText/>
          </w:sdtPr>
          <w:sdtContent>
            <w:p>
              <w:pPr>
                <w:ind w:firstLine="720"/>
                <w:jc w:val="both"/>
                <w:rPr>
                  <w:bCs/>
                  <w:color w:val="000000"/>
                  <w:szCs w:val="24"/>
                </w:rPr>
              </w:pPr>
              <w:sdt>
                <w:sdtPr>
                  <w:alias w:val="Numeris"/>
                  <w:tag w:val="nr_e3e40abeaaad4612af1314b745342726"/>
                  <w:lock w:val="sdtLocked"/>
                  <w:richText/>
                </w:sdtPr>
                <w:sdtContent>
                  <w:r>
                    <w:rPr>
                      <w:color w:val="000000"/>
                      <w:szCs w:val="24"/>
                      <w:lang w:eastAsia="ar-SA"/>
                    </w:rPr>
                    <w:t>1</w:t>
                  </w:r>
                </w:sdtContent>
              </w:sdt>
              <w:r>
                <w:rPr>
                  <w:color w:val="000000"/>
                  <w:szCs w:val="24"/>
                  <w:lang w:eastAsia="ar-SA"/>
                </w:rPr>
                <w:t xml:space="preserve">. P a k e i č i u Lietuvos Respublikos </w:t>
              </w:r>
              <w:r>
                <w:rPr>
                  <w:szCs w:val="24"/>
                </w:rPr>
                <w:t>aplinkos ministro 2007 m. gruodžio 21 d. įsakymą Nr. D1-694 „</w:t>
              </w:r>
              <w:r>
                <w:rPr>
                  <w:bCs/>
                  <w:color w:val="000000"/>
                  <w:szCs w:val="24"/>
                </w:rPr>
                <w:t>Dėl Atskirųjų rekreacinės paskirties želdynų plotų normų ir Priklausomųjų želdynų normų (plotų) nustatymo tvarkos aprašo patvirtinimo“ ir jį išdėstau nauja redakcija:</w:t>
              </w:r>
            </w:p>
            <w:p>
              <w:pPr>
                <w:ind w:firstLine="720"/>
                <w:jc w:val="both"/>
                <w:rPr>
                  <w:bCs/>
                  <w:color w:val="000000"/>
                  <w:szCs w:val="24"/>
                </w:rPr>
              </w:pPr>
            </w:p>
            <w:sdt>
              <w:sdtPr>
                <w:alias w:val="citata"/>
                <w:tag w:val="part_d065dcfdc795481d96c5e11a6b27c100"/>
                <w:lock w:val="sdtLocked"/>
                <w:richText/>
              </w:sdtPr>
              <w:sdtContent>
                <w:sdt>
                  <w:sdtPr>
                    <w:alias w:val="pagrindine"/>
                    <w:tag w:val="part_bfaf92e1c93b48a28abe467d9f0a4f38"/>
                    <w:lock w:val="sdtLocked"/>
                    <w:richText/>
                  </w:sdtPr>
                  <w:sdtContent>
                    <w:p>
                      <w:pPr>
                        <w:jc w:val="center"/>
                        <w:rPr>
                          <w:b/>
                        </w:rPr>
                      </w:pPr>
                      <w:r>
                        <w:rPr>
                          <w:bCs/>
                          <w:color w:val="000000"/>
                          <w:szCs w:val="24"/>
                        </w:rPr>
                        <w:t>„</w:t>
                      </w:r>
                      <w:r>
                        <w:rPr>
                          <w:b/>
                          <w:lang w:val="en-US"/>
                        </w:rPr>
                        <w:drawing>
                          <wp:anchor distT="0" distB="0" distL="114300" distR="114300" simplePos="0" relativeHeight="251658240" behindDoc="0" locked="0" layoutInCell="1" allowOverlap="1" wp14:anchorId="30A72B76" wp14:editId="183B2DDA">
                            <wp:simplePos x="0" y="0"/>
                            <wp:positionH relativeFrom="column">
                              <wp:posOffset>0</wp:posOffset>
                            </wp:positionH>
                            <wp:positionV relativeFrom="paragraph">
                              <wp:posOffset>0</wp:posOffset>
                            </wp:positionV>
                            <wp:extent cx="9525" cy="9525"/>
                            <wp:effectExtent l="0" t="0" r="0" b="0"/>
                            <wp:wrapNone/>
                            <wp:docPr id="1" name="Picture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rPr>
                        <w:t>LIETUVOS RESPUBLIKOS APLINKOS MINISTRAS</w:t>
                      </w:r>
                    </w:p>
                    <w:p>
                      <w:pPr>
                        <w:jc w:val="center"/>
                        <w:rPr>
                          <w:b/>
                        </w:rPr>
                      </w:pPr>
                    </w:p>
                    <w:p>
                      <w:pPr>
                        <w:jc w:val="center"/>
                        <w:rPr>
                          <w:b/>
                          <w:bCs/>
                        </w:rPr>
                      </w:pPr>
                      <w:r>
                        <w:rPr>
                          <w:b/>
                          <w:bCs/>
                        </w:rPr>
                        <w:t>ĮSAKYMAS</w:t>
                      </w:r>
                    </w:p>
                    <w:p>
                      <w:pPr>
                        <w:jc w:val="center"/>
                        <w:rPr>
                          <w:b/>
                          <w:bCs/>
                          <w:caps/>
                        </w:rPr>
                      </w:pPr>
                      <w:r>
                        <w:rPr>
                          <w:b/>
                          <w:bCs/>
                          <w:caps/>
                        </w:rPr>
                        <w:t xml:space="preserve">DĖL viešųjų atskirųjų želdynų plotų normų ir priklausomųjų želdynų plotų normų apskaičiavimo TVARKOS APRAŠO PATVIRTINIMO </w:t>
                      </w:r>
                    </w:p>
                    <w:p>
                      <w:pPr>
                        <w:jc w:val="both"/>
                      </w:pPr>
                    </w:p>
                    <w:sdt>
                      <w:sdtPr>
                        <w:alias w:val="preambule"/>
                        <w:tag w:val="part_075f2b35d1e34b2592270198f78ddee3"/>
                        <w:lock w:val="sdtLocked"/>
                        <w:richText/>
                      </w:sdtPr>
                      <w:sdtContent>
                        <w:p>
                          <w:pPr>
                            <w:ind w:firstLine="567"/>
                            <w:jc w:val="both"/>
                          </w:pPr>
                          <w:r>
                            <w:t>Vadovaudamasis Lietuvos Respublikos želdynų įstatymo 8 straipsnio 1 ir 3 dalimis,</w:t>
                          </w:r>
                        </w:p>
                      </w:sdtContent>
                    </w:sdt>
                    <w:sdt>
                      <w:sdtPr>
                        <w:alias w:val="pastraipa"/>
                        <w:tag w:val="part_dd435ac5245a4ceb85ee150be1379272"/>
                        <w:lock w:val="sdtLocked"/>
                        <w:richText/>
                      </w:sdtPr>
                      <w:sdtContent>
                        <w:p>
                          <w:pPr>
                            <w:ind w:firstLine="629"/>
                            <w:jc w:val="both"/>
                            <w:rPr>
                              <w:lang w:eastAsia="lt-LT"/>
                            </w:rPr>
                          </w:pPr>
                          <w:r>
                            <w:rPr>
                              <w:bCs/>
                              <w:color w:val="000000"/>
                              <w:szCs w:val="24"/>
                            </w:rPr>
                            <w:t xml:space="preserve">t </w:t>
                          </w:r>
                          <w:r>
                            <w:rPr>
                              <w:color w:val="000000"/>
                              <w:szCs w:val="24"/>
                              <w:lang w:eastAsia="ar-SA"/>
                            </w:rPr>
                            <w:t>v i r t i n u pridedamus:</w:t>
                          </w:r>
                        </w:p>
                      </w:sdtContent>
                    </w:sdt>
                    <w:sdt>
                      <w:sdtPr>
                        <w:alias w:val="1 p."/>
                        <w:tag w:val="part_1e2f270611ee43bfbd2ffab8c40ce9d6"/>
                        <w:lock w:val="sdtLocked"/>
                        <w:richText/>
                      </w:sdtPr>
                      <w:sdtContent>
                        <w:p>
                          <w:pPr>
                            <w:ind w:firstLine="567"/>
                            <w:jc w:val="both"/>
                          </w:pPr>
                          <w:sdt>
                            <w:sdtPr>
                              <w:alias w:val="Numeris"/>
                              <w:tag w:val="nr_1e2f270611ee43bfbd2ffab8c40ce9d6"/>
                              <w:lock w:val="sdtLocked"/>
                              <w:richText/>
                            </w:sdtPr>
                            <w:sdtContent>
                              <w:r>
                                <w:rPr>
                                  <w:color w:val="000000"/>
                                  <w:szCs w:val="24"/>
                                  <w:lang w:eastAsia="ar-SA"/>
                                </w:rPr>
                                <w:t>1</w:t>
                              </w:r>
                            </w:sdtContent>
                          </w:sdt>
                          <w:r>
                            <w:rPr>
                              <w:color w:val="000000"/>
                              <w:szCs w:val="24"/>
                              <w:lang w:eastAsia="ar-SA"/>
                            </w:rPr>
                            <w:t xml:space="preserve">. </w:t>
                          </w:r>
                          <w:r>
                            <w:t>Viešųjų atskirųjų želdynų plotų normas</w:t>
                          </w:r>
                          <w:r>
                            <w:rPr>
                              <w:bCs/>
                              <w:szCs w:val="24"/>
                            </w:rPr>
                            <w:t>;</w:t>
                          </w:r>
                        </w:p>
                      </w:sdtContent>
                    </w:sdt>
                    <w:sdt>
                      <w:sdtPr>
                        <w:alias w:val="2 p."/>
                        <w:tag w:val="part_2b0712c6f9814e63a97fc37b5eb7db5b"/>
                        <w:lock w:val="sdtLocked"/>
                        <w:richText/>
                      </w:sdtPr>
                      <w:sdtContent>
                        <w:p>
                          <w:pPr>
                            <w:widowControl w:val="0"/>
                            <w:shd w:val="clear" w:color="auto" w:fill="FFFFFF"/>
                            <w:ind w:firstLine="567"/>
                            <w:jc w:val="both"/>
                            <w:rPr>
                              <w:bCs/>
                              <w:color w:val="000000"/>
                              <w:szCs w:val="24"/>
                            </w:rPr>
                          </w:pPr>
                          <w:sdt>
                            <w:sdtPr>
                              <w:alias w:val="Numeris"/>
                              <w:tag w:val="nr_2b0712c6f9814e63a97fc37b5eb7db5b"/>
                              <w:lock w:val="sdtLocked"/>
                              <w:richText/>
                            </w:sdtPr>
                            <w:sdtContent>
                              <w:r>
                                <w:rPr>
                                  <w:bCs/>
                                  <w:color w:val="000000"/>
                                  <w:szCs w:val="24"/>
                                </w:rPr>
                                <w:t>2</w:t>
                              </w:r>
                            </w:sdtContent>
                          </w:sdt>
                          <w:r>
                            <w:rPr>
                              <w:bCs/>
                              <w:color w:val="000000"/>
                              <w:szCs w:val="24"/>
                            </w:rPr>
                            <w:t xml:space="preserve">. Priklausomųjų želdynų plotų normų apskaičiavimo tvarkos aprašą.“ </w:t>
                          </w:r>
                        </w:p>
                      </w:sdtContent>
                    </w:sdt>
                  </w:sdtContent>
                </w:sdt>
              </w:sdtContent>
            </w:sdt>
          </w:sdtContent>
        </w:sdt>
        <w:sdt>
          <w:sdtPr>
            <w:alias w:val="2 p."/>
            <w:tag w:val="part_bc51d9473e8c4cc3b8a34f42731fae62"/>
            <w:lock w:val="sdtLocked"/>
            <w:richText/>
          </w:sdtPr>
          <w:sdtContent>
            <w:p>
              <w:pPr>
                <w:widowControl w:val="0"/>
                <w:shd w:val="clear" w:color="auto" w:fill="FFFFFF"/>
                <w:ind w:firstLine="567"/>
                <w:jc w:val="both"/>
                <w:rPr>
                  <w:color w:val="242424"/>
                  <w:shd w:val="clear" w:color="auto" w:fill="FFFFFF"/>
                </w:rPr>
              </w:pPr>
              <w:sdt>
                <w:sdtPr>
                  <w:alias w:val="Numeris"/>
                  <w:tag w:val="nr_bc51d9473e8c4cc3b8a34f42731fae62"/>
                  <w:lock w:val="sdtLocked"/>
                  <w:richText/>
                </w:sdtPr>
                <w:sdtContent>
                  <w:r>
                    <w:rPr>
                      <w:bCs/>
                      <w:color w:val="000000"/>
                      <w:szCs w:val="24"/>
                    </w:rPr>
                    <w:t>2</w:t>
                  </w:r>
                </w:sdtContent>
              </w:sdt>
              <w:r>
                <w:rPr>
                  <w:bCs/>
                  <w:color w:val="000000"/>
                  <w:szCs w:val="24"/>
                </w:rPr>
                <w:t xml:space="preserve">. </w:t>
              </w:r>
              <w:r>
                <w:rPr>
                  <w:color w:val="000000"/>
                </w:rPr>
                <w:t xml:space="preserve"> N u s t a t a u, kad </w:t>
              </w:r>
              <w:r>
                <w:rPr>
                  <w:color w:val="242424"/>
                  <w:shd w:val="clear" w:color="auto" w:fill="FFFFFF"/>
                </w:rPr>
                <w:t xml:space="preserve">pradėtuose rengti teritorijų planavimo dokumentuose, kuriems iki šio įsakymo įsigaliojimo išduotos teritorijos planavimo </w:t>
              </w:r>
              <w:r>
                <w:rPr>
                  <w:shd w:val="clear" w:color="auto" w:fill="FFFFFF"/>
                </w:rPr>
                <w:t>sąlygos</w:t>
              </w:r>
              <w:r>
                <w:rPr>
                  <w:color w:val="242424"/>
                  <w:shd w:val="clear" w:color="auto" w:fill="FFFFFF"/>
                </w:rPr>
                <w:t xml:space="preserve">, taikomos iki šio įsakymo įsigaliojimo galiojusios atskirųjų rekreacinės paskirties želdynų plotų normos ir priklausomųjų želdynų normos (plotai). </w:t>
              </w:r>
            </w:p>
            <w:p>
              <w:pPr>
                <w:widowControl w:val="0"/>
                <w:shd w:val="clear" w:color="auto" w:fill="FFFFFF"/>
                <w:ind w:firstLine="567"/>
                <w:jc w:val="both"/>
                <w:rPr>
                  <w:color w:val="242424"/>
                  <w:shd w:val="clear" w:color="auto" w:fill="FFFFFF"/>
                </w:rPr>
              </w:pPr>
            </w:p>
            <w:p>
              <w:pPr>
                <w:widowControl w:val="0"/>
                <w:shd w:val="clear" w:color="auto" w:fill="FFFFFF"/>
                <w:ind w:firstLine="567"/>
                <w:jc w:val="both"/>
                <w:rPr>
                  <w:bCs/>
                  <w:szCs w:val="24"/>
                </w:rPr>
              </w:pPr>
            </w:p>
          </w:sdtContent>
        </w:sdt>
        <w:sdt>
          <w:sdtPr>
            <w:alias w:val="signatura"/>
            <w:tag w:val="part_fe90c59af80f4b2e8781dd215d194f14"/>
            <w:lock w:val="sdtLocked"/>
            <w:richText/>
          </w:sdtPr>
          <w:sdtContent>
            <w:p>
              <w:pPr>
                <w:jc w:val="both"/>
              </w:pPr>
              <w:r>
                <w:t xml:space="preserve">Aplinkos ministras                                                          </w:t>
              </w:r>
            </w:p>
            <w:p>
              <w:pPr>
                <w:jc w:val="both"/>
              </w:pPr>
            </w:p>
            <w:p>
              <w:pPr>
                <w:widowControl w:val="0"/>
                <w:shd w:val="clear" w:color="auto" w:fill="FFFFFF"/>
                <w:ind w:left="4535"/>
              </w:pPr>
            </w:p>
            <w:p>
              <w:r>
                <w:br w:type="page"/>
              </w:r>
            </w:p>
          </w:sdtContent>
        </w:sdt>
      </w:sdtContent>
    </w:sdt>
    <w:sdt>
      <w:sdtPr>
        <w:alias w:val="patvirtinta"/>
        <w:tag w:val="part_5c88fe539b9847a7ac8e7e41b5e7d73d"/>
        <w:lock w:val="sdtLocked"/>
        <w:richText/>
      </w:sdtPr>
      <w:sdtContent>
        <w:p>
          <w:pPr>
            <w:widowControl w:val="0"/>
            <w:shd w:val="clear" w:color="auto" w:fill="FFFFFF"/>
            <w:ind w:left="4535" w:firstLine="248"/>
          </w:pPr>
          <w:r>
            <w:t>PATVIRTINTA</w:t>
          </w:r>
        </w:p>
        <w:p>
          <w:pPr>
            <w:widowControl w:val="0"/>
            <w:shd w:val="clear" w:color="auto" w:fill="FFFFFF"/>
            <w:ind w:left="4535" w:firstLine="248"/>
          </w:pPr>
          <w:r>
            <w:t xml:space="preserve">Lietuvos Respublikos aplinkos ministro </w:t>
            <w:br/>
            <w:t xml:space="preserve">    2007 m. gruodžio 21 d. įsakymu Nr. D1-694</w:t>
          </w:r>
        </w:p>
        <w:p>
          <w:pPr>
            <w:widowControl w:val="0"/>
            <w:shd w:val="clear" w:color="auto" w:fill="FFFFFF"/>
            <w:ind w:left="4535" w:firstLine="310"/>
          </w:pPr>
          <w:r>
            <w:t xml:space="preserve">(Lietuvos Respublikos aplinkos ministro </w:t>
            <w:br/>
            <w:t xml:space="preserve">     20</w:t>
          </w:r>
          <w:r>
            <w:rPr>
              <w:lang w:val="en-US"/>
            </w:rPr>
            <w:t>22</w:t>
          </w:r>
          <w:r>
            <w:t xml:space="preserve"> m.             d. įsakymo Nr. D1- redakcija)</w:t>
          </w:r>
        </w:p>
        <w:p>
          <w:pPr>
            <w:widowControl w:val="0"/>
            <w:shd w:val="clear" w:color="auto" w:fill="FFFFFF"/>
            <w:ind w:left="4535"/>
          </w:pPr>
        </w:p>
        <w:p/>
        <w:p>
          <w:pPr>
            <w:widowControl w:val="0"/>
            <w:shd w:val="clear" w:color="auto" w:fill="FFFFFF"/>
            <w:jc w:val="center"/>
            <w:rPr>
              <w:b/>
              <w:bCs/>
            </w:rPr>
          </w:pPr>
          <w:sdt>
            <w:sdtPr>
              <w:alias w:val="Pavadinimas"/>
              <w:tag w:val="title_5c88fe539b9847a7ac8e7e41b5e7d73d"/>
              <w:lock w:val="sdtLocked"/>
              <w:richText/>
            </w:sdtPr>
            <w:sdtContent>
              <w:r>
                <w:rPr>
                  <w:b/>
                  <w:bCs/>
                </w:rPr>
                <w:t xml:space="preserve">VIEŠŲJŲ ATSKIRŲJŲ ŽELDYNŲ PLOTŲ NORMOS </w:t>
              </w:r>
            </w:sdtContent>
          </w:sdt>
        </w:p>
        <w:p>
          <w:pPr>
            <w:widowControl w:val="0"/>
            <w:shd w:val="clear" w:color="auto" w:fill="FFFFFF"/>
            <w:jc w:val="center"/>
            <w:rPr>
              <w:b/>
              <w:bCs/>
            </w:rPr>
          </w:pPr>
        </w:p>
        <w:p>
          <w:pPr>
            <w:widowControl w:val="0"/>
            <w:shd w:val="clear" w:color="auto" w:fill="FFFFFF"/>
            <w:rPr>
              <w:b/>
              <w:bCs/>
            </w:rPr>
          </w:pPr>
        </w:p>
        <w:sdt>
          <w:sdtPr>
            <w:alias w:val="1 p."/>
            <w:tag w:val="part_9f3900b3de4f4487a6703113e905573e"/>
            <w:lock w:val="sdtLocked"/>
            <w:richText/>
          </w:sdtPr>
          <w:sdtContent>
            <w:p>
              <w:pPr>
                <w:widowControl w:val="0"/>
                <w:shd w:val="clear" w:color="auto" w:fill="FFFFFF"/>
                <w:ind w:firstLine="567"/>
                <w:jc w:val="both"/>
              </w:pPr>
              <w:sdt>
                <w:sdtPr>
                  <w:alias w:val="Numeris"/>
                  <w:tag w:val="nr_9f3900b3de4f4487a6703113e905573e"/>
                  <w:lock w:val="sdtLocked"/>
                  <w:richText/>
                </w:sdtPr>
                <w:sdtContent>
                  <w:r>
                    <w:t>1</w:t>
                  </w:r>
                </w:sdtContent>
              </w:sdt>
              <w:r>
                <w:t xml:space="preserve">. Viešųjų atskirųjų želdynų plotų normos (toliau – normos) nustatomos </w:t>
              </w:r>
              <w:r>
                <w:rPr>
                  <w:color w:val="000000"/>
                </w:rPr>
                <w:t>siekiant sukurti vientisą ir tolygų želdynų išdėstymą ir bendrą želdynų sistemą, nustatyti optimalius viešųjų atskirųjų želdynų ir gyventojų poilsiui, sveikatingumui skirtų teritorijų ploto s</w:t>
              </w:r>
              <w:r>
                <w:t>antykius,</w:t>
              </w:r>
              <w:r>
                <w:rPr>
                  <w:bCs/>
                </w:rPr>
                <w:t xml:space="preserve"> </w:t>
              </w:r>
              <w:r>
                <w:t xml:space="preserve">ekologinius ir estetinius aplinkos ryšius. </w:t>
              </w:r>
            </w:p>
          </w:sdtContent>
        </w:sdt>
        <w:sdt>
          <w:sdtPr>
            <w:alias w:val="2 p."/>
            <w:tag w:val="part_c99cb6b896f042bfa15d1feb447c2ed8"/>
            <w:lock w:val="sdtLocked"/>
            <w:richText/>
          </w:sdtPr>
          <w:sdtContent>
            <w:p>
              <w:pPr>
                <w:widowControl w:val="0"/>
                <w:shd w:val="clear" w:color="auto" w:fill="FFFFFF"/>
                <w:ind w:firstLine="567"/>
                <w:jc w:val="both"/>
                <w:rPr>
                  <w:color w:val="000000"/>
                </w:rPr>
              </w:pPr>
              <w:sdt>
                <w:sdtPr>
                  <w:alias w:val="Numeris"/>
                  <w:tag w:val="nr_c99cb6b896f042bfa15d1feb447c2ed8"/>
                  <w:lock w:val="sdtLocked"/>
                  <w:richText/>
                </w:sdtPr>
                <w:sdtContent>
                  <w:r>
                    <w:rPr>
                      <w:color w:val="000000"/>
                    </w:rPr>
                    <w:t>2</w:t>
                  </w:r>
                </w:sdtContent>
              </w:sdt>
              <w:r>
                <w:rPr>
                  <w:color w:val="000000"/>
                </w:rPr>
                <w:t>. Normomis vadovaujamasi rengiant savivaldybės lygmens ir (ar) vietovės lygmens kompleksinio teritorijų planavimo dokumentus, taip pat savivaldybės lygmens ir (ar) vietovės lygmens specialiojo teritorijų planavimo dokumentus, kuriais miestų, miestelių ir kurortų teritorijose nustatomi viešųjų atskirųjų želdynų išdėstymas, jų apsaugos ir tvarkymo principai, taip pat atliekant Lietuvos Respublikos želdynų įstatymo 8 straipsnyje numatytą įvertinimą, ar įvykdomos atskirųjų želdynų normos miestų, miestelių ir kurortų teritorijose.</w:t>
              </w:r>
            </w:p>
          </w:sdtContent>
        </w:sdt>
        <w:sdt>
          <w:sdtPr>
            <w:alias w:val="3 p."/>
            <w:tag w:val="part_8f419fa390834f91a38cc0fc6587c965"/>
            <w:lock w:val="sdtLocked"/>
            <w:richText/>
          </w:sdtPr>
          <w:sdtContent>
            <w:p>
              <w:pPr>
                <w:widowControl w:val="0"/>
                <w:shd w:val="clear" w:color="auto" w:fill="FFFFFF"/>
                <w:ind w:firstLine="567"/>
                <w:jc w:val="both"/>
                <w:rPr>
                  <w:lang w:eastAsia="lt-LT"/>
                </w:rPr>
              </w:pPr>
              <w:sdt>
                <w:sdtPr>
                  <w:alias w:val="Numeris"/>
                  <w:tag w:val="nr_8f419fa390834f91a38cc0fc6587c965"/>
                  <w:lock w:val="sdtLocked"/>
                  <w:richText/>
                </w:sdtPr>
                <w:sdtContent>
                  <w:r>
                    <w:rPr>
                      <w:lang w:eastAsia="lt-LT"/>
                    </w:rPr>
                    <w:t>3</w:t>
                  </w:r>
                </w:sdtContent>
              </w:sdt>
              <w:r>
                <w:rPr>
                  <w:lang w:eastAsia="lt-LT"/>
                </w:rPr>
                <w:t>. Normose vartojamos sąvokos atitinka Želdynų įstatyme, Lietuvos teritorijų planavimo įstatyme, Lietuvos Respublikos teritorijos administracinių vienetų ir jų ribų įstatyme vartojamas sąvokas.</w:t>
              </w:r>
            </w:p>
          </w:sdtContent>
        </w:sdt>
        <w:sdt>
          <w:sdtPr>
            <w:alias w:val="4 p."/>
            <w:tag w:val="part_fd77a82ebb914b349ae0996ff294bf84"/>
            <w:lock w:val="sdtLocked"/>
            <w:richText/>
          </w:sdtPr>
          <w:sdtContent>
            <w:p>
              <w:pPr>
                <w:widowControl w:val="0"/>
                <w:shd w:val="clear" w:color="auto" w:fill="FFFFFF"/>
                <w:ind w:firstLine="567"/>
                <w:jc w:val="both"/>
              </w:pPr>
              <w:sdt>
                <w:sdtPr>
                  <w:alias w:val="Numeris"/>
                  <w:tag w:val="nr_fd77a82ebb914b349ae0996ff294bf84"/>
                  <w:lock w:val="sdtLocked"/>
                  <w:richText/>
                </w:sdtPr>
                <w:sdtContent>
                  <w:r>
                    <w:t>4</w:t>
                  </w:r>
                </w:sdtContent>
              </w:sdt>
              <w:r>
                <w:t>. Viešųjų atskirųjų želdynų minimalūs plotai (m</w:t>
              </w:r>
              <w:r>
                <w:rPr>
                  <w:vertAlign w:val="superscript"/>
                </w:rPr>
                <w:t>2</w:t>
              </w:r>
              <w:r>
                <w:t xml:space="preserve">), tenkantys vienam gyventojui, gyvenančiam kvartale, kuris yra ne didesniu kaip </w:t>
              </w:r>
              <w:r>
                <w:rPr>
                  <w:lang w:val="en-US"/>
                </w:rPr>
                <w:t>1000</w:t>
              </w:r>
              <w:r>
                <w:t xml:space="preserve"> m atstumu nuo į normos skaičiavimą įtraukiamų viešųjų atskirųjų želdynų: </w:t>
              </w:r>
            </w:p>
            <w:p>
              <w:pPr>
                <w:ind w:firstLine="567"/>
                <w:jc w:val="both"/>
              </w:pPr>
            </w:p>
            <w:tbl>
              <w:tblPr>
                <w:tblW w:w="9356"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2694"/>
                <w:gridCol w:w="3402"/>
                <w:gridCol w:w="3260"/>
              </w:tblGrid>
              <w:tr>
                <w:trPr>
                  <w:cantSplit/>
                  <w:trHeight w:val="1518"/>
                </w:trPr>
                <w:tc>
                  <w:tcPr>
                    <w:tcW w:w="2694" w:type="dxa"/>
                    <w:shd w:val="clear" w:color="auto" w:fill="FFFFFF"/>
                    <w:vAlign w:val="center"/>
                  </w:tcPr>
                  <w:p>
                    <w:pPr>
                      <w:widowControl w:val="0"/>
                      <w:shd w:val="clear" w:color="auto" w:fill="FFFFFF"/>
                      <w:jc w:val="center"/>
                      <w:rPr>
                        <w:sz w:val="22"/>
                      </w:rPr>
                    </w:pPr>
                    <w:r>
                      <w:rPr>
                        <w:sz w:val="22"/>
                      </w:rPr>
                      <w:t>Gyvenamoji vieta</w:t>
                    </w:r>
                  </w:p>
                </w:tc>
                <w:tc>
                  <w:tcPr>
                    <w:tcW w:w="3402" w:type="dxa"/>
                    <w:shd w:val="clear" w:color="auto" w:fill="FFFFFF"/>
                    <w:vAlign w:val="center"/>
                  </w:tcPr>
                  <w:p>
                    <w:pPr>
                      <w:widowControl w:val="0"/>
                      <w:shd w:val="clear" w:color="auto" w:fill="FFFFFF"/>
                      <w:jc w:val="center"/>
                      <w:rPr>
                        <w:sz w:val="22"/>
                      </w:rPr>
                    </w:pPr>
                    <w:r>
                      <w:rPr>
                        <w:sz w:val="22"/>
                      </w:rPr>
                      <w:t>Gyventojų skaičius</w:t>
                    </w:r>
                  </w:p>
                </w:tc>
                <w:tc>
                  <w:tcPr>
                    <w:tcW w:w="3260" w:type="dxa"/>
                    <w:shd w:val="clear" w:color="auto" w:fill="FFFFFF"/>
                    <w:vAlign w:val="center"/>
                  </w:tcPr>
                  <w:p>
                    <w:pPr>
                      <w:widowControl w:val="0"/>
                      <w:shd w:val="clear" w:color="auto" w:fill="FFFFFF"/>
                      <w:jc w:val="center"/>
                      <w:rPr>
                        <w:sz w:val="22"/>
                      </w:rPr>
                    </w:pPr>
                    <w:r>
                      <w:rPr>
                        <w:sz w:val="22"/>
                      </w:rPr>
                      <w:t>Minimalus viešųjų atskirųjų želdynų plotas, tenkantis vienam gyventojui, gyvenančiam kvartale, m</w:t>
                    </w:r>
                    <w:r>
                      <w:rPr>
                        <w:sz w:val="22"/>
                        <w:vertAlign w:val="superscript"/>
                      </w:rPr>
                      <w:t>2</w:t>
                    </w:r>
                    <w:r>
                      <w:rPr>
                        <w:sz w:val="22"/>
                      </w:rPr>
                      <w:t xml:space="preserve"> (norma)</w:t>
                    </w:r>
                  </w:p>
                </w:tc>
              </w:tr>
              <w:tr>
                <w:trPr>
                  <w:cantSplit/>
                  <w:trHeight w:val="23"/>
                </w:trPr>
                <w:tc>
                  <w:tcPr>
                    <w:tcW w:w="2694" w:type="dxa"/>
                    <w:shd w:val="clear" w:color="auto" w:fill="FFFFFF"/>
                    <w:vAlign w:val="center"/>
                  </w:tcPr>
                  <w:p>
                    <w:pPr>
                      <w:widowControl w:val="0"/>
                      <w:shd w:val="clear" w:color="auto" w:fill="FFFFFF"/>
                      <w:rPr>
                        <w:sz w:val="22"/>
                      </w:rPr>
                    </w:pPr>
                    <w:r>
                      <w:rPr>
                        <w:sz w:val="22"/>
                      </w:rPr>
                      <w:t>Didelis miestas</w:t>
                    </w:r>
                  </w:p>
                </w:tc>
                <w:tc>
                  <w:tcPr>
                    <w:tcW w:w="3402" w:type="dxa"/>
                    <w:shd w:val="clear" w:color="auto" w:fill="FFFFFF"/>
                    <w:vAlign w:val="center"/>
                  </w:tcPr>
                  <w:p>
                    <w:pPr>
                      <w:widowControl w:val="0"/>
                      <w:shd w:val="clear" w:color="auto" w:fill="FFFFFF"/>
                      <w:ind w:left="113"/>
                      <w:rPr>
                        <w:sz w:val="22"/>
                      </w:rPr>
                    </w:pPr>
                    <w:r>
                      <w:rPr>
                        <w:sz w:val="22"/>
                      </w:rPr>
                      <w:t>daugiau kaip 100 tūkst. gyventojų</w:t>
                    </w:r>
                  </w:p>
                </w:tc>
                <w:tc>
                  <w:tcPr>
                    <w:tcW w:w="3260" w:type="dxa"/>
                    <w:shd w:val="clear" w:color="auto" w:fill="FFFFFF"/>
                    <w:vAlign w:val="center"/>
                  </w:tcPr>
                  <w:p>
                    <w:pPr>
                      <w:widowControl w:val="0"/>
                      <w:shd w:val="clear" w:color="auto" w:fill="FFFFFF"/>
                      <w:ind w:left="113" w:firstLine="57"/>
                      <w:jc w:val="center"/>
                      <w:rPr>
                        <w:sz w:val="22"/>
                        <w:lang w:val="en-US"/>
                      </w:rPr>
                    </w:pPr>
                    <w:r>
                      <w:rPr>
                        <w:sz w:val="22"/>
                      </w:rPr>
                      <w:t>12</w:t>
                    </w:r>
                  </w:p>
                </w:tc>
              </w:tr>
              <w:tr>
                <w:trPr>
                  <w:cantSplit/>
                  <w:trHeight w:val="23"/>
                </w:trPr>
                <w:tc>
                  <w:tcPr>
                    <w:tcW w:w="2694" w:type="dxa"/>
                    <w:shd w:val="clear" w:color="auto" w:fill="FFFFFF"/>
                    <w:vAlign w:val="center"/>
                  </w:tcPr>
                  <w:p>
                    <w:pPr>
                      <w:widowControl w:val="0"/>
                      <w:shd w:val="clear" w:color="auto" w:fill="FFFFFF"/>
                      <w:rPr>
                        <w:sz w:val="22"/>
                      </w:rPr>
                    </w:pPr>
                    <w:r>
                      <w:rPr>
                        <w:sz w:val="22"/>
                      </w:rPr>
                      <w:t>Vidutinis miestas</w:t>
                    </w:r>
                  </w:p>
                </w:tc>
                <w:tc>
                  <w:tcPr>
                    <w:tcW w:w="3402" w:type="dxa"/>
                    <w:shd w:val="clear" w:color="auto" w:fill="FFFFFF"/>
                    <w:vAlign w:val="center"/>
                  </w:tcPr>
                  <w:p>
                    <w:pPr>
                      <w:widowControl w:val="0"/>
                      <w:shd w:val="clear" w:color="auto" w:fill="FFFFFF"/>
                      <w:ind w:left="113"/>
                      <w:rPr>
                        <w:sz w:val="22"/>
                      </w:rPr>
                    </w:pPr>
                    <w:r>
                      <w:rPr>
                        <w:sz w:val="22"/>
                      </w:rPr>
                      <w:t>nuo 10 iki 100 tūkst. gyventojų</w:t>
                    </w:r>
                  </w:p>
                </w:tc>
                <w:tc>
                  <w:tcPr>
                    <w:tcW w:w="3260" w:type="dxa"/>
                    <w:shd w:val="clear" w:color="auto" w:fill="FFFFFF"/>
                    <w:vAlign w:val="center"/>
                  </w:tcPr>
                  <w:p>
                    <w:pPr>
                      <w:widowControl w:val="0"/>
                      <w:shd w:val="clear" w:color="auto" w:fill="FFFFFF"/>
                      <w:ind w:left="113" w:firstLine="57"/>
                      <w:jc w:val="center"/>
                      <w:rPr>
                        <w:sz w:val="22"/>
                      </w:rPr>
                    </w:pPr>
                    <w:r>
                      <w:rPr>
                        <w:sz w:val="22"/>
                      </w:rPr>
                      <w:t>10</w:t>
                    </w:r>
                  </w:p>
                </w:tc>
              </w:tr>
              <w:tr>
                <w:trPr>
                  <w:cantSplit/>
                  <w:trHeight w:val="23"/>
                </w:trPr>
                <w:tc>
                  <w:tcPr>
                    <w:tcW w:w="2694" w:type="dxa"/>
                    <w:shd w:val="clear" w:color="auto" w:fill="FFFFFF"/>
                    <w:vAlign w:val="center"/>
                  </w:tcPr>
                  <w:p>
                    <w:pPr>
                      <w:widowControl w:val="0"/>
                      <w:shd w:val="clear" w:color="auto" w:fill="FFFFFF"/>
                      <w:rPr>
                        <w:sz w:val="22"/>
                      </w:rPr>
                    </w:pPr>
                    <w:r>
                      <w:rPr>
                        <w:sz w:val="22"/>
                      </w:rPr>
                      <w:t>Mažas miestas</w:t>
                    </w:r>
                  </w:p>
                </w:tc>
                <w:tc>
                  <w:tcPr>
                    <w:tcW w:w="3402" w:type="dxa"/>
                    <w:shd w:val="clear" w:color="auto" w:fill="FFFFFF"/>
                    <w:vAlign w:val="center"/>
                  </w:tcPr>
                  <w:p>
                    <w:pPr>
                      <w:widowControl w:val="0"/>
                      <w:shd w:val="clear" w:color="auto" w:fill="FFFFFF"/>
                      <w:ind w:left="101"/>
                      <w:rPr>
                        <w:sz w:val="22"/>
                        <w:lang w:val="en-US"/>
                      </w:rPr>
                    </w:pPr>
                    <w:r>
                      <w:rPr>
                        <w:sz w:val="22"/>
                        <w:lang w:val="en-US"/>
                      </w:rPr>
                      <w:t>iki 10 tūkst. gyventojų</w:t>
                    </w:r>
                  </w:p>
                </w:tc>
                <w:tc>
                  <w:tcPr>
                    <w:tcW w:w="3260" w:type="dxa"/>
                    <w:shd w:val="clear" w:color="auto" w:fill="FFFFFF"/>
                    <w:vAlign w:val="center"/>
                  </w:tcPr>
                  <w:p>
                    <w:pPr>
                      <w:widowControl w:val="0"/>
                      <w:shd w:val="clear" w:color="auto" w:fill="FFFFFF"/>
                      <w:ind w:firstLine="228"/>
                      <w:jc w:val="center"/>
                      <w:rPr>
                        <w:sz w:val="22"/>
                        <w:lang w:val="en-US"/>
                      </w:rPr>
                    </w:pPr>
                    <w:r>
                      <w:rPr>
                        <w:sz w:val="22"/>
                        <w:lang w:val="en-US"/>
                      </w:rPr>
                      <w:t>12</w:t>
                    </w:r>
                  </w:p>
                </w:tc>
              </w:tr>
              <w:tr>
                <w:trPr>
                  <w:cantSplit/>
                  <w:trHeight w:val="23"/>
                </w:trPr>
                <w:tc>
                  <w:tcPr>
                    <w:tcW w:w="2694" w:type="dxa"/>
                    <w:shd w:val="clear" w:color="auto" w:fill="FFFFFF"/>
                    <w:vAlign w:val="center"/>
                  </w:tcPr>
                  <w:p>
                    <w:pPr>
                      <w:widowControl w:val="0"/>
                      <w:shd w:val="clear" w:color="auto" w:fill="FFFFFF"/>
                      <w:rPr>
                        <w:sz w:val="22"/>
                      </w:rPr>
                    </w:pPr>
                    <w:r>
                      <w:rPr>
                        <w:sz w:val="22"/>
                      </w:rPr>
                      <w:t>Miestelis</w:t>
                    </w:r>
                  </w:p>
                </w:tc>
                <w:tc>
                  <w:tcPr>
                    <w:tcW w:w="3402" w:type="dxa"/>
                    <w:shd w:val="clear" w:color="auto" w:fill="FFFFFF"/>
                    <w:vAlign w:val="center"/>
                  </w:tcPr>
                  <w:p>
                    <w:pPr>
                      <w:widowControl w:val="0"/>
                      <w:shd w:val="clear" w:color="auto" w:fill="FFFFFF"/>
                      <w:ind w:firstLine="101"/>
                      <w:rPr>
                        <w:sz w:val="22"/>
                        <w:lang w:val="en-US"/>
                      </w:rPr>
                    </w:pPr>
                    <w:r>
                      <w:rPr>
                        <w:sz w:val="22"/>
                        <w:lang w:val="en-US"/>
                      </w:rPr>
                      <w:t>iki 3 tūkst. gyventojų</w:t>
                    </w:r>
                  </w:p>
                </w:tc>
                <w:tc>
                  <w:tcPr>
                    <w:tcW w:w="3260" w:type="dxa"/>
                    <w:shd w:val="clear" w:color="auto" w:fill="FFFFFF"/>
                    <w:vAlign w:val="center"/>
                  </w:tcPr>
                  <w:p>
                    <w:pPr>
                      <w:widowControl w:val="0"/>
                      <w:shd w:val="clear" w:color="auto" w:fill="FFFFFF"/>
                      <w:ind w:firstLine="228"/>
                      <w:jc w:val="center"/>
                      <w:rPr>
                        <w:sz w:val="22"/>
                        <w:lang w:val="en-US"/>
                      </w:rPr>
                    </w:pPr>
                    <w:r>
                      <w:rPr>
                        <w:sz w:val="22"/>
                        <w:lang w:val="en-US"/>
                      </w:rPr>
                      <w:t>17</w:t>
                    </w:r>
                  </w:p>
                </w:tc>
              </w:tr>
              <w:tr>
                <w:trPr>
                  <w:cantSplit/>
                  <w:trHeight w:val="23"/>
                </w:trPr>
                <w:tc>
                  <w:tcPr>
                    <w:tcW w:w="2694" w:type="dxa"/>
                    <w:shd w:val="clear" w:color="auto" w:fill="FFFFFF"/>
                    <w:vAlign w:val="center"/>
                  </w:tcPr>
                  <w:p>
                    <w:pPr>
                      <w:widowControl w:val="0"/>
                      <w:shd w:val="clear" w:color="auto" w:fill="FFFFFF"/>
                      <w:rPr>
                        <w:sz w:val="22"/>
                      </w:rPr>
                    </w:pPr>
                    <w:r>
                      <w:rPr>
                        <w:sz w:val="22"/>
                      </w:rPr>
                      <w:t>Kurortas</w:t>
                    </w:r>
                  </w:p>
                </w:tc>
                <w:tc>
                  <w:tcPr>
                    <w:tcW w:w="3402" w:type="dxa"/>
                    <w:shd w:val="clear" w:color="auto" w:fill="FFFFFF"/>
                    <w:vAlign w:val="center"/>
                  </w:tcPr>
                  <w:p>
                    <w:pPr>
                      <w:widowControl w:val="0"/>
                      <w:shd w:val="clear" w:color="auto" w:fill="FFFFFF"/>
                      <w:ind w:left="113"/>
                      <w:rPr>
                        <w:sz w:val="22"/>
                      </w:rPr>
                    </w:pPr>
                    <w:r>
                      <w:rPr>
                        <w:sz w:val="22"/>
                      </w:rPr>
                      <w:t>-</w:t>
                    </w:r>
                  </w:p>
                </w:tc>
                <w:tc>
                  <w:tcPr>
                    <w:tcW w:w="3260" w:type="dxa"/>
                    <w:shd w:val="clear" w:color="auto" w:fill="FFFFFF"/>
                    <w:vAlign w:val="center"/>
                  </w:tcPr>
                  <w:p>
                    <w:pPr>
                      <w:widowControl w:val="0"/>
                      <w:shd w:val="clear" w:color="auto" w:fill="FFFFFF"/>
                      <w:ind w:left="113" w:firstLine="57"/>
                      <w:jc w:val="center"/>
                      <w:rPr>
                        <w:sz w:val="22"/>
                      </w:rPr>
                    </w:pPr>
                    <w:r>
                      <w:rPr>
                        <w:sz w:val="22"/>
                      </w:rPr>
                      <w:t>25</w:t>
                    </w:r>
                  </w:p>
                </w:tc>
              </w:tr>
            </w:tbl>
            <w:p>
              <w:pPr>
                <w:jc w:val="both"/>
              </w:pPr>
            </w:p>
          </w:sdtContent>
        </w:sdt>
        <w:sdt>
          <w:sdtPr>
            <w:alias w:val="5 p."/>
            <w:tag w:val="part_c79babae37364a25a02803b211242474"/>
            <w:lock w:val="sdtLocked"/>
            <w:richText/>
          </w:sdtPr>
          <w:sdtContent>
            <w:p>
              <w:pPr>
                <w:widowControl w:val="0"/>
                <w:shd w:val="clear" w:color="auto" w:fill="FFFFFF"/>
                <w:ind w:firstLine="567"/>
                <w:jc w:val="both"/>
              </w:pPr>
              <w:sdt>
                <w:sdtPr>
                  <w:alias w:val="Numeris"/>
                  <w:tag w:val="nr_c79babae37364a25a02803b211242474"/>
                  <w:lock w:val="sdtLocked"/>
                  <w:richText/>
                </w:sdtPr>
                <w:sdtContent>
                  <w:r>
                    <w:t>5</w:t>
                  </w:r>
                </w:sdtContent>
              </w:sdt>
              <w:r>
                <w:t xml:space="preserve">. Vienam gyventojui tenkanti viešųjų atskirųjų želdynų ploto norma, nurodyta </w:t>
              </w:r>
              <w:r>
                <w:rPr>
                  <w:lang w:val="en-US"/>
                </w:rPr>
                <w:t>4</w:t>
              </w:r>
              <w:r>
                <w:t xml:space="preserve"> punkto lentelėje, gali būti mažinama tiek m</w:t>
              </w:r>
              <w:r>
                <w:rPr>
                  <w:vertAlign w:val="superscript"/>
                </w:rPr>
                <w:t>2</w:t>
              </w:r>
              <w:r>
                <w:t>, kiek m</w:t>
              </w:r>
              <w:r>
                <w:rPr>
                  <w:vertAlign w:val="superscript"/>
                </w:rPr>
                <w:t>2</w:t>
              </w:r>
              <w:r>
                <w:t xml:space="preserve"> jam  tenka ne didesniu kaip </w:t>
              </w:r>
              <w:r>
                <w:rPr>
                  <w:lang w:val="en-US"/>
                </w:rPr>
                <w:t>1000</w:t>
              </w:r>
              <w:r>
                <w:t xml:space="preserve"> m atstumu nuo kvartalo esančių valstybei priklausančių IIB grupės miškų, ploto.</w:t>
              </w:r>
            </w:p>
            <w:p>
              <w:pPr>
                <w:widowControl w:val="0"/>
                <w:shd w:val="clear" w:color="auto" w:fill="FFFFFF"/>
                <w:ind w:firstLine="567"/>
                <w:jc w:val="both"/>
              </w:pPr>
            </w:p>
          </w:sdtContent>
        </w:sdt>
        <w:sdt>
          <w:sdtPr>
            <w:alias w:val="pabaiga"/>
            <w:tag w:val="part_fc6694aade4a491ca7da8bb39b144b93"/>
            <w:lock w:val="sdtLocked"/>
            <w:richText/>
          </w:sdtPr>
          <w:sdtContent>
            <w:p>
              <w:pPr>
                <w:jc w:val="center"/>
              </w:pPr>
              <w:r>
                <w:t>_________________</w:t>
              </w:r>
            </w:p>
            <w:p>
              <w:pPr>
                <w:jc w:val="both"/>
              </w:pPr>
            </w:p>
            <w:p>
              <w:pPr>
                <w:widowControl w:val="0"/>
                <w:shd w:val="clear" w:color="auto" w:fill="FFFFFF"/>
                <w:ind w:left="4535"/>
              </w:pPr>
            </w:p>
            <w:p/>
            <w:p/>
            <w:p/>
            <w:p/>
            <w:p/>
            <w:p/>
            <w:p/>
          </w:sdtContent>
        </w:sdt>
      </w:sdtContent>
    </w:sdt>
    <w:sdt>
      <w:sdtPr>
        <w:alias w:val="patvirtinta"/>
        <w:tag w:val="part_5e6f912110484c3e8faa90d94029b532"/>
        <w:lock w:val="sdtLocked"/>
        <w:richText/>
      </w:sdtPr>
      <w:sdtContent>
        <w:p>
          <w:pPr>
            <w:widowControl w:val="0"/>
            <w:shd w:val="clear" w:color="auto" w:fill="FFFFFF"/>
            <w:ind w:left="4535" w:firstLine="310"/>
          </w:pPr>
          <w:r>
            <w:t>PATVIRTINTA</w:t>
          </w:r>
        </w:p>
        <w:p>
          <w:pPr>
            <w:widowControl w:val="0"/>
            <w:shd w:val="clear" w:color="auto" w:fill="FFFFFF"/>
            <w:ind w:left="4820"/>
          </w:pPr>
          <w:r>
            <w:t>Lietuvos Respublikos aplinkos ministro</w:t>
          </w:r>
        </w:p>
        <w:p>
          <w:pPr>
            <w:widowControl w:val="0"/>
            <w:shd w:val="clear" w:color="auto" w:fill="FFFFFF"/>
            <w:ind w:left="4820" w:firstLine="62"/>
          </w:pPr>
          <w:r>
            <w:t xml:space="preserve">2007 m.      gruodžio 21 d. įsakymu Nr. D1-694</w:t>
          </w:r>
        </w:p>
        <w:p>
          <w:pPr>
            <w:widowControl w:val="0"/>
            <w:shd w:val="clear" w:color="auto" w:fill="FFFFFF"/>
            <w:ind w:left="4535" w:firstLine="310"/>
            <w:rPr>
              <w:lang w:val="en-US"/>
            </w:rPr>
          </w:pPr>
          <w:r>
            <w:t xml:space="preserve">(Lietuvos Respublikos aplinkos ministro </w:t>
            <w:br/>
            <w:t xml:space="preserve">     20</w:t>
          </w:r>
          <w:r>
            <w:rPr>
              <w:lang w:val="en-US"/>
            </w:rPr>
            <w:t xml:space="preserve">22 </w:t>
          </w:r>
          <w:r>
            <w:t xml:space="preserve"> m.                d. įsakymo Nr. D1- redakcija)</w:t>
          </w:r>
        </w:p>
        <w:p/>
        <w:p/>
        <w:p>
          <w:pPr>
            <w:widowControl w:val="0"/>
            <w:shd w:val="clear" w:color="auto" w:fill="FFFFFF"/>
            <w:jc w:val="center"/>
            <w:rPr>
              <w:b/>
              <w:bCs/>
            </w:rPr>
          </w:pPr>
          <w:sdt>
            <w:sdtPr>
              <w:alias w:val="Pavadinimas"/>
              <w:tag w:val="title_5e6f912110484c3e8faa90d94029b532"/>
              <w:lock w:val="sdtLocked"/>
              <w:richText/>
            </w:sdtPr>
            <w:sdtContent>
              <w:r>
                <w:rPr>
                  <w:b/>
                  <w:bCs/>
                </w:rPr>
                <w:t xml:space="preserve">PRIKLAUSOMŲJŲ ŽELDYNŲ PLOTŲ NORMŲ APSKAIČIAVIMO TVARKOS APRAŠAS </w:t>
              </w:r>
            </w:sdtContent>
          </w:sdt>
        </w:p>
        <w:p>
          <w:pPr>
            <w:widowControl w:val="0"/>
            <w:shd w:val="clear" w:color="auto" w:fill="FFFFFF"/>
            <w:jc w:val="center"/>
            <w:rPr>
              <w:b/>
              <w:bCs/>
            </w:rPr>
          </w:pPr>
        </w:p>
        <w:p>
          <w:pPr>
            <w:jc w:val="both"/>
          </w:pPr>
        </w:p>
        <w:sdt>
          <w:sdtPr>
            <w:alias w:val="1 p."/>
            <w:tag w:val="part_f503f1a48a5b413f8b86b74533555268"/>
            <w:lock w:val="sdtLocked"/>
            <w:richText/>
          </w:sdtPr>
          <w:sdtContent>
            <w:p>
              <w:pPr>
                <w:widowControl w:val="0"/>
                <w:shd w:val="clear" w:color="auto" w:fill="FFFFFF"/>
                <w:ind w:firstLine="567"/>
                <w:jc w:val="both"/>
                <w:rPr>
                  <w:color w:val="000000"/>
                </w:rPr>
              </w:pPr>
              <w:sdt>
                <w:sdtPr>
                  <w:alias w:val="Numeris"/>
                  <w:tag w:val="nr_f503f1a48a5b413f8b86b74533555268"/>
                  <w:lock w:val="sdtLocked"/>
                  <w:richText/>
                </w:sdtPr>
                <w:sdtContent>
                  <w:r>
                    <w:rPr>
                      <w:lang w:val="en-US"/>
                    </w:rPr>
                    <w:t>1</w:t>
                  </w:r>
                </w:sdtContent>
              </w:sdt>
              <w:r>
                <w:rPr>
                  <w:lang w:val="en-US"/>
                </w:rPr>
                <w:t xml:space="preserve">. </w:t>
              </w:r>
              <w:r>
                <w:t xml:space="preserve">Priklausomųjų želdynų plotų normos (toliau – plotų normos) nustatomos </w:t>
              </w:r>
              <w:r>
                <w:rPr>
                  <w:color w:val="000000"/>
                </w:rPr>
                <w:t xml:space="preserve">siekiant išlaikyti optimalų užstatytų žemės sklypų ir apželdintų plotų santykį, gerinti aplinkos kokybę, tenkinti visuomenės sveikos gyvensenos poreikius, palaikyti teritorijos ekologinį stabilumą. </w:t>
              </w:r>
            </w:p>
          </w:sdtContent>
        </w:sdt>
        <w:sdt>
          <w:sdtPr>
            <w:alias w:val="2 p."/>
            <w:tag w:val="part_254f6e9f884746e19a37ca2601188a8c"/>
            <w:lock w:val="sdtLocked"/>
            <w:richText/>
          </w:sdtPr>
          <w:sdtContent>
            <w:p>
              <w:pPr>
                <w:widowControl w:val="0"/>
                <w:shd w:val="clear" w:color="auto" w:fill="FFFFFF"/>
                <w:ind w:firstLine="567"/>
                <w:jc w:val="both"/>
              </w:pPr>
              <w:sdt>
                <w:sdtPr>
                  <w:alias w:val="Numeris"/>
                  <w:tag w:val="nr_254f6e9f884746e19a37ca2601188a8c"/>
                  <w:lock w:val="sdtLocked"/>
                  <w:richText/>
                </w:sdtPr>
                <w:sdtContent>
                  <w:r>
                    <w:t>2</w:t>
                  </w:r>
                </w:sdtContent>
              </w:sdt>
              <w:r>
                <w:t xml:space="preserve">. Priklausomųjų želdynų plotų normų apskaičiavimo tvarkos apraše (toliau – Aprašas) vartojamos sąvokos atitinka Lietuvos Respublikos teritorijų planavimo įstatyme, Lietuvos Respublikos želdynų įstatyme, Lietuvos Respublikos saugios laivybos įstatyme, Lietuvos Respublikos vidaus vandenų transporto kodekse, Lietuvos Respublikos miškų įstatyme vartojamas sąvokas. </w:t>
              </w:r>
            </w:p>
          </w:sdtContent>
        </w:sdt>
        <w:sdt>
          <w:sdtPr>
            <w:alias w:val="3 p."/>
            <w:tag w:val="part_4ec13c4e11ad4c5f89a80f76de31e0f0"/>
            <w:lock w:val="sdtLocked"/>
            <w:richText/>
          </w:sdtPr>
          <w:sdtContent>
            <w:p>
              <w:pPr>
                <w:suppressAutoHyphens/>
                <w:ind w:firstLine="567"/>
                <w:jc w:val="both"/>
                <w:rPr>
                  <w:lang w:eastAsia="lt-LT"/>
                </w:rPr>
              </w:pPr>
              <w:sdt>
                <w:sdtPr>
                  <w:alias w:val="Numeris"/>
                  <w:tag w:val="nr_4ec13c4e11ad4c5f89a80f76de31e0f0"/>
                  <w:lock w:val="sdtLocked"/>
                  <w:richText/>
                </w:sdtPr>
                <w:sdtContent>
                  <w:r>
                    <w:rPr>
                      <w:lang w:val="en-US" w:eastAsia="lt-LT"/>
                    </w:rPr>
                    <w:t>3</w:t>
                  </w:r>
                </w:sdtContent>
              </w:sdt>
              <w:r>
                <w:rPr>
                  <w:lang w:val="en-US" w:eastAsia="lt-LT"/>
                </w:rPr>
                <w:t xml:space="preserve">. </w:t>
              </w:r>
              <w:r>
                <w:rPr>
                  <w:lang w:eastAsia="lt-LT"/>
                </w:rPr>
                <w:t xml:space="preserve">Plotų normos, išskyrus </w:t>
              </w:r>
              <w:r>
                <w:rPr>
                  <w:lang w:val="en-US" w:eastAsia="lt-LT"/>
                </w:rPr>
                <w:t>Aprašo 7 ir 8 punktuose nustatytus atvejus</w:t>
              </w:r>
              <w:r>
                <w:rPr>
                  <w:lang w:eastAsia="lt-LT"/>
                </w:rPr>
                <w:t xml:space="preserve">, nustatomos atsižvelgus į žemės sklypo, kuriame bus įveisiami želdynai, naudojimo būdą, nustatomą pagal  Žemės naudojimo būdų turinio aprašą, patvirtintą</w:t>
              </w:r>
              <w:r>
                <w:t xml:space="preserve"> </w:t>
              </w:r>
              <w:r>
                <w:rPr>
                  <w:lang w:eastAsia="lt-LT"/>
                </w:rPr>
                <w:t xml:space="preserve">Lietuvos Respublikos žemės ūkio ministro ir Lietuvos Respublikos aplinkos ministro 2005 m. sausio 20 d. įsakymu Nr. 3D-37/D1-40 „Dėl Žemės naudojimo būdų turinio aprašo patvirtinimo“,  ir pastatų paskirtį, nustatomą pagal statybos techninį reglamentą STR 1.01.03:2017 „Statinių klasifikavimas“, patvirtintą Lietuvos Respublikos aplinkos ministro 2016 m. spalio 27 d. įsakymu Nr. D1-713 „Dėl Statybos techninio reglamento STR 1.01.03:2017 „Statinių klasifikavimas“ patvirtinimo“.</w:t>
              </w:r>
            </w:p>
          </w:sdtContent>
        </w:sdt>
        <w:sdt>
          <w:sdtPr>
            <w:alias w:val="4 p."/>
            <w:tag w:val="part_eb1b3d3e02a9493daa3b3215c17148dc"/>
            <w:lock w:val="sdtLocked"/>
            <w:richText/>
          </w:sdtPr>
          <w:sdtContent>
            <w:p>
              <w:pPr>
                <w:widowControl w:val="0"/>
                <w:shd w:val="clear" w:color="auto" w:fill="FFFFFF"/>
                <w:ind w:firstLine="567"/>
                <w:jc w:val="both"/>
              </w:pPr>
              <w:sdt>
                <w:sdtPr>
                  <w:alias w:val="Numeris"/>
                  <w:tag w:val="nr_eb1b3d3e02a9493daa3b3215c17148dc"/>
                  <w:lock w:val="sdtLocked"/>
                  <w:richText/>
                </w:sdtPr>
                <w:sdtContent>
                  <w:r>
                    <w:t>4</w:t>
                  </w:r>
                </w:sdtContent>
              </w:sdt>
              <w:r>
                <w:t>. Plotų normos ir leistinos jų kompensuotinos dalys nustatomos procentais nuo žemės sklypo, kuriam želdynai priklauso, ploto (Aprašo priedas).</w:t>
              </w:r>
            </w:p>
          </w:sdtContent>
        </w:sdt>
        <w:sdt>
          <w:sdtPr>
            <w:alias w:val="5 p."/>
            <w:tag w:val="part_83455cbc771447d883925acc17909ebc"/>
            <w:lock w:val="sdtLocked"/>
            <w:richText/>
          </w:sdtPr>
          <w:sdtContent>
            <w:p>
              <w:pPr>
                <w:suppressAutoHyphens/>
                <w:ind w:firstLine="567"/>
                <w:jc w:val="both"/>
                <w:rPr>
                  <w:lang w:val="en-US" w:eastAsia="lt-LT"/>
                </w:rPr>
              </w:pPr>
              <w:sdt>
                <w:sdtPr>
                  <w:alias w:val="Numeris"/>
                  <w:tag w:val="nr_83455cbc771447d883925acc17909ebc"/>
                  <w:lock w:val="sdtLocked"/>
                  <w:richText/>
                </w:sdtPr>
                <w:sdtContent>
                  <w:r>
                    <w:t>5</w:t>
                  </w:r>
                </w:sdtContent>
              </w:sdt>
              <w:r>
                <w:t xml:space="preserve">. </w:t>
              </w:r>
              <w:r>
                <w:rPr>
                  <w:lang w:eastAsia="lt-LT"/>
                </w:rPr>
                <w:t>Žemės sklypui, esančiam kultūros paveldo objekto teritorijoje ar kultūros paveldo vietovėje, Aprašo priede nurodytos plotų normos taikomos kiek jos nepažeidžia šių nekilnojamųjų kultūros vertybių vertingųjų savybių ir neprieštarauja paveldosaugos reikalavimams, nustatytiems vadovaujantis Lietuvos Respublikos nekilnojamojo kultūros paveldo apsaugos įstatymo nuostatomis.</w:t>
              </w:r>
            </w:p>
          </w:sdtContent>
        </w:sdt>
        <w:sdt>
          <w:sdtPr>
            <w:alias w:val="6 p."/>
            <w:tag w:val="part_b25dfdd0260e49b9880ad38cb0761169"/>
            <w:lock w:val="sdtLocked"/>
            <w:richText/>
          </w:sdtPr>
          <w:sdtContent>
            <w:p>
              <w:pPr>
                <w:suppressAutoHyphens/>
                <w:ind w:firstLine="567"/>
                <w:jc w:val="both"/>
                <w:rPr>
                  <w:lang w:eastAsia="lt-LT"/>
                </w:rPr>
              </w:pPr>
              <w:sdt>
                <w:sdtPr>
                  <w:alias w:val="Numeris"/>
                  <w:tag w:val="nr_b25dfdd0260e49b9880ad38cb0761169"/>
                  <w:lock w:val="sdtLocked"/>
                  <w:richText/>
                </w:sdtPr>
                <w:sdtContent>
                  <w:r>
                    <w:rPr>
                      <w:lang w:eastAsia="lt-LT"/>
                    </w:rPr>
                    <w:t>6</w:t>
                  </w:r>
                </w:sdtContent>
              </w:sdt>
              <w:r>
                <w:rPr>
                  <w:lang w:eastAsia="lt-LT"/>
                </w:rPr>
                <w:t>. Žemės sklype, kurio naudojimo būdas – pramonės ir sandėliavimo objektų teritorijos, s</w:t>
              </w:r>
              <w:r>
                <w:rPr>
                  <w:bCs/>
                  <w:lang w:eastAsia="lt-LT"/>
                </w:rPr>
                <w:t>usisiekimo ir inžinerinių komunikacijų aptarnavimo objektų teritorijos</w:t>
              </w:r>
              <w:r>
                <w:rPr>
                  <w:lang w:eastAsia="lt-LT"/>
                </w:rPr>
                <w:t xml:space="preserve">, plotų normos nenustatomos, jei šis žemės sklypas yra ne toliau  kaip 50 m ar ribojasi su IIB grupės mišku, viešuoju atskiruoju želdynu ar Aprašo 9.2 papunktyje nustatyta tvarka numatytu įveisti viešuoju atskiruoju želdynu (ar) IIB grupės mišku (abiem atvejais ne mažesnio ploto už nurodytą žemės sklypą). </w:t>
              </w:r>
            </w:p>
          </w:sdtContent>
        </w:sdt>
        <w:sdt>
          <w:sdtPr>
            <w:alias w:val="7 p."/>
            <w:tag w:val="part_65d084fbd32940209d4f5cc5aae6586e"/>
            <w:lock w:val="sdtLocked"/>
            <w:richText/>
          </w:sdtPr>
          <w:sdtContent>
            <w:p>
              <w:pPr>
                <w:suppressAutoHyphens/>
                <w:ind w:firstLine="567"/>
                <w:jc w:val="both"/>
                <w:rPr>
                  <w:lang w:eastAsia="lt-LT"/>
                </w:rPr>
              </w:pPr>
              <w:sdt>
                <w:sdtPr>
                  <w:alias w:val="Numeris"/>
                  <w:tag w:val="nr_65d084fbd32940209d4f5cc5aae6586e"/>
                  <w:lock w:val="sdtLocked"/>
                  <w:richText/>
                </w:sdtPr>
                <w:sdtContent>
                  <w:r>
                    <w:rPr>
                      <w:lang w:val="en-US" w:eastAsia="lt-LT"/>
                    </w:rPr>
                    <w:t>7</w:t>
                  </w:r>
                </w:sdtContent>
              </w:sdt>
              <w:r>
                <w:rPr>
                  <w:lang w:eastAsia="lt-LT"/>
                </w:rPr>
                <w:t xml:space="preserve">. Žemės sklype, esančiame didelių miestų pagrindinio centro zonoje, taikoma 10 procentų plotų norma, kuri visa gali būti kompensuojama 9 punkte nurodytais būdais. Šiame žemės sklype negali būti mažinamas esantis priklausomųjų želdynų plotas, jeigu jis ne didesnis už Aprašo priede šio  žemės sklypo naudojimo būdui nustatytą plotų normą.</w:t>
              </w:r>
            </w:p>
          </w:sdtContent>
        </w:sdt>
        <w:sdt>
          <w:sdtPr>
            <w:alias w:val="8 p."/>
            <w:tag w:val="part_09ed5f63541c45e5aebda9bd547b72ab"/>
            <w:lock w:val="sdtLocked"/>
            <w:richText/>
          </w:sdtPr>
          <w:sdtContent>
            <w:p>
              <w:pPr>
                <w:suppressAutoHyphens/>
                <w:ind w:firstLine="567"/>
                <w:jc w:val="both"/>
                <w:rPr>
                  <w:lang w:eastAsia="lt-LT"/>
                </w:rPr>
              </w:pPr>
              <w:sdt>
                <w:sdtPr>
                  <w:alias w:val="Numeris"/>
                  <w:tag w:val="nr_09ed5f63541c45e5aebda9bd547b72ab"/>
                  <w:lock w:val="sdtLocked"/>
                  <w:richText/>
                </w:sdtPr>
                <w:sdtContent>
                  <w:r>
                    <w:rPr>
                      <w:szCs w:val="24"/>
                      <w:lang w:val="en-US"/>
                    </w:rPr>
                    <w:t>8</w:t>
                  </w:r>
                </w:sdtContent>
              </w:sdt>
              <w:r>
                <w:rPr>
                  <w:szCs w:val="24"/>
                </w:rPr>
                <w:t xml:space="preserve">. Jūrų uostų teritorijose, vidaus vandenų uostų ar stacionariųjų prieplaukų teritorijose esančiuose žemės sklypuose taikoma </w:t>
              </w:r>
              <w:r>
                <w:rPr>
                  <w:szCs w:val="24"/>
                  <w:lang w:val="en-US"/>
                </w:rPr>
                <w:t>5 procent</w:t>
              </w:r>
              <w:r>
                <w:rPr>
                  <w:szCs w:val="24"/>
                </w:rPr>
                <w:t xml:space="preserve">ų plotų norma, kuri visa gali būti kompensuojama </w:t>
              </w:r>
              <w:r>
                <w:rPr>
                  <w:szCs w:val="24"/>
                  <w:lang w:val="en-US"/>
                </w:rPr>
                <w:t>9 punkte nurodytais b</w:t>
              </w:r>
              <w:r>
                <w:rPr>
                  <w:szCs w:val="24"/>
                </w:rPr>
                <w:t>ūdais.</w:t>
              </w:r>
            </w:p>
          </w:sdtContent>
        </w:sdt>
        <w:sdt>
          <w:sdtPr>
            <w:alias w:val="9 p."/>
            <w:tag w:val="part_144ecef240fa4496ae6c9d74f7342068"/>
            <w:lock w:val="sdtLocked"/>
            <w:richText/>
          </w:sdtPr>
          <w:sdtContent>
            <w:p>
              <w:pPr>
                <w:suppressAutoHyphens/>
                <w:ind w:firstLine="567"/>
                <w:jc w:val="both"/>
                <w:rPr>
                  <w:lang w:eastAsia="lt-LT"/>
                </w:rPr>
              </w:pPr>
              <w:sdt>
                <w:sdtPr>
                  <w:alias w:val="Numeris"/>
                  <w:tag w:val="nr_144ecef240fa4496ae6c9d74f7342068"/>
                  <w:lock w:val="sdtLocked"/>
                  <w:richText/>
                </w:sdtPr>
                <w:sdtContent>
                  <w:r>
                    <w:rPr>
                      <w:lang w:eastAsia="lt-LT"/>
                    </w:rPr>
                    <w:t>9</w:t>
                  </w:r>
                </w:sdtContent>
              </w:sdt>
              <w:r>
                <w:rPr>
                  <w:lang w:eastAsia="lt-LT"/>
                </w:rPr>
                <w:t>. Žemės sklype plotų norma gali būti kompensuojama Aprašo priede nustatyta leistina dalimi:</w:t>
              </w:r>
            </w:p>
            <w:p>
              <w:pPr>
                <w:suppressAutoHyphens/>
                <w:ind w:firstLine="567"/>
                <w:jc w:val="both"/>
                <w:rPr>
                  <w:lang w:eastAsia="lt-LT"/>
                </w:rPr>
              </w:pPr>
            </w:p>
            <w:p>
              <w:pPr>
                <w:suppressAutoHyphens/>
                <w:ind w:firstLine="567"/>
                <w:jc w:val="both"/>
                <w:rPr>
                  <w:lang w:eastAsia="lt-LT"/>
                </w:rPr>
                <w:sectPr>
                  <w:headerReference w:type="default" r:id="rId8"/>
                  <w:pgSz w:w="11909" w:h="16834"/>
                  <w:pgMar w:top="1134" w:right="569" w:bottom="1134" w:left="1701" w:header="567" w:footer="567" w:gutter="0"/>
                  <w:pgNumType w:start="2"/>
                  <w:cols w:space="60"/>
                  <w:noEndnote/>
                  <w:docGrid w:linePitch="326"/>
                </w:sectPr>
              </w:pPr>
            </w:p>
            <w:p>
              <w:pPr>
                <w:suppressAutoHyphens/>
                <w:ind w:firstLine="567"/>
                <w:jc w:val="both"/>
                <w:rPr>
                  <w:lang w:eastAsia="lt-LT"/>
                </w:rPr>
              </w:pPr>
            </w:p>
            <w:sdt>
              <w:sdtPr>
                <w:alias w:val="9.1 pp."/>
                <w:tag w:val="part_b429a1f2d67543778ed8ad86a4009a18"/>
                <w:lock w:val="sdtLocked"/>
                <w:richText/>
              </w:sdtPr>
              <w:sdtContent>
                <w:p>
                  <w:pPr>
                    <w:suppressAutoHyphens/>
                    <w:ind w:firstLine="567"/>
                    <w:jc w:val="both"/>
                  </w:pPr>
                  <w:sdt>
                    <w:sdtPr>
                      <w:alias w:val="Numeris"/>
                      <w:tag w:val="nr_b429a1f2d67543778ed8ad86a4009a18"/>
                      <w:lock w:val="sdtLocked"/>
                      <w:richText/>
                    </w:sdtPr>
                    <w:sdtContent>
                      <w:r>
                        <w:rPr>
                          <w:lang w:val="en-US" w:eastAsia="lt-LT"/>
                        </w:rPr>
                        <w:t>9.1</w:t>
                      </w:r>
                    </w:sdtContent>
                  </w:sdt>
                  <w:r>
                    <w:rPr>
                      <w:lang w:val="en-US" w:eastAsia="lt-LT"/>
                    </w:rPr>
                    <w:t xml:space="preserve">. </w:t>
                  </w:r>
                  <w:r>
                    <w:t>taikant kompensavimą vertikaliuoju apželdinimu</w:t>
                  </w:r>
                  <w:r>
                    <w:rPr>
                      <w:lang w:eastAsia="lt-LT"/>
                    </w:rPr>
                    <w:t xml:space="preserve"> (apželdinant statinių sienas),</w:t>
                  </w:r>
                  <w:r>
                    <w:t xml:space="preserve"> turi būti apželdinamas tris kartus didesnis plotas už kompensuojamą plotų normos dalį;</w:t>
                  </w:r>
                </w:p>
              </w:sdtContent>
            </w:sdt>
            <w:sdt>
              <w:sdtPr>
                <w:alias w:val="9.2 pp."/>
                <w:tag w:val="part_913957463c82497891fa96cf05d25c04"/>
                <w:lock w:val="sdtLocked"/>
                <w:richText/>
              </w:sdtPr>
              <w:sdtContent>
                <w:p>
                  <w:pPr>
                    <w:suppressAutoHyphens/>
                    <w:ind w:firstLine="567"/>
                    <w:jc w:val="both"/>
                    <w:rPr>
                      <w:lang w:val="en-US" w:eastAsia="lt-LT"/>
                    </w:rPr>
                  </w:pPr>
                  <w:sdt>
                    <w:sdtPr>
                      <w:alias w:val="Numeris"/>
                      <w:tag w:val="nr_913957463c82497891fa96cf05d25c04"/>
                      <w:lock w:val="sdtLocked"/>
                      <w:richText/>
                    </w:sdtPr>
                    <w:sdtContent>
                      <w:r>
                        <w:rPr>
                          <w:lang w:eastAsia="lt-LT"/>
                        </w:rPr>
                        <w:t>9.2</w:t>
                      </w:r>
                    </w:sdtContent>
                  </w:sdt>
                  <w:r>
                    <w:rPr>
                      <w:lang w:eastAsia="lt-LT"/>
                    </w:rPr>
                    <w:t xml:space="preserve">. kai žemės sklypo savininkas, valdytojas ar naudotojas savivaldybės administracijai pateikia teritorijų planavimo dokumentą, žemės valdos projektą ar savivaldybės administracijos direktoriaus sprendimą dėl žemės sklypo žemės naudojimo paskirties ir (ar) žemės naudojimo būdo keitimo, patvirtinančius, kad numatoma ne didesniu kaip </w:t>
                  </w:r>
                  <w:r>
                    <w:rPr>
                      <w:lang w:val="en-US" w:eastAsia="lt-LT"/>
                    </w:rPr>
                    <w:t>200</w:t>
                  </w:r>
                  <w:r>
                    <w:rPr>
                      <w:lang w:eastAsia="lt-LT"/>
                    </w:rPr>
                    <w:t xml:space="preserve"> m atstumu nuo žemės sklypo ribos įkurti ne mažesnio ploto už žemės sklypą viešąjį atskirąjį želdyną ir (ar) teisės aktų nustatyta tvarka gautą leidimą įveisti ne mažesnio ploto už žemės sklypą IIB grupės miškus, ir sudarant sutartį su savivaldybės administracija, kad viešasis atskirasis želdynas bus įkurtas ir (ar) miškas bus įveistas ne vėliau kaip per dvejus metus nuo statybos leidimo statinių statybai žemės sklype išdavimo dienos. </w:t>
                  </w:r>
                </w:p>
              </w:sdtContent>
            </w:sdt>
          </w:sdtContent>
        </w:sdt>
        <w:sdt>
          <w:sdtPr>
            <w:alias w:val="10 p."/>
            <w:tag w:val="part_a613e196a79e4fe2b843cb4cda92fa25"/>
            <w:lock w:val="sdtLocked"/>
            <w:richText/>
          </w:sdtPr>
          <w:sdtContent>
            <w:p>
              <w:pPr>
                <w:widowControl w:val="0"/>
                <w:shd w:val="clear" w:color="auto" w:fill="FFFFFF"/>
                <w:ind w:firstLine="567"/>
                <w:jc w:val="both"/>
              </w:pPr>
              <w:sdt>
                <w:sdtPr>
                  <w:alias w:val="Numeris"/>
                  <w:tag w:val="nr_a613e196a79e4fe2b843cb4cda92fa25"/>
                  <w:lock w:val="sdtLocked"/>
                  <w:richText/>
                </w:sdtPr>
                <w:sdtContent>
                  <w:r>
                    <w:t>10</w:t>
                  </w:r>
                </w:sdtContent>
              </w:sdt>
              <w:r>
                <w:t>. Priklausomiesiems želdynams nepriskiriami plotai, numatyti:</w:t>
              </w:r>
            </w:p>
            <w:sdt>
              <w:sdtPr>
                <w:alias w:val="10.1 pp."/>
                <w:tag w:val="part_c2830e73bdee49d589165b237d0613e7"/>
                <w:lock w:val="sdtLocked"/>
                <w:richText/>
              </w:sdtPr>
              <w:sdtContent>
                <w:p>
                  <w:pPr>
                    <w:widowControl w:val="0"/>
                    <w:shd w:val="clear" w:color="auto" w:fill="FFFFFF"/>
                    <w:ind w:firstLine="567"/>
                    <w:jc w:val="both"/>
                  </w:pPr>
                  <w:sdt>
                    <w:sdtPr>
                      <w:alias w:val="Numeris"/>
                      <w:tag w:val="nr_c2830e73bdee49d589165b237d0613e7"/>
                      <w:lock w:val="sdtLocked"/>
                      <w:richText/>
                    </w:sdtPr>
                    <w:sdtContent>
                      <w:r>
                        <w:t>10.1</w:t>
                      </w:r>
                    </w:sdtContent>
                  </w:sdt>
                  <w:r>
                    <w:t>. statinių statybai;</w:t>
                  </w:r>
                </w:p>
              </w:sdtContent>
            </w:sdt>
            <w:sdt>
              <w:sdtPr>
                <w:alias w:val="10.2 pp."/>
                <w:tag w:val="part_9b00d2de6f25458186bd4d3eec67ce24"/>
                <w:lock w:val="sdtLocked"/>
                <w:richText/>
              </w:sdtPr>
              <w:sdtContent>
                <w:p>
                  <w:pPr>
                    <w:widowControl w:val="0"/>
                    <w:shd w:val="clear" w:color="auto" w:fill="FFFFFF"/>
                    <w:ind w:firstLine="567"/>
                    <w:jc w:val="both"/>
                  </w:pPr>
                  <w:sdt>
                    <w:sdtPr>
                      <w:alias w:val="Numeris"/>
                      <w:tag w:val="nr_9b00d2de6f25458186bd4d3eec67ce24"/>
                      <w:lock w:val="sdtLocked"/>
                      <w:richText/>
                    </w:sdtPr>
                    <w:sdtContent>
                      <w:r>
                        <w:t>10.2</w:t>
                      </w:r>
                    </w:sdtContent>
                  </w:sdt>
                  <w:r>
                    <w:t>. privažiavimams, šaligatviams ir nuogrindoms;</w:t>
                  </w:r>
                </w:p>
              </w:sdtContent>
            </w:sdt>
            <w:sdt>
              <w:sdtPr>
                <w:alias w:val="10.3 pp."/>
                <w:tag w:val="part_fa00cda2183248ba9868f57fffc05b9a"/>
                <w:lock w:val="sdtLocked"/>
                <w:richText/>
              </w:sdtPr>
              <w:sdtContent>
                <w:p>
                  <w:pPr>
                    <w:widowControl w:val="0"/>
                    <w:shd w:val="clear" w:color="auto" w:fill="FFFFFF"/>
                    <w:ind w:firstLine="567"/>
                    <w:jc w:val="both"/>
                  </w:pPr>
                  <w:sdt>
                    <w:sdtPr>
                      <w:alias w:val="Numeris"/>
                      <w:tag w:val="nr_fa00cda2183248ba9868f57fffc05b9a"/>
                      <w:lock w:val="sdtLocked"/>
                      <w:richText/>
                    </w:sdtPr>
                    <w:sdtContent>
                      <w:r>
                        <w:t>10.</w:t>
                      </w:r>
                      <w:r>
                        <w:rPr>
                          <w:lang w:val="en-US"/>
                        </w:rPr>
                        <w:t>3</w:t>
                      </w:r>
                    </w:sdtContent>
                  </w:sdt>
                  <w:r>
                    <w:t>. sporto aikštynams, sporto ir žaidimo aikštelėms.</w:t>
                  </w:r>
                </w:p>
              </w:sdtContent>
            </w:sdt>
          </w:sdtContent>
        </w:sdt>
        <w:sdt>
          <w:sdtPr>
            <w:alias w:val="11 p."/>
            <w:tag w:val="part_1e6dbcd45f1c46ea82b1a8e32e036d78"/>
            <w:lock w:val="sdtLocked"/>
            <w:richText/>
          </w:sdtPr>
          <w:sdtContent>
            <w:p>
              <w:pPr>
                <w:widowControl w:val="0"/>
                <w:shd w:val="clear" w:color="auto" w:fill="FFFFFF"/>
                <w:ind w:firstLine="567"/>
                <w:jc w:val="both"/>
              </w:pPr>
              <w:sdt>
                <w:sdtPr>
                  <w:alias w:val="Numeris"/>
                  <w:tag w:val="nr_1e6dbcd45f1c46ea82b1a8e32e036d78"/>
                  <w:lock w:val="sdtLocked"/>
                  <w:richText/>
                </w:sdtPr>
                <w:sdtContent>
                  <w:r>
                    <w:t>11</w:t>
                  </w:r>
                </w:sdtContent>
              </w:sdt>
              <w:r>
                <w:t xml:space="preserve">. Priklausomiesiems želdynams gali būti priskiriami apželdinti požeminių statinių stogai, jei želdiniai auga ne plonesniame kaip </w:t>
              </w:r>
              <w:r>
                <w:rPr>
                  <w:lang w:val="en-US"/>
                </w:rPr>
                <w:t>1 m dirvo</w:t>
              </w:r>
              <w:r>
                <w:t>žemio sluoksnyje.</w:t>
              </w:r>
            </w:p>
            <w:p>
              <w:pPr>
                <w:jc w:val="both"/>
              </w:pPr>
            </w:p>
            <w:p>
              <w:pPr>
                <w:jc w:val="both"/>
              </w:pPr>
            </w:p>
            <w:p>
              <w:pPr>
                <w:suppressAutoHyphens/>
                <w:jc w:val="center"/>
              </w:pPr>
              <w:r>
                <w:t>________________________</w:t>
              </w:r>
            </w:p>
            <w:p>
              <w:pPr>
                <w:suppressAutoHyphens/>
              </w:pPr>
            </w:p>
            <w:p>
              <w:pPr>
                <w:suppressAutoHyphens/>
                <w:rPr>
                  <w:lang w:val="en-US"/>
                </w:rPr>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pPr>
            </w:p>
            <w:p>
              <w:pPr>
                <w:suppressAutoHyphens/>
                <w:sectPr>
                  <w:headerReference w:type="default" r:id="rId9"/>
                  <w:type w:val="continuous"/>
                  <w:pgSz w:w="11909" w:h="16834"/>
                  <w:pgMar w:top="1134" w:right="569" w:bottom="1134" w:left="1701" w:header="567" w:footer="567" w:gutter="0"/>
                  <w:cols w:space="60"/>
                  <w:noEndnote/>
                  <w:docGrid w:linePitch="326"/>
                </w:sectPr>
              </w:pPr>
            </w:p>
            <w:p>
              <w:pPr>
                <w:suppressAutoHyphens/>
              </w:pPr>
            </w:p>
            <w:p>
              <w:pPr>
                <w:suppressAutoHyphens/>
              </w:pPr>
            </w:p>
            <w:p>
              <w:pPr>
                <w:suppressAutoHyphens/>
              </w:pPr>
            </w:p>
          </w:sdtContent>
        </w:sdt>
      </w:sdtContent>
    </w:sdt>
    <w:sdt>
      <w:sdtPr>
        <w:alias w:val="pr."/>
        <w:tag w:val="part_baeeb31eda95426aa747caff6ef8c6e5"/>
        <w:lock w:val="sdtLocked"/>
        <w:richText/>
      </w:sdtPr>
      <w:sdtContent>
        <w:p>
          <w:pPr>
            <w:suppressAutoHyphens/>
            <w:ind w:firstLine="5670"/>
            <w:rPr>
              <w:lang w:eastAsia="lt-LT"/>
            </w:rPr>
          </w:pPr>
          <w:r>
            <w:rPr>
              <w:lang w:eastAsia="lt-LT"/>
            </w:rPr>
            <w:t xml:space="preserve">Priklausomųjų želdynų plotų normų </w:t>
          </w:r>
        </w:p>
        <w:p>
          <w:pPr>
            <w:suppressAutoHyphens/>
            <w:ind w:firstLine="5670"/>
            <w:rPr>
              <w:lang w:eastAsia="lt-LT"/>
            </w:rPr>
          </w:pPr>
          <w:r>
            <w:rPr>
              <w:lang w:eastAsia="lt-LT"/>
            </w:rPr>
            <w:t xml:space="preserve">apskaičiavimo tvarkos aprašo </w:t>
          </w:r>
        </w:p>
        <w:p>
          <w:pPr>
            <w:suppressAutoHyphens/>
            <w:ind w:firstLine="5670"/>
            <w:rPr>
              <w:lang w:eastAsia="lt-LT"/>
            </w:rPr>
          </w:pPr>
          <w:r>
            <w:rPr>
              <w:lang w:eastAsia="lt-LT"/>
            </w:rPr>
            <w:t>priedas</w:t>
          </w:r>
        </w:p>
        <w:p/>
        <w:p>
          <w:pPr>
            <w:suppressAutoHyphens/>
            <w:jc w:val="center"/>
            <w:rPr>
              <w:b/>
              <w:caps/>
              <w:lang w:eastAsia="lt-LT"/>
            </w:rPr>
          </w:pPr>
          <w:sdt>
            <w:sdtPr>
              <w:alias w:val="Pavadinimas"/>
              <w:tag w:val="title_baeeb31eda95426aa747caff6ef8c6e5"/>
              <w:lock w:val="sdtLocked"/>
              <w:richText/>
            </w:sdtPr>
            <w:sdtContent>
              <w:r>
                <w:rPr>
                  <w:b/>
                  <w:caps/>
                  <w:lang w:eastAsia="lt-LT"/>
                </w:rPr>
                <w:t xml:space="preserve">Priklausomųjų želdynų PLOTŲ normos </w:t>
              </w:r>
            </w:sdtContent>
          </w:sdt>
        </w:p>
        <w:p/>
        <w:tbl>
          <w:tblPr>
            <w:tblW w:w="460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7"/>
            <w:gridCol w:w="3188"/>
            <w:gridCol w:w="1403"/>
            <w:gridCol w:w="2225"/>
            <w:gridCol w:w="1700"/>
          </w:tblGrid>
          <w:tr>
            <w:tc>
              <w:tcPr>
                <w:tcW w:w="307" w:type="pct"/>
                <w:vAlign w:val="center"/>
              </w:tcPr>
              <w:p>
                <w:pPr>
                  <w:suppressAutoHyphens/>
                  <w:jc w:val="center"/>
                  <w:rPr>
                    <w:bCs/>
                    <w:lang w:eastAsia="lt-LT"/>
                  </w:rPr>
                </w:pPr>
                <w:r>
                  <w:rPr>
                    <w:bCs/>
                    <w:lang w:eastAsia="lt-LT"/>
                  </w:rPr>
                  <w:t>Eil. Nr.</w:t>
                </w:r>
              </w:p>
            </w:tc>
            <w:tc>
              <w:tcPr>
                <w:tcW w:w="1757" w:type="pct"/>
                <w:vAlign w:val="center"/>
              </w:tcPr>
              <w:p>
                <w:pPr>
                  <w:suppressAutoHyphens/>
                  <w:jc w:val="center"/>
                  <w:rPr>
                    <w:bCs/>
                    <w:lang w:eastAsia="lt-LT"/>
                  </w:rPr>
                </w:pPr>
                <w:r>
                  <w:rPr>
                    <w:bCs/>
                    <w:lang w:eastAsia="lt-LT"/>
                  </w:rPr>
                  <w:t xml:space="preserve">Žemės sklypo naudojimo būdas </w:t>
                </w:r>
              </w:p>
            </w:tc>
            <w:tc>
              <w:tcPr>
                <w:tcW w:w="773" w:type="pct"/>
                <w:vAlign w:val="center"/>
              </w:tcPr>
              <w:p>
                <w:pPr>
                  <w:suppressAutoHyphens/>
                  <w:jc w:val="center"/>
                  <w:rPr>
                    <w:bCs/>
                    <w:lang w:eastAsia="lt-LT"/>
                  </w:rPr>
                </w:pPr>
                <w:r>
                  <w:rPr>
                    <w:bCs/>
                    <w:lang w:eastAsia="lt-LT"/>
                  </w:rPr>
                  <w:t>Mažiausias želdynams priskiriamas plotas nuo viso žemės sklypo ploto, proc.</w:t>
                </w:r>
              </w:p>
            </w:tc>
            <w:tc>
              <w:tcPr>
                <w:tcW w:w="1226" w:type="pct"/>
              </w:tcPr>
              <w:p>
                <w:pPr>
                  <w:suppressAutoHyphens/>
                  <w:jc w:val="center"/>
                  <w:rPr>
                    <w:lang w:val="en-US"/>
                  </w:rPr>
                </w:pPr>
                <w:r>
                  <w:rPr>
                    <w:bCs/>
                    <w:lang w:eastAsia="lt-LT"/>
                  </w:rPr>
                  <w:t>Mažiausias želdynams priskiriamas plotas nuo viso žemės sklypo ploto</w:t>
                </w:r>
                <w:r>
                  <w:rPr>
                    <w:strike/>
                  </w:rPr>
                  <w:t xml:space="preserve"> </w:t>
                </w:r>
                <w:r>
                  <w:t>gamtinio karkaso teritorijose, proc.</w:t>
                </w:r>
              </w:p>
            </w:tc>
            <w:tc>
              <w:tcPr>
                <w:tcW w:w="937" w:type="pct"/>
              </w:tcPr>
              <w:p>
                <w:pPr>
                  <w:suppressAutoHyphens/>
                  <w:jc w:val="center"/>
                  <w:rPr>
                    <w:bCs/>
                    <w:lang w:eastAsia="lt-LT"/>
                  </w:rPr>
                </w:pPr>
                <w:r>
                  <w:t>Didžiausia leidžiama kompensuoti priklausomųjų želdynų plotų normų sudedamoji procentinė dalis</w:t>
                </w:r>
              </w:p>
            </w:tc>
          </w:tr>
          <w:tr>
            <w:trPr>
              <w:cantSplit/>
            </w:trPr>
            <w:tc>
              <w:tcPr>
                <w:tcW w:w="307" w:type="pct"/>
              </w:tcPr>
              <w:p>
                <w:pPr>
                  <w:suppressAutoHyphens/>
                  <w:rPr>
                    <w:lang w:eastAsia="lt-LT"/>
                  </w:rPr>
                </w:pPr>
                <w:r>
                  <w:rPr>
                    <w:lang w:eastAsia="lt-LT"/>
                  </w:rPr>
                  <w:t>1.</w:t>
                </w:r>
              </w:p>
            </w:tc>
            <w:tc>
              <w:tcPr>
                <w:tcW w:w="1757" w:type="pct"/>
              </w:tcPr>
              <w:p>
                <w:pPr>
                  <w:suppressAutoHyphens/>
                  <w:rPr>
                    <w:color w:val="000000"/>
                  </w:rPr>
                </w:pPr>
                <w:r>
                  <w:rPr>
                    <w:color w:val="000000"/>
                  </w:rPr>
                  <w:t>Vienbučių ir dvibučių gyvenamųjų pastatų teritorijos:</w:t>
                </w:r>
              </w:p>
              <w:p>
                <w:pPr>
                  <w:suppressAutoHyphens/>
                  <w:rPr>
                    <w:color w:val="000000"/>
                  </w:rPr>
                </w:pPr>
                <w:r>
                  <w:rPr>
                    <w:color w:val="000000"/>
                    <w:lang w:val="en-US"/>
                  </w:rPr>
                  <w:t xml:space="preserve">1.1. </w:t>
                </w:r>
                <w:r>
                  <w:rPr>
                    <w:color w:val="000000"/>
                  </w:rPr>
                  <w:t>planuojami naujai užstatyti žemės sklypai</w:t>
                </w:r>
              </w:p>
              <w:p>
                <w:pPr>
                  <w:suppressAutoHyphens/>
                  <w:rPr>
                    <w:color w:val="000000"/>
                  </w:rPr>
                </w:pPr>
                <w:r>
                  <w:rPr>
                    <w:color w:val="000000"/>
                  </w:rPr>
                  <w:t>1.2. esami užstatyti žemės sklypai</w:t>
                </w:r>
              </w:p>
            </w:tc>
            <w:tc>
              <w:tcPr>
                <w:tcW w:w="773" w:type="pct"/>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 xml:space="preserve">25 </w:t>
                </w:r>
              </w:p>
              <w:p>
                <w:pPr>
                  <w:suppressAutoHyphens/>
                  <w:jc w:val="center"/>
                  <w:rPr>
                    <w:bCs/>
                    <w:lang w:val="en-US" w:eastAsia="lt-LT"/>
                  </w:rPr>
                </w:pPr>
              </w:p>
              <w:p>
                <w:pPr>
                  <w:suppressAutoHyphens/>
                  <w:jc w:val="center"/>
                  <w:rPr>
                    <w:bCs/>
                    <w:lang w:val="en-US" w:eastAsia="lt-LT"/>
                  </w:rPr>
                </w:pPr>
                <w:r>
                  <w:rPr>
                    <w:bCs/>
                    <w:lang w:val="en-US" w:eastAsia="lt-LT"/>
                  </w:rPr>
                  <w:t>25</w:t>
                </w:r>
              </w:p>
            </w:tc>
            <w:tc>
              <w:tcPr>
                <w:tcW w:w="1226" w:type="pct"/>
              </w:tcPr>
              <w:p>
                <w:pPr>
                  <w:suppressAutoHyphens/>
                  <w:jc w:val="center"/>
                  <w:rPr>
                    <w:bCs/>
                    <w:lang w:val="en-US" w:eastAsia="lt-LT"/>
                  </w:rPr>
                </w:pPr>
              </w:p>
              <w:p>
                <w:pPr>
                  <w:suppressAutoHyphens/>
                  <w:jc w:val="center"/>
                  <w:rPr>
                    <w:bCs/>
                    <w:lang w:val="en-US" w:eastAsia="lt-LT"/>
                  </w:rPr>
                </w:pPr>
              </w:p>
              <w:p>
                <w:pPr>
                  <w:suppressAutoHyphens/>
                  <w:jc w:val="center"/>
                  <w:rPr>
                    <w:bCs/>
                    <w:lang w:val="en-US" w:eastAsia="lt-LT"/>
                  </w:rPr>
                </w:pPr>
              </w:p>
              <w:p>
                <w:pPr>
                  <w:suppressAutoHyphens/>
                  <w:jc w:val="center"/>
                  <w:rPr>
                    <w:bCs/>
                    <w:lang w:val="en-US" w:eastAsia="lt-LT"/>
                  </w:rPr>
                </w:pPr>
              </w:p>
              <w:p>
                <w:pPr>
                  <w:suppressAutoHyphens/>
                  <w:jc w:val="center"/>
                  <w:rPr>
                    <w:bCs/>
                    <w:lang w:val="en-US" w:eastAsia="lt-LT"/>
                  </w:rPr>
                </w:pPr>
                <w:r>
                  <w:rPr>
                    <w:bCs/>
                    <w:lang w:val="en-US" w:eastAsia="lt-LT"/>
                  </w:rPr>
                  <w:t>35</w:t>
                </w:r>
              </w:p>
              <w:p>
                <w:pPr>
                  <w:suppressAutoHyphens/>
                  <w:jc w:val="center"/>
                  <w:rPr>
                    <w:bCs/>
                    <w:lang w:val="en-US" w:eastAsia="lt-LT"/>
                  </w:rPr>
                </w:pPr>
              </w:p>
              <w:p>
                <w:pPr>
                  <w:suppressAutoHyphens/>
                  <w:jc w:val="center"/>
                  <w:rPr>
                    <w:bCs/>
                    <w:lang w:val="en-US" w:eastAsia="lt-LT"/>
                  </w:rPr>
                </w:pPr>
                <w:r>
                  <w:rPr>
                    <w:bCs/>
                    <w:lang w:val="en-US" w:eastAsia="lt-LT"/>
                  </w:rPr>
                  <w:t>35</w:t>
                </w:r>
              </w:p>
            </w:tc>
            <w:tc>
              <w:tcPr>
                <w:tcW w:w="937" w:type="pct"/>
              </w:tcPr>
              <w:p>
                <w:pPr>
                  <w:suppressAutoHyphens/>
                  <w:jc w:val="center"/>
                  <w:rPr>
                    <w:bCs/>
                    <w:lang w:val="en-US" w:eastAsia="lt-LT"/>
                  </w:rPr>
                </w:pPr>
              </w:p>
              <w:p>
                <w:pPr>
                  <w:suppressAutoHyphens/>
                  <w:jc w:val="center"/>
                  <w:rPr>
                    <w:bCs/>
                    <w:lang w:val="en-US" w:eastAsia="lt-LT"/>
                  </w:rPr>
                </w:pPr>
              </w:p>
              <w:p>
                <w:pPr>
                  <w:suppressAutoHyphens/>
                  <w:jc w:val="center"/>
                  <w:rPr>
                    <w:bCs/>
                    <w:lang w:val="en-US" w:eastAsia="lt-LT"/>
                  </w:rPr>
                </w:pPr>
              </w:p>
              <w:p>
                <w:pPr>
                  <w:suppressAutoHyphens/>
                  <w:jc w:val="center"/>
                  <w:rPr>
                    <w:bCs/>
                    <w:lang w:val="en-US" w:eastAsia="lt-LT"/>
                  </w:rPr>
                </w:pPr>
              </w:p>
              <w:p>
                <w:pPr>
                  <w:suppressAutoHyphens/>
                  <w:jc w:val="center"/>
                  <w:rPr>
                    <w:bCs/>
                    <w:lang w:val="en-US" w:eastAsia="lt-LT"/>
                  </w:rPr>
                </w:pPr>
                <w:r>
                  <w:rPr>
                    <w:bCs/>
                    <w:lang w:val="en-US" w:eastAsia="lt-LT"/>
                  </w:rPr>
                  <w:t>-</w:t>
                </w:r>
              </w:p>
              <w:p>
                <w:pPr>
                  <w:suppressAutoHyphens/>
                  <w:jc w:val="center"/>
                  <w:rPr>
                    <w:bCs/>
                    <w:lang w:val="en-US" w:eastAsia="lt-LT"/>
                  </w:rPr>
                </w:pPr>
              </w:p>
              <w:p>
                <w:pPr>
                  <w:suppressAutoHyphens/>
                  <w:jc w:val="center"/>
                  <w:rPr>
                    <w:bCs/>
                    <w:lang w:val="en-US" w:eastAsia="lt-LT"/>
                  </w:rPr>
                </w:pPr>
                <w:r>
                  <w:rPr>
                    <w:bCs/>
                    <w:lang w:val="en-US" w:eastAsia="lt-LT"/>
                  </w:rPr>
                  <w:t>5</w:t>
                </w:r>
              </w:p>
            </w:tc>
          </w:tr>
          <w:tr>
            <w:trPr>
              <w:cantSplit/>
            </w:trPr>
            <w:tc>
              <w:tcPr>
                <w:tcW w:w="307" w:type="pct"/>
                <w:tcBorders>
                  <w:bottom w:val="single" w:sz="4" w:space="0" w:color="auto"/>
                </w:tcBorders>
              </w:tcPr>
              <w:p>
                <w:pPr>
                  <w:suppressAutoHyphens/>
                  <w:rPr>
                    <w:lang w:eastAsia="lt-LT"/>
                  </w:rPr>
                </w:pPr>
                <w:r>
                  <w:rPr>
                    <w:lang w:eastAsia="lt-LT"/>
                  </w:rPr>
                  <w:t>2.</w:t>
                </w:r>
              </w:p>
            </w:tc>
            <w:tc>
              <w:tcPr>
                <w:tcW w:w="1757" w:type="pct"/>
                <w:tcBorders>
                  <w:bottom w:val="single" w:sz="4" w:space="0" w:color="auto"/>
                </w:tcBorders>
              </w:tcPr>
              <w:p>
                <w:pPr>
                  <w:tabs>
                    <w:tab w:val="left" w:pos="5472"/>
                  </w:tabs>
                  <w:suppressAutoHyphens/>
                  <w:rPr>
                    <w:color w:val="000000"/>
                  </w:rPr>
                </w:pPr>
                <w:r>
                  <w:rPr>
                    <w:color w:val="000000"/>
                  </w:rPr>
                  <w:t>Daugiabučių gyvenamųjų pastatų ir bendrabučių teritorijos</w:t>
                </w:r>
              </w:p>
              <w:p>
                <w:pPr>
                  <w:suppressAutoHyphens/>
                  <w:rPr>
                    <w:color w:val="000000"/>
                    <w:lang w:val="en-US"/>
                  </w:rPr>
                </w:pPr>
                <w:r>
                  <w:rPr>
                    <w:color w:val="000000"/>
                    <w:lang w:val="en-US"/>
                  </w:rPr>
                  <w:t xml:space="preserve">2.1. </w:t>
                </w:r>
                <w:r>
                  <w:rPr>
                    <w:color w:val="000000"/>
                  </w:rPr>
                  <w:t>planuojami naujai užstatyti žemės sklypai</w:t>
                </w:r>
              </w:p>
              <w:p>
                <w:pPr>
                  <w:tabs>
                    <w:tab w:val="left" w:pos="5472"/>
                  </w:tabs>
                  <w:suppressAutoHyphens/>
                  <w:rPr>
                    <w:bCs/>
                    <w:lang w:eastAsia="lt-LT"/>
                  </w:rPr>
                </w:pPr>
                <w:r>
                  <w:rPr>
                    <w:color w:val="000000"/>
                  </w:rPr>
                  <w:t>2.2. esami užstatyti žemės sklypai</w:t>
                </w:r>
              </w:p>
            </w:tc>
            <w:tc>
              <w:tcPr>
                <w:tcW w:w="773"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 xml:space="preserve">30 </w:t>
                </w:r>
              </w:p>
              <w:p>
                <w:pPr>
                  <w:suppressAutoHyphens/>
                  <w:jc w:val="center"/>
                  <w:rPr>
                    <w:bCs/>
                    <w:lang w:eastAsia="lt-LT"/>
                  </w:rPr>
                </w:pPr>
              </w:p>
              <w:p>
                <w:pPr>
                  <w:suppressAutoHyphens/>
                  <w:jc w:val="center"/>
                  <w:rPr>
                    <w:bCs/>
                    <w:lang w:eastAsia="lt-LT"/>
                  </w:rPr>
                </w:pPr>
                <w:r>
                  <w:rPr>
                    <w:bCs/>
                    <w:lang w:eastAsia="lt-LT"/>
                  </w:rPr>
                  <w:t>30</w:t>
                </w:r>
              </w:p>
            </w:tc>
            <w:tc>
              <w:tcPr>
                <w:tcW w:w="1226"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40</w:t>
                </w:r>
              </w:p>
              <w:p>
                <w:pPr>
                  <w:suppressAutoHyphens/>
                  <w:jc w:val="center"/>
                  <w:rPr>
                    <w:bCs/>
                    <w:lang w:eastAsia="lt-LT"/>
                  </w:rPr>
                </w:pPr>
              </w:p>
              <w:p>
                <w:pPr>
                  <w:suppressAutoHyphens/>
                  <w:jc w:val="center"/>
                  <w:rPr>
                    <w:bCs/>
                    <w:lang w:eastAsia="lt-LT"/>
                  </w:rPr>
                </w:pPr>
                <w:r>
                  <w:rPr>
                    <w:bCs/>
                    <w:lang w:eastAsia="lt-LT"/>
                  </w:rPr>
                  <w:t>40</w:t>
                </w:r>
              </w:p>
            </w:tc>
            <w:tc>
              <w:tcPr>
                <w:tcW w:w="937"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w:t>
                </w:r>
              </w:p>
              <w:p>
                <w:pPr>
                  <w:suppressAutoHyphens/>
                  <w:jc w:val="center"/>
                  <w:rPr>
                    <w:bCs/>
                    <w:lang w:eastAsia="lt-LT"/>
                  </w:rPr>
                </w:pPr>
              </w:p>
              <w:p>
                <w:pPr>
                  <w:suppressAutoHyphens/>
                  <w:jc w:val="center"/>
                  <w:rPr>
                    <w:bCs/>
                    <w:lang w:eastAsia="lt-LT"/>
                  </w:rPr>
                </w:pPr>
                <w:r>
                  <w:rPr>
                    <w:bCs/>
                    <w:lang w:eastAsia="lt-LT"/>
                  </w:rPr>
                  <w:t>5</w:t>
                </w:r>
              </w:p>
            </w:tc>
          </w:tr>
          <w:tr>
            <w:trPr>
              <w:cantSplit/>
            </w:trPr>
            <w:tc>
              <w:tcPr>
                <w:tcW w:w="307" w:type="pct"/>
                <w:tcBorders>
                  <w:bottom w:val="nil"/>
                </w:tcBorders>
              </w:tcPr>
              <w:p>
                <w:pPr>
                  <w:suppressAutoHyphens/>
                  <w:rPr>
                    <w:lang w:eastAsia="lt-LT"/>
                  </w:rPr>
                </w:pPr>
                <w:r>
                  <w:rPr>
                    <w:lang w:eastAsia="lt-LT"/>
                  </w:rPr>
                  <w:t>3.</w:t>
                </w:r>
              </w:p>
            </w:tc>
            <w:tc>
              <w:tcPr>
                <w:tcW w:w="1757" w:type="pct"/>
                <w:tcBorders>
                  <w:bottom w:val="single" w:sz="4" w:space="0" w:color="auto"/>
                </w:tcBorders>
              </w:tcPr>
              <w:p>
                <w:pPr>
                  <w:suppressAutoHyphens/>
                  <w:rPr>
                    <w:bCs/>
                    <w:lang w:eastAsia="lt-LT"/>
                  </w:rPr>
                </w:pPr>
                <w:r>
                  <w:rPr>
                    <w:bCs/>
                    <w:lang w:eastAsia="lt-LT"/>
                  </w:rPr>
                  <w:t>Visuomeninės paskirties teritorijos*:</w:t>
                </w:r>
              </w:p>
              <w:p>
                <w:pPr>
                  <w:suppressAutoHyphens/>
                  <w:rPr>
                    <w:bCs/>
                    <w:lang w:val="en-GB" w:eastAsia="lt-LT"/>
                  </w:rPr>
                </w:pPr>
                <w:r>
                  <w:rPr>
                    <w:bCs/>
                    <w:lang w:eastAsia="lt-LT"/>
                  </w:rPr>
                  <w:t xml:space="preserve">3.1. žemės sklypai, skirti šiems </w:t>
                </w:r>
                <w:r>
                  <w:rPr>
                    <w:bCs/>
                    <w:iCs/>
                    <w:lang w:eastAsia="lt-LT"/>
                  </w:rPr>
                  <w:t xml:space="preserve">mokslo </w:t>
                </w:r>
                <w:r>
                  <w:rPr>
                    <w:bCs/>
                    <w:lang w:eastAsia="lt-LT"/>
                  </w:rPr>
                  <w:t>paskirties pastatams</w:t>
                </w:r>
                <w:r>
                  <w:rPr>
                    <w:bCs/>
                    <w:iCs/>
                    <w:lang w:eastAsia="lt-LT"/>
                  </w:rPr>
                  <w:t xml:space="preserve">: </w:t>
                </w:r>
              </w:p>
              <w:p>
                <w:pPr>
                  <w:suppressAutoHyphens/>
                  <w:ind w:firstLine="720"/>
                  <w:rPr>
                    <w:bCs/>
                    <w:lang w:eastAsia="lt-LT"/>
                  </w:rPr>
                </w:pPr>
                <w:r>
                  <w:rPr>
                    <w:bCs/>
                    <w:lang w:eastAsia="lt-LT"/>
                  </w:rPr>
                  <w:t>vaikų darželiams, lopšeliams;</w:t>
                </w:r>
              </w:p>
              <w:p>
                <w:pPr>
                  <w:suppressAutoHyphens/>
                  <w:ind w:firstLine="720"/>
                  <w:rPr>
                    <w:lang w:eastAsia="lt-LT"/>
                  </w:rPr>
                </w:pPr>
                <w:r>
                  <w:rPr>
                    <w:bCs/>
                    <w:lang w:eastAsia="lt-LT"/>
                  </w:rPr>
                  <w:t>bendrojo lavinimo mokykloms</w:t>
                </w:r>
              </w:p>
            </w:tc>
            <w:tc>
              <w:tcPr>
                <w:tcW w:w="773"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50</w:t>
                </w:r>
              </w:p>
              <w:p>
                <w:pPr>
                  <w:suppressAutoHyphens/>
                  <w:jc w:val="center"/>
                  <w:rPr>
                    <w:bCs/>
                    <w:lang w:eastAsia="lt-LT"/>
                  </w:rPr>
                </w:pPr>
              </w:p>
              <w:p>
                <w:pPr>
                  <w:suppressAutoHyphens/>
                  <w:jc w:val="center"/>
                  <w:rPr>
                    <w:bCs/>
                    <w:lang w:eastAsia="lt-LT"/>
                  </w:rPr>
                </w:pPr>
                <w:r>
                  <w:rPr>
                    <w:bCs/>
                    <w:lang w:eastAsia="lt-LT"/>
                  </w:rPr>
                  <w:t>40</w:t>
                </w:r>
              </w:p>
            </w:tc>
            <w:tc>
              <w:tcPr>
                <w:tcW w:w="1226"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60</w:t>
                </w:r>
              </w:p>
              <w:p>
                <w:pPr>
                  <w:suppressAutoHyphens/>
                  <w:jc w:val="center"/>
                  <w:rPr>
                    <w:bCs/>
                    <w:lang w:eastAsia="lt-LT"/>
                  </w:rPr>
                </w:pPr>
              </w:p>
              <w:p>
                <w:pPr>
                  <w:suppressAutoHyphens/>
                  <w:jc w:val="center"/>
                  <w:rPr>
                    <w:bCs/>
                    <w:lang w:eastAsia="lt-LT"/>
                  </w:rPr>
                </w:pPr>
                <w:r>
                  <w:rPr>
                    <w:bCs/>
                    <w:lang w:eastAsia="lt-LT"/>
                  </w:rPr>
                  <w:t>50</w:t>
                </w:r>
              </w:p>
            </w:tc>
            <w:tc>
              <w:tcPr>
                <w:tcW w:w="937"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w:t>
                </w:r>
              </w:p>
              <w:p>
                <w:pPr>
                  <w:suppressAutoHyphens/>
                  <w:jc w:val="center"/>
                  <w:rPr>
                    <w:bCs/>
                    <w:lang w:eastAsia="lt-LT"/>
                  </w:rPr>
                </w:pPr>
              </w:p>
              <w:p>
                <w:pPr>
                  <w:suppressAutoHyphens/>
                  <w:jc w:val="center"/>
                  <w:rPr>
                    <w:bCs/>
                    <w:lang w:eastAsia="lt-LT"/>
                  </w:rPr>
                </w:pPr>
                <w:r>
                  <w:rPr>
                    <w:bCs/>
                    <w:lang w:eastAsia="lt-LT"/>
                  </w:rPr>
                  <w:t>-</w:t>
                </w:r>
              </w:p>
            </w:tc>
          </w:tr>
          <w:tr>
            <w:trPr>
              <w:cantSplit/>
            </w:trPr>
            <w:tc>
              <w:tcPr>
                <w:tcW w:w="307" w:type="pct"/>
                <w:tcBorders>
                  <w:top w:val="nil"/>
                  <w:bottom w:val="nil"/>
                </w:tcBorders>
              </w:tcPr>
              <w:p/>
            </w:tc>
            <w:tc>
              <w:tcPr>
                <w:tcW w:w="1757" w:type="pct"/>
                <w:tcBorders>
                  <w:bottom w:val="single" w:sz="4" w:space="0" w:color="auto"/>
                </w:tcBorders>
              </w:tcPr>
              <w:p>
                <w:pPr>
                  <w:suppressAutoHyphens/>
                  <w:rPr>
                    <w:bCs/>
                    <w:lang w:eastAsia="lt-LT"/>
                  </w:rPr>
                </w:pPr>
                <w:r>
                  <w:rPr>
                    <w:bCs/>
                    <w:iCs/>
                    <w:lang w:eastAsia="lt-LT"/>
                  </w:rPr>
                  <w:t>3.2. žemės sklypai, skirti šiems gydymo paskirties pastatams:</w:t>
                </w:r>
              </w:p>
              <w:p>
                <w:pPr>
                  <w:suppressAutoHyphens/>
                  <w:ind w:firstLine="720"/>
                  <w:rPr>
                    <w:bCs/>
                    <w:lang w:eastAsia="lt-LT"/>
                  </w:rPr>
                </w:pPr>
                <w:r>
                  <w:rPr>
                    <w:bCs/>
                    <w:lang w:eastAsia="lt-LT"/>
                  </w:rPr>
                  <w:t>sanatorijoms;</w:t>
                </w:r>
              </w:p>
              <w:p>
                <w:pPr>
                  <w:suppressAutoHyphens/>
                  <w:ind w:firstLine="720"/>
                  <w:rPr>
                    <w:lang w:eastAsia="lt-LT"/>
                  </w:rPr>
                </w:pPr>
                <w:r>
                  <w:rPr>
                    <w:bCs/>
                    <w:lang w:eastAsia="lt-LT"/>
                  </w:rPr>
                  <w:t>ligoninėms, klinikoms, reabilitacijos centrams</w:t>
                </w:r>
              </w:p>
            </w:tc>
            <w:tc>
              <w:tcPr>
                <w:tcW w:w="773"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45</w:t>
                </w:r>
              </w:p>
              <w:p>
                <w:pPr>
                  <w:suppressAutoHyphens/>
                  <w:jc w:val="center"/>
                  <w:rPr>
                    <w:bCs/>
                    <w:lang w:eastAsia="lt-LT"/>
                  </w:rPr>
                </w:pPr>
              </w:p>
              <w:p>
                <w:pPr>
                  <w:suppressAutoHyphens/>
                  <w:jc w:val="center"/>
                  <w:rPr>
                    <w:bCs/>
                    <w:lang w:eastAsia="lt-LT"/>
                  </w:rPr>
                </w:pPr>
                <w:r>
                  <w:rPr>
                    <w:bCs/>
                    <w:lang w:eastAsia="lt-LT"/>
                  </w:rPr>
                  <w:t>35</w:t>
                </w:r>
              </w:p>
            </w:tc>
            <w:tc>
              <w:tcPr>
                <w:tcW w:w="1226"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55</w:t>
                </w:r>
              </w:p>
              <w:p>
                <w:pPr>
                  <w:suppressAutoHyphens/>
                  <w:jc w:val="center"/>
                  <w:rPr>
                    <w:bCs/>
                    <w:lang w:eastAsia="lt-LT"/>
                  </w:rPr>
                </w:pPr>
              </w:p>
              <w:p>
                <w:pPr>
                  <w:suppressAutoHyphens/>
                  <w:jc w:val="center"/>
                  <w:rPr>
                    <w:bCs/>
                    <w:lang w:eastAsia="lt-LT"/>
                  </w:rPr>
                </w:pPr>
                <w:r>
                  <w:rPr>
                    <w:bCs/>
                    <w:lang w:eastAsia="lt-LT"/>
                  </w:rPr>
                  <w:t>45</w:t>
                </w:r>
              </w:p>
            </w:tc>
            <w:tc>
              <w:tcPr>
                <w:tcW w:w="937"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w:t>
                </w:r>
              </w:p>
              <w:p>
                <w:pPr>
                  <w:suppressAutoHyphens/>
                  <w:jc w:val="center"/>
                  <w:rPr>
                    <w:bCs/>
                    <w:lang w:eastAsia="lt-LT"/>
                  </w:rPr>
                </w:pPr>
              </w:p>
              <w:p>
                <w:pPr>
                  <w:suppressAutoHyphens/>
                  <w:jc w:val="center"/>
                  <w:rPr>
                    <w:bCs/>
                    <w:lang w:eastAsia="lt-LT"/>
                  </w:rPr>
                </w:pPr>
                <w:r>
                  <w:rPr>
                    <w:bCs/>
                    <w:lang w:eastAsia="lt-LT"/>
                  </w:rPr>
                  <w:t>-</w:t>
                </w:r>
              </w:p>
            </w:tc>
          </w:tr>
        </w:tbl>
        <w:p>
          <w:pPr>
            <w:sectPr>
              <w:headerReference w:type="default" r:id="rId10"/>
              <w:type w:val="continuous"/>
              <w:pgSz w:w="11909" w:h="16834"/>
              <w:pgMar w:top="1134" w:right="569" w:bottom="1134" w:left="1701" w:header="567" w:footer="567" w:gutter="0"/>
              <w:cols w:space="60"/>
              <w:noEndnote/>
              <w:docGrid w:linePitch="326"/>
            </w:sectPr>
          </w:pPr>
        </w:p>
        <w:tbl>
          <w:tblPr>
            <w:tblW w:w="460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7"/>
            <w:gridCol w:w="3188"/>
            <w:gridCol w:w="1403"/>
            <w:gridCol w:w="2225"/>
            <w:gridCol w:w="1700"/>
          </w:tblGrid>
          <w:tr>
            <w:trPr>
              <w:cantSplit/>
            </w:trPr>
            <w:tc>
              <w:tcPr>
                <w:tcW w:w="307" w:type="pct"/>
                <w:tcBorders>
                  <w:top w:val="nil"/>
                  <w:bottom w:val="single" w:sz="4" w:space="0" w:color="auto"/>
                </w:tcBorders>
              </w:tcPr>
              <w:p/>
            </w:tc>
            <w:tc>
              <w:tcPr>
                <w:tcW w:w="1757" w:type="pct"/>
                <w:tcBorders>
                  <w:bottom w:val="single" w:sz="4" w:space="0" w:color="auto"/>
                </w:tcBorders>
              </w:tcPr>
              <w:p>
                <w:pPr>
                  <w:suppressAutoHyphens/>
                  <w:rPr>
                    <w:lang w:eastAsia="lt-LT"/>
                  </w:rPr>
                </w:pPr>
                <w:r>
                  <w:rPr>
                    <w:bCs/>
                    <w:lang w:eastAsia="lt-LT"/>
                  </w:rPr>
                  <w:t xml:space="preserve">3.3. žemės sklypai, skirti </w:t>
                </w:r>
                <w:r>
                  <w:rPr>
                    <w:bCs/>
                    <w:iCs/>
                    <w:lang w:eastAsia="lt-LT"/>
                  </w:rPr>
                  <w:t>3.1 ir 3.2 papunkčiuose nepaminėtiems pastatams visuomeninės paskirties teritorijose</w:t>
                </w:r>
              </w:p>
            </w:tc>
            <w:tc>
              <w:tcPr>
                <w:tcW w:w="773"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15</w:t>
                </w:r>
              </w:p>
            </w:tc>
            <w:tc>
              <w:tcPr>
                <w:tcW w:w="1226"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25</w:t>
                </w:r>
              </w:p>
            </w:tc>
            <w:tc>
              <w:tcPr>
                <w:tcW w:w="937" w:type="pct"/>
                <w:tcBorders>
                  <w:bottom w:val="single" w:sz="4" w:space="0" w:color="auto"/>
                </w:tcBorders>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w:t>
                </w:r>
              </w:p>
              <w:p>
                <w:pPr>
                  <w:suppressAutoHyphens/>
                  <w:jc w:val="center"/>
                  <w:rPr>
                    <w:bCs/>
                    <w:lang w:eastAsia="lt-LT"/>
                  </w:rPr>
                </w:pPr>
              </w:p>
            </w:tc>
          </w:tr>
          <w:tr>
            <w:trPr>
              <w:cantSplit/>
              <w:trHeight w:val="556"/>
            </w:trPr>
            <w:tc>
              <w:tcPr>
                <w:tcW w:w="307" w:type="pct"/>
              </w:tcPr>
              <w:p>
                <w:pPr>
                  <w:suppressAutoHyphens/>
                  <w:rPr>
                    <w:bCs/>
                    <w:lang w:eastAsia="lt-LT"/>
                  </w:rPr>
                </w:pPr>
                <w:r>
                  <w:rPr>
                    <w:bCs/>
                    <w:lang w:eastAsia="lt-LT"/>
                  </w:rPr>
                  <w:t>4.</w:t>
                </w:r>
              </w:p>
            </w:tc>
            <w:tc>
              <w:tcPr>
                <w:tcW w:w="1757" w:type="pct"/>
                <w:tcBorders>
                  <w:top w:val="nil"/>
                </w:tcBorders>
              </w:tcPr>
              <w:p>
                <w:pPr>
                  <w:suppressAutoHyphens/>
                  <w:rPr>
                    <w:bCs/>
                    <w:lang w:eastAsia="lt-LT"/>
                  </w:rPr>
                </w:pPr>
                <w:r>
                  <w:rPr>
                    <w:bCs/>
                    <w:lang w:eastAsia="lt-LT"/>
                  </w:rPr>
                  <w:t>Pramonės ir sandėliavimo objektų teritorijos</w:t>
                </w:r>
              </w:p>
            </w:tc>
            <w:tc>
              <w:tcPr>
                <w:tcW w:w="773" w:type="pct"/>
                <w:tcBorders>
                  <w:bottom w:val="single" w:sz="4" w:space="0" w:color="auto"/>
                </w:tcBorders>
              </w:tcPr>
              <w:p>
                <w:pPr>
                  <w:suppressAutoHyphens/>
                  <w:jc w:val="center"/>
                  <w:rPr>
                    <w:bCs/>
                    <w:lang w:eastAsia="lt-LT"/>
                  </w:rPr>
                </w:pPr>
              </w:p>
              <w:p>
                <w:pPr>
                  <w:suppressAutoHyphens/>
                  <w:jc w:val="center"/>
                  <w:rPr>
                    <w:bCs/>
                    <w:lang w:eastAsia="lt-LT"/>
                  </w:rPr>
                </w:pPr>
                <w:r>
                  <w:rPr>
                    <w:bCs/>
                    <w:lang w:eastAsia="lt-LT"/>
                  </w:rPr>
                  <w:t xml:space="preserve">10 </w:t>
                </w:r>
              </w:p>
            </w:tc>
            <w:tc>
              <w:tcPr>
                <w:tcW w:w="1226" w:type="pct"/>
                <w:tcBorders>
                  <w:bottom w:val="single" w:sz="4" w:space="0" w:color="auto"/>
                </w:tcBorders>
              </w:tcPr>
              <w:p>
                <w:pPr>
                  <w:suppressAutoHyphens/>
                  <w:jc w:val="center"/>
                  <w:rPr>
                    <w:bCs/>
                    <w:lang w:eastAsia="lt-LT"/>
                  </w:rPr>
                </w:pPr>
              </w:p>
              <w:p>
                <w:pPr>
                  <w:suppressAutoHyphens/>
                  <w:jc w:val="center"/>
                  <w:rPr>
                    <w:bCs/>
                    <w:lang w:eastAsia="lt-LT"/>
                  </w:rPr>
                </w:pPr>
                <w:r>
                  <w:rPr>
                    <w:bCs/>
                    <w:lang w:eastAsia="lt-LT"/>
                  </w:rPr>
                  <w:t>20</w:t>
                </w:r>
              </w:p>
            </w:tc>
            <w:tc>
              <w:tcPr>
                <w:tcW w:w="937" w:type="pct"/>
                <w:tcBorders>
                  <w:bottom w:val="single" w:sz="4" w:space="0" w:color="auto"/>
                </w:tcBorders>
              </w:tcPr>
              <w:p>
                <w:pPr>
                  <w:suppressAutoHyphens/>
                  <w:jc w:val="center"/>
                  <w:rPr>
                    <w:bCs/>
                    <w:lang w:eastAsia="lt-LT"/>
                  </w:rPr>
                </w:pPr>
              </w:p>
              <w:p>
                <w:pPr>
                  <w:suppressAutoHyphens/>
                  <w:jc w:val="center"/>
                  <w:rPr>
                    <w:bCs/>
                    <w:lang w:eastAsia="lt-LT"/>
                  </w:rPr>
                </w:pPr>
                <w:r>
                  <w:rPr>
                    <w:bCs/>
                    <w:lang w:eastAsia="lt-LT"/>
                  </w:rPr>
                  <w:t>5</w:t>
                </w:r>
              </w:p>
            </w:tc>
          </w:tr>
          <w:tr>
            <w:trPr>
              <w:cantSplit/>
              <w:trHeight w:val="568"/>
            </w:trPr>
            <w:tc>
              <w:tcPr>
                <w:tcW w:w="307" w:type="pct"/>
              </w:tcPr>
              <w:p>
                <w:pPr>
                  <w:suppressAutoHyphens/>
                  <w:rPr>
                    <w:bCs/>
                    <w:lang w:eastAsia="lt-LT"/>
                  </w:rPr>
                </w:pPr>
                <w:r>
                  <w:rPr>
                    <w:bCs/>
                    <w:lang w:eastAsia="lt-LT"/>
                  </w:rPr>
                  <w:t>5.</w:t>
                </w:r>
              </w:p>
            </w:tc>
            <w:tc>
              <w:tcPr>
                <w:tcW w:w="1757" w:type="pct"/>
              </w:tcPr>
              <w:p>
                <w:pPr>
                  <w:suppressAutoHyphens/>
                  <w:rPr>
                    <w:bCs/>
                    <w:lang w:eastAsia="lt-LT"/>
                  </w:rPr>
                </w:pPr>
                <w:r>
                  <w:rPr>
                    <w:bCs/>
                    <w:lang w:eastAsia="lt-LT"/>
                  </w:rPr>
                  <w:t>Komercinės paskirties objektų teritorijos</w:t>
                </w:r>
              </w:p>
            </w:tc>
            <w:tc>
              <w:tcPr>
                <w:tcW w:w="773" w:type="pct"/>
              </w:tcPr>
              <w:p>
                <w:pPr>
                  <w:suppressAutoHyphens/>
                  <w:jc w:val="center"/>
                  <w:rPr>
                    <w:bCs/>
                    <w:lang w:eastAsia="lt-LT"/>
                  </w:rPr>
                </w:pPr>
              </w:p>
              <w:p>
                <w:pPr>
                  <w:suppressAutoHyphens/>
                  <w:jc w:val="center"/>
                  <w:rPr>
                    <w:bCs/>
                    <w:strike/>
                    <w:lang w:val="en-US" w:eastAsia="lt-LT"/>
                  </w:rPr>
                </w:pPr>
                <w:r>
                  <w:rPr>
                    <w:bCs/>
                    <w:lang w:eastAsia="lt-LT"/>
                  </w:rPr>
                  <w:t xml:space="preserve">10 </w:t>
                </w:r>
              </w:p>
            </w:tc>
            <w:tc>
              <w:tcPr>
                <w:tcW w:w="1226" w:type="pct"/>
              </w:tcPr>
              <w:p>
                <w:pPr>
                  <w:suppressAutoHyphens/>
                  <w:jc w:val="center"/>
                  <w:rPr>
                    <w:bCs/>
                    <w:lang w:eastAsia="lt-LT"/>
                  </w:rPr>
                </w:pPr>
              </w:p>
              <w:p>
                <w:pPr>
                  <w:suppressAutoHyphens/>
                  <w:jc w:val="center"/>
                  <w:rPr>
                    <w:bCs/>
                    <w:lang w:eastAsia="lt-LT"/>
                  </w:rPr>
                </w:pPr>
                <w:r>
                  <w:rPr>
                    <w:bCs/>
                    <w:lang w:eastAsia="lt-LT"/>
                  </w:rPr>
                  <w:t>20</w:t>
                </w:r>
              </w:p>
            </w:tc>
            <w:tc>
              <w:tcPr>
                <w:tcW w:w="937" w:type="pct"/>
              </w:tcPr>
              <w:p>
                <w:pPr>
                  <w:suppressAutoHyphens/>
                  <w:jc w:val="center"/>
                  <w:rPr>
                    <w:bCs/>
                    <w:lang w:val="en-US" w:eastAsia="lt-LT"/>
                  </w:rPr>
                </w:pPr>
              </w:p>
              <w:p>
                <w:pPr>
                  <w:suppressAutoHyphens/>
                  <w:jc w:val="center"/>
                  <w:rPr>
                    <w:bCs/>
                    <w:lang w:val="en-US" w:eastAsia="lt-LT"/>
                  </w:rPr>
                </w:pPr>
                <w:r>
                  <w:rPr>
                    <w:bCs/>
                    <w:lang w:val="en-US" w:eastAsia="lt-LT"/>
                  </w:rPr>
                  <w:t>5</w:t>
                </w:r>
              </w:p>
            </w:tc>
          </w:tr>
          <w:tr>
            <w:trPr>
              <w:cantSplit/>
            </w:trPr>
            <w:tc>
              <w:tcPr>
                <w:tcW w:w="307" w:type="pct"/>
                <w:tcBorders>
                  <w:bottom w:val="nil"/>
                </w:tcBorders>
              </w:tcPr>
              <w:p>
                <w:pPr>
                  <w:suppressAutoHyphens/>
                  <w:rPr>
                    <w:bCs/>
                    <w:lang w:eastAsia="lt-LT"/>
                  </w:rPr>
                </w:pPr>
                <w:r>
                  <w:rPr>
                    <w:bCs/>
                    <w:lang w:eastAsia="lt-LT"/>
                  </w:rPr>
                  <w:t>6.</w:t>
                </w:r>
              </w:p>
            </w:tc>
            <w:tc>
              <w:tcPr>
                <w:tcW w:w="1757" w:type="pct"/>
              </w:tcPr>
              <w:p>
                <w:pPr>
                  <w:suppressAutoHyphens/>
                  <w:rPr>
                    <w:bCs/>
                    <w:lang w:eastAsia="lt-LT"/>
                  </w:rPr>
                </w:pPr>
                <w:r>
                  <w:rPr>
                    <w:bCs/>
                    <w:lang w:eastAsia="lt-LT"/>
                  </w:rPr>
                  <w:t>Susisiekimo ir inžinerinių komunikacijų aptarnavimo objektų teritorijos</w:t>
                </w:r>
              </w:p>
            </w:tc>
            <w:tc>
              <w:tcPr>
                <w:tcW w:w="773" w:type="pct"/>
              </w:tcPr>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20</w:t>
                </w:r>
              </w:p>
            </w:tc>
            <w:tc>
              <w:tcPr>
                <w:tcW w:w="1226" w:type="pct"/>
              </w:tcPr>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25</w:t>
                </w:r>
              </w:p>
            </w:tc>
            <w:tc>
              <w:tcPr>
                <w:tcW w:w="937" w:type="pct"/>
              </w:tcPr>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10</w:t>
                </w:r>
              </w:p>
            </w:tc>
          </w:tr>
          <w:tr>
            <w:trPr>
              <w:cantSplit/>
              <w:trHeight w:val="122"/>
            </w:trPr>
            <w:tc>
              <w:tcPr>
                <w:tcW w:w="307" w:type="pct"/>
              </w:tcPr>
              <w:p>
                <w:pPr>
                  <w:suppressAutoHyphens/>
                  <w:rPr>
                    <w:bCs/>
                    <w:lang w:eastAsia="lt-LT"/>
                  </w:rPr>
                </w:pPr>
                <w:r>
                  <w:rPr>
                    <w:bCs/>
                    <w:lang w:eastAsia="lt-LT"/>
                  </w:rPr>
                  <w:t>7.</w:t>
                </w:r>
              </w:p>
            </w:tc>
            <w:tc>
              <w:tcPr>
                <w:tcW w:w="1757" w:type="pct"/>
              </w:tcPr>
              <w:p>
                <w:pPr>
                  <w:suppressAutoHyphens/>
                  <w:rPr>
                    <w:bCs/>
                    <w:lang w:eastAsia="lt-LT"/>
                  </w:rPr>
                </w:pPr>
                <w:r>
                  <w:rPr>
                    <w:bCs/>
                    <w:lang w:eastAsia="lt-LT"/>
                  </w:rPr>
                  <w:t>Rekreacinės teritorijos</w:t>
                </w:r>
              </w:p>
              <w:p>
                <w:pPr>
                  <w:suppressAutoHyphens/>
                  <w:rPr>
                    <w:bCs/>
                    <w:lang w:eastAsia="lt-LT"/>
                  </w:rPr>
                </w:pPr>
              </w:p>
            </w:tc>
            <w:tc>
              <w:tcPr>
                <w:tcW w:w="773" w:type="pct"/>
              </w:tcPr>
              <w:p>
                <w:pPr>
                  <w:suppressAutoHyphens/>
                  <w:jc w:val="center"/>
                  <w:rPr>
                    <w:bCs/>
                    <w:lang w:eastAsia="lt-LT"/>
                  </w:rPr>
                </w:pPr>
                <w:r>
                  <w:rPr>
                    <w:bCs/>
                    <w:lang w:eastAsia="lt-LT"/>
                  </w:rPr>
                  <w:t>40</w:t>
                </w:r>
              </w:p>
            </w:tc>
            <w:tc>
              <w:tcPr>
                <w:tcW w:w="1226" w:type="pct"/>
              </w:tcPr>
              <w:p>
                <w:pPr>
                  <w:suppressAutoHyphens/>
                  <w:jc w:val="center"/>
                  <w:rPr>
                    <w:bCs/>
                    <w:lang w:eastAsia="lt-LT"/>
                  </w:rPr>
                </w:pPr>
                <w:r>
                  <w:rPr>
                    <w:bCs/>
                    <w:lang w:eastAsia="lt-LT"/>
                  </w:rPr>
                  <w:t>50</w:t>
                </w:r>
              </w:p>
            </w:tc>
            <w:tc>
              <w:tcPr>
                <w:tcW w:w="937" w:type="pct"/>
              </w:tcPr>
              <w:p>
                <w:pPr>
                  <w:suppressAutoHyphens/>
                  <w:jc w:val="center"/>
                  <w:rPr>
                    <w:bCs/>
                    <w:lang w:eastAsia="lt-LT"/>
                  </w:rPr>
                </w:pPr>
                <w:r>
                  <w:rPr>
                    <w:bCs/>
                    <w:lang w:eastAsia="lt-LT"/>
                  </w:rPr>
                  <w:t>-</w:t>
                </w:r>
              </w:p>
            </w:tc>
          </w:tr>
          <w:tr>
            <w:trPr>
              <w:cantSplit/>
            </w:trPr>
            <w:tc>
              <w:tcPr>
                <w:tcW w:w="307" w:type="pct"/>
              </w:tcPr>
              <w:p>
                <w:pPr>
                  <w:suppressAutoHyphens/>
                  <w:rPr>
                    <w:bCs/>
                    <w:lang w:eastAsia="lt-LT"/>
                  </w:rPr>
                </w:pPr>
                <w:r>
                  <w:rPr>
                    <w:bCs/>
                    <w:lang w:eastAsia="lt-LT"/>
                  </w:rPr>
                  <w:t>8.</w:t>
                </w:r>
              </w:p>
            </w:tc>
            <w:tc>
              <w:tcPr>
                <w:tcW w:w="1757" w:type="pct"/>
              </w:tcPr>
              <w:p>
                <w:pPr>
                  <w:suppressAutoHyphens/>
                  <w:rPr>
                    <w:bCs/>
                    <w:lang w:eastAsia="lt-LT"/>
                  </w:rPr>
                </w:pPr>
                <w:r>
                  <w:rPr>
                    <w:bCs/>
                    <w:lang w:eastAsia="lt-LT"/>
                  </w:rPr>
                  <w:t>Bendrojo naudojimo (miestų, miestelių ir kaimų ar savivaldybių bendrojo naudojimo) teritorijos</w:t>
                </w:r>
              </w:p>
            </w:tc>
            <w:tc>
              <w:tcPr>
                <w:tcW w:w="773" w:type="pct"/>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15</w:t>
                </w:r>
              </w:p>
            </w:tc>
            <w:tc>
              <w:tcPr>
                <w:tcW w:w="1226" w:type="pct"/>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25</w:t>
                </w:r>
              </w:p>
            </w:tc>
            <w:tc>
              <w:tcPr>
                <w:tcW w:w="937" w:type="pct"/>
              </w:tcPr>
              <w:p>
                <w:pPr>
                  <w:suppressAutoHyphens/>
                  <w:jc w:val="center"/>
                  <w:rPr>
                    <w:bCs/>
                    <w:lang w:eastAsia="lt-LT"/>
                  </w:rPr>
                </w:pPr>
              </w:p>
              <w:p>
                <w:pPr>
                  <w:suppressAutoHyphens/>
                  <w:jc w:val="center"/>
                  <w:rPr>
                    <w:bCs/>
                    <w:lang w:eastAsia="lt-LT"/>
                  </w:rPr>
                </w:pPr>
              </w:p>
              <w:p>
                <w:pPr>
                  <w:suppressAutoHyphens/>
                  <w:jc w:val="center"/>
                  <w:rPr>
                    <w:bCs/>
                    <w:lang w:eastAsia="lt-LT"/>
                  </w:rPr>
                </w:pPr>
              </w:p>
              <w:p>
                <w:pPr>
                  <w:suppressAutoHyphens/>
                  <w:jc w:val="center"/>
                  <w:rPr>
                    <w:bCs/>
                    <w:lang w:eastAsia="lt-LT"/>
                  </w:rPr>
                </w:pPr>
                <w:r>
                  <w:rPr>
                    <w:bCs/>
                    <w:lang w:eastAsia="lt-LT"/>
                  </w:rPr>
                  <w:t>-</w:t>
                </w:r>
              </w:p>
            </w:tc>
          </w:tr>
        </w:tbl>
        <w:p>
          <w:pPr>
            <w:suppressAutoHyphens/>
            <w:jc w:val="both"/>
            <w:rPr>
              <w:lang w:eastAsia="lt-LT"/>
            </w:rPr>
          </w:pPr>
        </w:p>
        <w:p>
          <w:pPr>
            <w:suppressAutoHyphens/>
            <w:jc w:val="both"/>
            <w:rPr>
              <w:lang w:eastAsia="lt-LT"/>
            </w:rPr>
          </w:pPr>
          <w:r>
            <w:rPr>
              <w:lang w:eastAsia="lt-LT"/>
            </w:rPr>
            <w:t>*Visuomeninės paskirties teritorijų naudojimo būdo žemės sklype mažiausias priklausomiesiems želdynams priskiriamas plotas nustatomas atsižvelgiant į pastatų paskirtį.</w:t>
          </w:r>
        </w:p>
        <w:p>
          <w:pPr>
            <w:suppressAutoHyphens/>
            <w:jc w:val="center"/>
          </w:pPr>
          <w:r>
            <w:rPr>
              <w:lang w:eastAsia="lt-LT"/>
            </w:rPr>
            <w:t>_____________________</w:t>
          </w:r>
        </w:p>
        <w:p>
          <w:pPr>
            <w:widowControl w:val="0"/>
          </w:pPr>
        </w:p>
        <w:p/>
        <w:p/>
      </w:sdtContent>
    </w:sdt>
    <w:sectPr>
      <w:headerReference w:type="default" r:id="rId11"/>
      <w:type w:val="continuous"/>
      <w:pgSz w:w="11909" w:h="16834"/>
      <w:pgMar w:top="1134" w:right="569" w:bottom="1134" w:left="1701" w:header="567" w:footer="567" w:gutter="0"/>
      <w:cols w:space="60"/>
      <w:noEndnote/>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t>2</w:t>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t>2</w:t>
    </w:r>
  </w:p>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30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94DABE7F-42A5-4131-A8C4-0731C7BE70D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52878846">
      <w:bodyDiv w:val="1"/>
      <w:marLeft w:val="0"/>
      <w:marRight w:val="0"/>
      <w:marTop w:val="0"/>
      <w:marBottom w:val="0"/>
      <w:divBdr>
        <w:top w:val="none" w:sz="0" w:space="0" w:color="auto"/>
        <w:left w:val="none" w:sz="0" w:space="0" w:color="auto"/>
        <w:bottom w:val="none" w:sz="0" w:space="0" w:color="auto"/>
        <w:right w:val="none" w:sz="0" w:space="0" w:color="auto"/>
      </w:divBdr>
    </w:div>
    <w:div w:id="1845507176">
      <w:bodyDiv w:val="1"/>
      <w:marLeft w:val="0"/>
      <w:marRight w:val="0"/>
      <w:marTop w:val="0"/>
      <w:marBottom w:val="0"/>
      <w:divBdr>
        <w:top w:val="none" w:sz="0" w:space="0" w:color="auto"/>
        <w:left w:val="none" w:sz="0" w:space="0" w:color="auto"/>
        <w:bottom w:val="none" w:sz="0" w:space="0" w:color="auto"/>
        <w:right w:val="none" w:sz="0" w:space="0" w:color="auto"/>
      </w:divBdr>
      <w:divsChild>
        <w:div w:id="1551184793">
          <w:marLeft w:val="0"/>
          <w:marRight w:val="0"/>
          <w:marTop w:val="0"/>
          <w:marBottom w:val="0"/>
          <w:divBdr>
            <w:top w:val="none" w:sz="0" w:space="0" w:color="auto"/>
            <w:left w:val="none" w:sz="0" w:space="0" w:color="auto"/>
            <w:bottom w:val="none" w:sz="0" w:space="0" w:color="auto"/>
            <w:right w:val="none" w:sz="0" w:space="0" w:color="auto"/>
          </w:divBdr>
          <w:divsChild>
            <w:div w:id="1643120418">
              <w:marLeft w:val="0"/>
              <w:marRight w:val="0"/>
              <w:marTop w:val="0"/>
              <w:marBottom w:val="0"/>
              <w:divBdr>
                <w:top w:val="none" w:sz="0" w:space="0" w:color="auto"/>
                <w:left w:val="none" w:sz="0" w:space="0" w:color="auto"/>
                <w:bottom w:val="none" w:sz="0" w:space="0" w:color="auto"/>
                <w:right w:val="none" w:sz="0" w:space="0" w:color="auto"/>
              </w:divBdr>
            </w:div>
            <w:div w:id="984235859">
              <w:marLeft w:val="0"/>
              <w:marRight w:val="0"/>
              <w:marTop w:val="0"/>
              <w:marBottom w:val="0"/>
              <w:divBdr>
                <w:top w:val="none" w:sz="0" w:space="0" w:color="auto"/>
                <w:left w:val="none" w:sz="0" w:space="0" w:color="auto"/>
                <w:bottom w:val="none" w:sz="0" w:space="0" w:color="auto"/>
                <w:right w:val="none" w:sz="0" w:space="0" w:color="auto"/>
              </w:divBdr>
            </w:div>
          </w:divsChild>
        </w:div>
        <w:div w:id="231694335">
          <w:marLeft w:val="0"/>
          <w:marRight w:val="0"/>
          <w:marTop w:val="0"/>
          <w:marBottom w:val="0"/>
          <w:divBdr>
            <w:top w:val="none" w:sz="0" w:space="0" w:color="auto"/>
            <w:left w:val="none" w:sz="0" w:space="0" w:color="auto"/>
            <w:bottom w:val="none" w:sz="0" w:space="0" w:color="auto"/>
            <w:right w:val="none" w:sz="0" w:space="0" w:color="auto"/>
          </w:divBdr>
          <w:divsChild>
            <w:div w:id="383221107">
              <w:marLeft w:val="0"/>
              <w:marRight w:val="0"/>
              <w:marTop w:val="0"/>
              <w:marBottom w:val="0"/>
              <w:divBdr>
                <w:top w:val="none" w:sz="0" w:space="0" w:color="auto"/>
                <w:left w:val="none" w:sz="0" w:space="0" w:color="auto"/>
                <w:bottom w:val="none" w:sz="0" w:space="0" w:color="auto"/>
                <w:right w:val="none" w:sz="0" w:space="0" w:color="auto"/>
              </w:divBdr>
            </w:div>
            <w:div w:id="1655602275">
              <w:marLeft w:val="0"/>
              <w:marRight w:val="0"/>
              <w:marTop w:val="0"/>
              <w:marBottom w:val="0"/>
              <w:divBdr>
                <w:top w:val="none" w:sz="0" w:space="0" w:color="auto"/>
                <w:left w:val="none" w:sz="0" w:space="0" w:color="auto"/>
                <w:bottom w:val="none" w:sz="0" w:space="0" w:color="auto"/>
                <w:right w:val="none" w:sz="0" w:space="0" w:color="auto"/>
              </w:divBdr>
            </w:div>
          </w:divsChild>
        </w:div>
        <w:div w:id="15011205">
          <w:marLeft w:val="0"/>
          <w:marRight w:val="0"/>
          <w:marTop w:val="0"/>
          <w:marBottom w:val="0"/>
          <w:divBdr>
            <w:top w:val="none" w:sz="0" w:space="0" w:color="auto"/>
            <w:left w:val="none" w:sz="0" w:space="0" w:color="auto"/>
            <w:bottom w:val="none" w:sz="0" w:space="0" w:color="auto"/>
            <w:right w:val="none" w:sz="0" w:space="0" w:color="auto"/>
          </w:divBdr>
          <w:divsChild>
            <w:div w:id="1343893052">
              <w:marLeft w:val="0"/>
              <w:marRight w:val="0"/>
              <w:marTop w:val="0"/>
              <w:marBottom w:val="0"/>
              <w:divBdr>
                <w:top w:val="none" w:sz="0" w:space="0" w:color="auto"/>
                <w:left w:val="none" w:sz="0" w:space="0" w:color="auto"/>
                <w:bottom w:val="none" w:sz="0" w:space="0" w:color="auto"/>
                <w:right w:val="none" w:sz="0" w:space="0" w:color="auto"/>
              </w:divBdr>
            </w:div>
            <w:div w:id="1302464409">
              <w:marLeft w:val="0"/>
              <w:marRight w:val="0"/>
              <w:marTop w:val="0"/>
              <w:marBottom w:val="0"/>
              <w:divBdr>
                <w:top w:val="none" w:sz="0" w:space="0" w:color="auto"/>
                <w:left w:val="none" w:sz="0" w:space="0" w:color="auto"/>
                <w:bottom w:val="none" w:sz="0" w:space="0" w:color="auto"/>
                <w:right w:val="none" w:sz="0" w:space="0" w:color="auto"/>
              </w:divBdr>
            </w:div>
          </w:divsChild>
        </w:div>
        <w:div w:id="1345204170">
          <w:marLeft w:val="0"/>
          <w:marRight w:val="0"/>
          <w:marTop w:val="0"/>
          <w:marBottom w:val="0"/>
          <w:divBdr>
            <w:top w:val="none" w:sz="0" w:space="0" w:color="auto"/>
            <w:left w:val="none" w:sz="0" w:space="0" w:color="auto"/>
            <w:bottom w:val="none" w:sz="0" w:space="0" w:color="auto"/>
            <w:right w:val="none" w:sz="0" w:space="0" w:color="auto"/>
          </w:divBdr>
          <w:divsChild>
            <w:div w:id="849754897">
              <w:marLeft w:val="0"/>
              <w:marRight w:val="0"/>
              <w:marTop w:val="0"/>
              <w:marBottom w:val="0"/>
              <w:divBdr>
                <w:top w:val="none" w:sz="0" w:space="0" w:color="auto"/>
                <w:left w:val="none" w:sz="0" w:space="0" w:color="auto"/>
                <w:bottom w:val="none" w:sz="0" w:space="0" w:color="auto"/>
                <w:right w:val="none" w:sz="0" w:space="0" w:color="auto"/>
              </w:divBdr>
            </w:div>
            <w:div w:id="187060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3.xml"/>
  <Relationship Id="rId11" Type="http://schemas.openxmlformats.org/officeDocument/2006/relationships/header" Target="header4.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88dd98f0c1545c98fc3594337a9dddd" PartId="2d556471ac7f48bbb4fdd3b15120b966">
    <Part Type="punktas" Nr="1" Abbr="1 p." DocPartId="c2a2ad14e93c47a38f229866e2cc942b" PartId="e3e40abeaaad4612af1314b745342726">
      <Part Type="citata" DocPartId="a1d12c96a1a34fd1ae525fd34cad46fc" PartId="d065dcfdc795481d96c5e11a6b27c100">
        <Part Type="pagrindine" DocPartId="df0e8c7705ed478aa97175369cce23bb" PartId="bfaf92e1c93b48a28abe467d9f0a4f38">
          <Part Type="preambule" DocPartId="c0106bf3ed9647128caa1dd2a2255d45" PartId="075f2b35d1e34b2592270198f78ddee3"/>
          <Part Type="pastraipa" DocPartId="c246cd98df5341e885c1883897a07687" PartId="dd435ac5245a4ceb85ee150be1379272"/>
          <Part Type="punktas" Nr="1" Abbr="1 p." DocPartId="c6267da582b54c0cafdf8a5bf7d51452" PartId="1e2f270611ee43bfbd2ffab8c40ce9d6"/>
          <Part Type="punktas" Nr="2" Abbr="2 p." DocPartId="4ea7ba55e2df490696ba1713df3b4d65" PartId="2b0712c6f9814e63a97fc37b5eb7db5b"/>
        </Part>
      </Part>
    </Part>
    <Part Type="punktas" Nr="2" Abbr="2 p." DocPartId="2830d775058540218a9368b6b6375f6d" PartId="bc51d9473e8c4cc3b8a34f42731fae62"/>
    <Part Type="signatura" DocPartId="105dc456498349e9a4e366fb3f4a3504" PartId="fe90c59af80f4b2e8781dd215d194f14"/>
  </Part>
  <Part Type="patvirtinta" Title="VIEŠŲJŲ ATSKIRŲJŲ ŽELDYNŲ PLOTŲ NORMOS" DocPartId="cc443f90402644bcaa7fdf6d39e043ef" PartId="5c88fe539b9847a7ac8e7e41b5e7d73d">
    <Part Type="punktas" Nr="1" Abbr="1 p." DocPartId="8d75921419b54f36aedd33e482ad61f9" PartId="9f3900b3de4f4487a6703113e905573e"/>
    <Part Type="punktas" Nr="2" Abbr="2 p." DocPartId="a091312c04a844dc860987b503fa3ead" PartId="c99cb6b896f042bfa15d1feb447c2ed8"/>
    <Part Type="punktas" Nr="3" Abbr="3 p." DocPartId="7e999c59639647049a0bceccf836ed56" PartId="8f419fa390834f91a38cc0fc6587c965"/>
    <Part Type="punktas" Nr="4" Abbr="4 p." DocPartId="b321860dd09440ca833635bc539fc885" PartId="fd77a82ebb914b349ae0996ff294bf84"/>
    <Part Type="punktas" Nr="5" Abbr="5 p." DocPartId="1b4f23808ee84f749adcfdb0a7a59759" PartId="c79babae37364a25a02803b211242474"/>
    <Part Type="pabaiga" DocPartId="045d914e5a364e948ca0d9fb670860b7" PartId="fc6694aade4a491ca7da8bb39b144b93"/>
  </Part>
  <Part Type="patvirtinta" Title="PRIKLAUSOMŲJŲ ŽELDYNŲ PLOTŲ NORMŲ APSKAIČIAVIMO TVARKOS APRAŠAS" DocPartId="5a289b140ac84fef88c87ae7f1e7f18e" PartId="5e6f912110484c3e8faa90d94029b532">
    <Part Type="punktas" Nr="1" Abbr="1 p." DocPartId="d6ee1eafc23240768fd0caae212224b9" PartId="f503f1a48a5b413f8b86b74533555268"/>
    <Part Type="punktas" Nr="2" Abbr="2 p." DocPartId="60614e205f7a4996918c850a7fe6e0c3" PartId="254f6e9f884746e19a37ca2601188a8c"/>
    <Part Type="punktas" Nr="3" Abbr="3 p." DocPartId="6b5d7c6997a947238a84eb6f259cf0d1" PartId="4ec13c4e11ad4c5f89a80f76de31e0f0"/>
    <Part Type="punktas" Nr="4" Abbr="4 p." DocPartId="d787a0a7a2374a128affce851e093a39" PartId="eb1b3d3e02a9493daa3b3215c17148dc"/>
    <Part Type="punktas" Nr="5" Abbr="5 p." DocPartId="cf1a4f12f2ba4e0399b6cc8c565f3751" PartId="83455cbc771447d883925acc17909ebc"/>
    <Part Type="punktas" Nr="6" Abbr="6 p." DocPartId="efc76b1a950e490cb5b3c10079188292" PartId="b25dfdd0260e49b9880ad38cb0761169"/>
    <Part Type="punktas" Nr="7" Abbr="7 p." DocPartId="0e9a8ba5e1df48fa85f055503d29a2ba" PartId="65d084fbd32940209d4f5cc5aae6586e"/>
    <Part Type="punktas" Nr="8" Abbr="8 p." DocPartId="45a9655b66dc47a1ae0c53d504d0ce53" PartId="09ed5f63541c45e5aebda9bd547b72ab"/>
    <Part Type="punktas" Nr="9" Abbr="9 p." DocPartId="464c6950a8b445b080963e53d53c1e1e" PartId="144ecef240fa4496ae6c9d74f7342068">
      <Part Type="papunktis" Nr="9.1" Abbr="9.1 pp." DocPartId="1611b9e6787343bfbbd9b688371d0adb" PartId="b429a1f2d67543778ed8ad86a4009a18"/>
      <Part Type="papunktis" Nr="9.2" Abbr="9.2 pp." DocPartId="bb9d5dc98ebf40b6b9e6710a6b0fc603" PartId="913957463c82497891fa96cf05d25c04"/>
    </Part>
    <Part Type="punktas" Nr="10" Abbr="10 p." DocPartId="0b2ffd0bb45e4eb584da46f6c2ba6811" PartId="a613e196a79e4fe2b843cb4cda92fa25">
      <Part Type="papunktis" Nr="10.1" Abbr="10.1 pp." DocPartId="d2782e0bffe642b9b3af07b77fa89b1f" PartId="c2830e73bdee49d589165b237d0613e7"/>
      <Part Type="papunktis" Nr="10.2" Abbr="10.2 pp." DocPartId="89858bf5ea764a97bfd0638eba79d11e" PartId="9b00d2de6f25458186bd4d3eec67ce24"/>
      <Part Type="papunktis" Nr="10.3" Abbr="10.3 pp." DocPartId="b61b6e14b7fb441a9a26bd56deb17c86" PartId="fa00cda2183248ba9868f57fffc05b9a"/>
    </Part>
    <Part Type="punktas" Nr="11" Abbr="11 p." DocPartId="1518ac1f902a43789617de08ad8e98b6" PartId="1e6dbcd45f1c46ea82b1a8e32e036d78"/>
  </Part>
  <Part Type="priedas" Abbr="pr." Title="PRIKLAUSOMŲJŲ ŽELDYNŲ PLOTŲ NORMOS" DocPartId="e13f28910b924bdcbe284da2ea57acf2" PartId="baeeb31eda95426aa747caff6ef8c6e5"/>
</Parts>
</file>

<file path=customXml/itemProps1.xml><?xml version="1.0" encoding="utf-8"?>
<ds:datastoreItem xmlns:ds="http://schemas.openxmlformats.org/officeDocument/2006/customXml" ds:itemID="{5939D213-8E3D-4E87-B2EC-3876F3770FE7}">
  <ds:schemaRefs>
    <ds:schemaRef ds:uri="http://schemas.openxmlformats.org/officeDocument/2006/bibliography"/>
  </ds:schemaRefs>
</ds:datastoreItem>
</file>

<file path=customXml/itemProps2.xml><?xml version="1.0" encoding="utf-8"?>
<ds:datastoreItem xmlns:ds="http://schemas.openxmlformats.org/officeDocument/2006/customXml" ds:itemID="{E5E3147A-D1D2-4F7E-AC40-9188CAE6323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1293</Words>
  <Characters>8640</Characters>
  <Application>Microsoft Office Word</Application>
  <DocSecurity>4</DocSecurity>
  <Lines>454</Lines>
  <Paragraphs>171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9762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2022-03-10T07:44:00Z</dcterms:created>
  <dc:creator>Mindaugas Žolynas</dc:creator>
  <lastModifiedBy>adlibuser</lastModifiedBy>
  <dcterms:modified xsi:type="dcterms:W3CDTF">2022-03-10T07:44:00Z</dcterms:modified>
  <revision>2</revision>
</coreProperties>
</file>