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fa13e8cafb4131a67689fc4bf8b9d2"/>
        <w:lock w:val="sdtLocked"/>
        <w:richText/>
      </w:sdtPr>
      <w:sdtContent>
        <w:p w14:paraId="36CA6455" w14:textId="77777777">
          <w:pPr>
            <w:tabs>
              <w:tab w:val="center" w:pos="4153"/>
              <w:tab w:val="right" w:pos="8306"/>
            </w:tabs>
            <w:rPr>
              <w:szCs w:val="24"/>
              <w:lang w:val="lt" w:eastAsia="lt-LT"/>
            </w:rPr>
          </w:pPr>
        </w:p>
        <w:p w14:paraId="00000002" w14:textId="6633D485">
          <w:pPr>
            <w:tabs>
              <w:tab w:val="center" w:pos="4153"/>
              <w:tab w:val="left" w:pos="7513"/>
              <w:tab w:val="right" w:pos="8306"/>
            </w:tabs>
            <w:jc w:val="center"/>
            <w:rPr>
              <w:b/>
              <w:sz w:val="23"/>
              <w:szCs w:val="23"/>
              <w:lang w:val="lt" w:eastAsia="lt-LT"/>
            </w:rPr>
          </w:pPr>
          <w:r>
            <w:rPr>
              <w:b/>
              <w:sz w:val="23"/>
              <w:szCs w:val="23"/>
              <w:lang w:val="lt" w:eastAsia="lt-LT"/>
            </w:rPr>
            <w:tab/>
            <w:t xml:space="preserve">                                                                                      Projektas</w:t>
          </w:r>
        </w:p>
        <w:p w14:paraId="00000003" w14:textId="77777777">
          <w:pPr>
            <w:tabs>
              <w:tab w:val="center" w:pos="4153"/>
              <w:tab w:val="right" w:pos="8306"/>
            </w:tabs>
            <w:jc w:val="right"/>
            <w:rPr>
              <w:b/>
              <w:sz w:val="23"/>
              <w:szCs w:val="23"/>
              <w:lang w:val="lt" w:eastAsia="lt-LT"/>
            </w:rPr>
          </w:pPr>
        </w:p>
        <w:p w14:paraId="00000004" w14:textId="77777777">
          <w:pPr>
            <w:tabs>
              <w:tab w:val="center" w:pos="4153"/>
              <w:tab w:val="right" w:pos="8306"/>
            </w:tabs>
            <w:jc w:val="right"/>
            <w:rPr>
              <w:b/>
              <w:sz w:val="23"/>
              <w:szCs w:val="23"/>
              <w:lang w:val="lt" w:eastAsia="lt-LT"/>
            </w:rPr>
          </w:pPr>
        </w:p>
        <w:p w14:paraId="00000005" w14:textId="77777777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b/>
              <w:color w:val="000000"/>
              <w:sz w:val="23"/>
              <w:szCs w:val="23"/>
              <w:lang w:val="lt" w:eastAsia="lt-LT"/>
            </w:rPr>
          </w:pPr>
          <w:r>
            <w:rPr>
              <w:b/>
              <w:color w:val="000000"/>
              <w:sz w:val="23"/>
              <w:szCs w:val="23"/>
              <w:lang w:val="lt" w:eastAsia="lt-LT"/>
            </w:rPr>
            <w:t>LIETUVOS RESPUBLIKOS</w:t>
          </w:r>
        </w:p>
        <w:p w14:paraId="00000006" w14:textId="77777777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57"/>
            <w:jc w:val="center"/>
            <w:rPr>
              <w:color w:val="000000"/>
              <w:sz w:val="23"/>
              <w:szCs w:val="23"/>
              <w:lang w:val="lt" w:eastAsia="lt-LT"/>
            </w:rPr>
          </w:pPr>
          <w:r>
            <w:rPr>
              <w:b/>
              <w:color w:val="000000"/>
              <w:sz w:val="23"/>
              <w:szCs w:val="23"/>
              <w:lang w:val="lt" w:eastAsia="lt-LT"/>
            </w:rPr>
            <w:t>INFORMACINĖS VISUOMENĖS PASLAUGŲ ĮSTATYMO Nr. X-614 PAPILDYMO</w:t>
          </w:r>
        </w:p>
        <w:p w14:paraId="00000007" w14:textId="77777777">
          <w:pPr>
            <w:pBdr>
              <w:top w:val="nil"/>
              <w:left w:val="nil"/>
              <w:bottom w:val="nil"/>
              <w:right w:val="nil"/>
              <w:between w:val="nil"/>
            </w:pBdr>
            <w:ind w:firstLine="57"/>
            <w:jc w:val="center"/>
            <w:rPr>
              <w:color w:val="000000"/>
              <w:sz w:val="23"/>
              <w:szCs w:val="23"/>
              <w:lang w:val="lt" w:eastAsia="lt-LT"/>
            </w:rPr>
          </w:pPr>
          <w:r>
            <w:rPr>
              <w:b/>
              <w:color w:val="000000"/>
              <w:sz w:val="23"/>
              <w:szCs w:val="23"/>
              <w:lang w:val="lt" w:eastAsia="lt-LT"/>
            </w:rPr>
            <w:t>15</w:t>
          </w:r>
          <w:r>
            <w:rPr>
              <w:b/>
              <w:color w:val="000000"/>
              <w:sz w:val="23"/>
              <w:szCs w:val="23"/>
              <w:vertAlign w:val="superscript"/>
              <w:lang w:val="lt" w:eastAsia="lt-LT"/>
            </w:rPr>
            <w:t xml:space="preserve">1  </w:t>
          </w:r>
          <w:r>
            <w:rPr>
              <w:b/>
              <w:color w:val="000000"/>
              <w:sz w:val="23"/>
              <w:szCs w:val="23"/>
              <w:lang w:val="lt" w:eastAsia="lt-LT"/>
            </w:rPr>
            <w:t xml:space="preserve">STRAIPSNIU </w:t>
          </w:r>
        </w:p>
        <w:p w14:paraId="00000008" w14:textId="77777777">
          <w:pPr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b/>
              <w:color w:val="000000"/>
              <w:sz w:val="23"/>
              <w:szCs w:val="23"/>
              <w:lang w:val="lt" w:eastAsia="lt-LT"/>
            </w:rPr>
          </w:pPr>
          <w:r>
            <w:rPr>
              <w:b/>
              <w:color w:val="000000"/>
              <w:sz w:val="23"/>
              <w:szCs w:val="23"/>
              <w:lang w:val="lt" w:eastAsia="lt-LT"/>
            </w:rPr>
            <w:t>ĮSTATYMAS</w:t>
          </w:r>
        </w:p>
        <w:p w14:paraId="00000009" w14:textId="77777777">
          <w:pPr>
            <w:ind w:firstLine="708"/>
            <w:jc w:val="center"/>
            <w:rPr>
              <w:sz w:val="23"/>
              <w:szCs w:val="23"/>
              <w:lang w:val="lt" w:eastAsia="lt-LT"/>
            </w:rPr>
          </w:pPr>
        </w:p>
        <w:p w14:paraId="0000000A" w14:textId="61945413">
          <w:pPr>
            <w:ind w:firstLine="708"/>
            <w:jc w:val="center"/>
            <w:rPr>
              <w:sz w:val="23"/>
              <w:szCs w:val="23"/>
              <w:lang w:val="lt" w:eastAsia="lt-LT"/>
            </w:rPr>
          </w:pPr>
          <w:r>
            <w:rPr>
              <w:sz w:val="23"/>
              <w:szCs w:val="23"/>
              <w:lang w:val="lt" w:eastAsia="lt-LT"/>
            </w:rPr>
            <w:t xml:space="preserve">2025 m.             d.  Nr. </w:t>
          </w:r>
        </w:p>
        <w:p w14:paraId="0000000B" w14:textId="77777777">
          <w:pPr>
            <w:ind w:firstLine="708"/>
            <w:jc w:val="center"/>
            <w:rPr>
              <w:sz w:val="23"/>
              <w:szCs w:val="23"/>
              <w:lang w:val="lt" w:eastAsia="lt-LT"/>
            </w:rPr>
          </w:pPr>
          <w:r>
            <w:rPr>
              <w:sz w:val="23"/>
              <w:szCs w:val="23"/>
              <w:lang w:val="lt" w:eastAsia="lt-LT"/>
            </w:rPr>
            <w:t>Vilnius</w:t>
          </w:r>
        </w:p>
        <w:p w14:paraId="0000000C" w14:textId="77777777">
          <w:pPr>
            <w:ind w:firstLine="708"/>
            <w:jc w:val="center"/>
            <w:rPr>
              <w:sz w:val="23"/>
              <w:szCs w:val="23"/>
              <w:lang w:val="lt" w:eastAsia="lt-LT"/>
            </w:rPr>
          </w:pPr>
        </w:p>
        <w:p w14:paraId="0000000D" w14:textId="77777777">
          <w:pPr>
            <w:ind w:left="2563" w:hanging="1843"/>
            <w:jc w:val="both"/>
            <w:rPr>
              <w:b/>
              <w:sz w:val="23"/>
              <w:szCs w:val="23"/>
              <w:lang w:val="lt" w:eastAsia="lt-LT"/>
            </w:rPr>
          </w:pPr>
        </w:p>
        <w:sdt>
          <w:sdtPr>
            <w:alias w:val="1 str."/>
            <w:tag w:val="part_1cb3797ec6eb402796d49349c657ae07"/>
            <w:lock w:val="sdtLocked"/>
            <w:richText/>
          </w:sdtPr>
          <w:sdtContent>
            <w:p w14:paraId="0000000E" w14:textId="77777777">
              <w:pPr>
                <w:ind w:firstLine="720"/>
                <w:jc w:val="both"/>
                <w:rPr>
                  <w:b/>
                  <w:sz w:val="23"/>
                  <w:szCs w:val="23"/>
                  <w:lang w:val="lt" w:eastAsia="lt-LT"/>
                </w:rPr>
              </w:pPr>
              <w:sdt>
                <w:sdtPr>
                  <w:alias w:val="Numeris"/>
                  <w:tag w:val="nr_1cb3797ec6eb402796d49349c657ae07"/>
                  <w:lock w:val="sdtLocked"/>
                  <w:richText/>
                </w:sdtPr>
                <w:sdtContent>
                  <w:r>
                    <w:rPr>
                      <w:b/>
                      <w:sz w:val="23"/>
                      <w:szCs w:val="23"/>
                      <w:lang w:val="lt" w:eastAsia="lt-LT"/>
                    </w:rPr>
                    <w:t>1</w:t>
                  </w:r>
                </w:sdtContent>
              </w:sdt>
              <w:r>
                <w:rPr>
                  <w:b/>
                  <w:sz w:val="23"/>
                  <w:szCs w:val="23"/>
                  <w:lang w:val="lt" w:eastAsia="lt-LT"/>
                </w:rPr>
                <w:t xml:space="preserve"> straipsnis. </w:t>
              </w:r>
              <w:sdt>
                <w:sdtPr>
                  <w:alias w:val="Pavadinimas"/>
                  <w:tag w:val="title_1cb3797ec6eb402796d49349c657ae07"/>
                  <w:lock w:val="sdtLocked"/>
                  <w:richText/>
                </w:sdtPr>
                <w:sdtContent>
                  <w:r>
                    <w:rPr>
                      <w:b/>
                      <w:sz w:val="23"/>
                      <w:szCs w:val="23"/>
                      <w:lang w:val="lt" w:eastAsia="lt-LT"/>
                    </w:rPr>
                    <w:t>Įstatymo papildymas 15</w:t>
                  </w:r>
                  <w:r>
                    <w:rPr>
                      <w:b/>
                      <w:sz w:val="23"/>
                      <w:szCs w:val="23"/>
                      <w:vertAlign w:val="superscript"/>
                      <w:lang w:val="lt" w:eastAsia="lt-LT"/>
                    </w:rPr>
                    <w:t xml:space="preserve">1 </w:t>
                  </w:r>
                  <w:r>
                    <w:rPr>
                      <w:b/>
                      <w:sz w:val="23"/>
                      <w:szCs w:val="23"/>
                      <w:lang w:val="lt" w:eastAsia="lt-LT"/>
                    </w:rPr>
                    <w:t>straipsniu</w:t>
                  </w:r>
                </w:sdtContent>
              </w:sdt>
            </w:p>
            <w:sdt>
              <w:sdtPr>
                <w:alias w:val="1 str. 1 d."/>
                <w:tag w:val="part_908bb2ca829f4b92b47432e295bf75a2"/>
                <w:lock w:val="sdtLocked"/>
                <w:richText/>
              </w:sdtPr>
              <w:sdtContent>
                <w:p w14:paraId="0000000F" w14:textId="77777777">
                  <w:pPr>
                    <w:ind w:firstLine="720"/>
                    <w:jc w:val="both"/>
                    <w:rPr>
                      <w:sz w:val="23"/>
                      <w:szCs w:val="23"/>
                      <w:lang w:val="lt" w:eastAsia="lt-LT"/>
                    </w:rPr>
                  </w:pPr>
                  <w:r>
                    <w:rPr>
                      <w:sz w:val="23"/>
                      <w:szCs w:val="23"/>
                      <w:lang w:val="lt" w:eastAsia="lt-LT"/>
                    </w:rPr>
                    <w:t>Papildyti Įstatymą 15</w:t>
                  </w:r>
                  <w:r>
                    <w:rPr>
                      <w:sz w:val="23"/>
                      <w:szCs w:val="23"/>
                      <w:vertAlign w:val="superscript"/>
                      <w:lang w:val="lt" w:eastAsia="lt-LT"/>
                    </w:rPr>
                    <w:t>1</w:t>
                  </w:r>
                  <w:r>
                    <w:rPr>
                      <w:sz w:val="23"/>
                      <w:szCs w:val="23"/>
                      <w:lang w:val="lt"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23e3eadd5ecc4fd2afbd3986ebda164a"/>
                    <w:lock w:val="sdtLocked"/>
                    <w:richText/>
                  </w:sdtPr>
                  <w:sdtContent>
                    <w:sdt>
                      <w:sdtPr>
                        <w:alias w:val="skirsnis"/>
                        <w:tag w:val="part_e3f58c5be7054de6a4734251fd44f1bd"/>
                        <w:lock w:val="sdtLocked"/>
                        <w:richText/>
                      </w:sdtPr>
                      <w:sdtContent>
                        <w:p w14:paraId="00000010" w14:textId="77777777">
                          <w:pPr>
                            <w:ind w:firstLine="720"/>
                            <w:jc w:val="both"/>
                            <w:rPr>
                              <w:b/>
                              <w:sz w:val="23"/>
                              <w:szCs w:val="23"/>
                              <w:lang w:val="lt" w:eastAsia="lt-LT"/>
                            </w:rPr>
                          </w:pPr>
                          <w:r>
                            <w:rPr>
                              <w:b/>
                              <w:sz w:val="23"/>
                              <w:szCs w:val="23"/>
                              <w:lang w:val="lt" w:eastAsia="lt-LT"/>
                            </w:rPr>
                            <w:t>„</w:t>
                          </w:r>
                          <w:sdt>
                            <w:sdtPr>
                              <w:alias w:val="Pavadinimas"/>
                              <w:tag w:val="title_e3f58c5be7054de6a4734251fd44f1b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 w:val="23"/>
                                  <w:szCs w:val="23"/>
                                  <w:lang w:val="lt" w:eastAsia="lt-LT"/>
                                </w:rPr>
                                <w:t>15¹ straipsnis. Informacinės visuomenės paslaugų teikėjų atsakomybė dėl melagingos informacijos sklaidos</w:t>
                              </w:r>
                            </w:sdtContent>
                          </w:sdt>
                        </w:p>
                        <w:sdt>
                          <w:sdtPr>
                            <w:alias w:val="1 d."/>
                            <w:tag w:val="part_b002e0b3495f4c018658a7f13abf7a7b"/>
                            <w:lock w:val="sdtLocked"/>
                            <w:richText/>
                          </w:sdtPr>
                          <w:sdtContent>
                            <w:p w14:paraId="00000011" w14:textId="3C884C0B">
                              <w:pPr>
                                <w:pBdr>
                                  <w:top w:val="nil"/>
                                  <w:left w:val="nil"/>
                                  <w:bottom w:val="nil"/>
                                  <w:right w:val="nil"/>
                                  <w:between w:val="nil"/>
                                </w:pBdr>
                                <w:ind w:left="720" w:hanging="360"/>
                                <w:jc w:val="both"/>
                                <w:rPr>
                                  <w:color w:val="000000"/>
                                  <w:sz w:val="23"/>
                                  <w:szCs w:val="23"/>
                                  <w:lang w:val="lt"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002e0b3495f4c018658a7f13abf7a7b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 w:val="23"/>
                                      <w:szCs w:val="23"/>
                                      <w:lang w:val="lt"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 w:val="23"/>
                                  <w:szCs w:val="23"/>
                                  <w:lang w:val="lt" w:eastAsia="lt-LT"/>
                                </w:rPr>
                                <w:t>.</w:t>
                                <w:tab/>
                                <w:t xml:space="preserve">Informacinės visuomenės paslaugų teikėjai, teikiantys socialinių tinklų, vaizdo platformų ar naujienų agregatorių paslaugas, </w:t>
                              </w:r>
                              <w:r>
                                <w:rPr>
                                  <w:sz w:val="23"/>
                                  <w:szCs w:val="23"/>
                                  <w:lang w:val="lt" w:eastAsia="lt-LT"/>
                                </w:rPr>
                                <w:t>privalo taikyti veiksmingas technines ir organizacines priemones pašalindami valstybės institucijų nurodytą informaciją arba panaikindami galimybę tokią informaciją pasiekti.</w:t>
                              </w:r>
                            </w:p>
                            <w:p w14:paraId="00000012" w14:textId="77777777">
                              <w:pPr>
                                <w:pBdr>
                                  <w:top w:val="nil"/>
                                  <w:left w:val="nil"/>
                                  <w:bottom w:val="nil"/>
                                  <w:right w:val="nil"/>
                                  <w:between w:val="nil"/>
                                </w:pBdr>
                                <w:jc w:val="both"/>
                                <w:rPr>
                                  <w:color w:val="000000"/>
                                  <w:sz w:val="23"/>
                                  <w:szCs w:val="23"/>
                                  <w:lang w:val="lt" w:eastAsia="lt-LT"/>
                                </w:rPr>
                              </w:pPr>
                            </w:p>
                          </w:sdtContent>
                        </w:sdt>
                        <w:sdt>
                          <w:sdtPr>
                            <w:alias w:val="2 d."/>
                            <w:tag w:val="part_b3a9e0cb83f04a0da708938fe21eea7f"/>
                            <w:lock w:val="sdtLocked"/>
                            <w:richText/>
                          </w:sdtPr>
                          <w:sdtContent>
                            <w:p w14:paraId="00000013" w14:textId="3C0C3CE1">
                              <w:pPr>
                                <w:pBdr>
                                  <w:top w:val="nil"/>
                                  <w:left w:val="nil"/>
                                  <w:bottom w:val="nil"/>
                                  <w:right w:val="nil"/>
                                  <w:between w:val="nil"/>
                                </w:pBdr>
                                <w:ind w:left="720" w:hanging="360"/>
                                <w:jc w:val="both"/>
                                <w:rPr>
                                  <w:color w:val="000000"/>
                                  <w:sz w:val="23"/>
                                  <w:szCs w:val="23"/>
                                  <w:lang w:val="lt"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3a9e0cb83f04a0da708938fe21eea7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 w:val="23"/>
                                      <w:szCs w:val="23"/>
                                      <w:lang w:val="lt"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 w:val="23"/>
                                  <w:szCs w:val="23"/>
                                  <w:lang w:val="lt" w:eastAsia="lt-LT"/>
                                </w:rPr>
                                <w:t>.</w:t>
                                <w:tab/>
                                <w:t>Pažeidėjams taikomos administracinės sankcijos Lietuvos Respublikos administracinių nusižengimų kodekse nustatyta tvarka.“</w:t>
                              </w:r>
                            </w:p>
                            <w:p w14:paraId="00000014" w14:textId="77777777">
                              <w:pPr>
                                <w:pBdr>
                                  <w:top w:val="nil"/>
                                  <w:left w:val="nil"/>
                                  <w:bottom w:val="nil"/>
                                  <w:right w:val="nil"/>
                                  <w:between w:val="nil"/>
                                </w:pBdr>
                                <w:ind w:left="720"/>
                                <w:rPr>
                                  <w:color w:val="000000"/>
                                  <w:sz w:val="23"/>
                                  <w:szCs w:val="23"/>
                                  <w:lang w:val="lt"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9210605e637463690adfdf6f051ca20"/>
            <w:lock w:val="sdtLocked"/>
            <w:richText/>
          </w:sdtPr>
          <w:sdtContent>
            <w:p w14:paraId="00000015" w14:textId="77777777">
              <w:pPr>
                <w:pBdr>
                  <w:top w:val="nil"/>
                  <w:left w:val="nil"/>
                  <w:bottom w:val="nil"/>
                  <w:right w:val="nil"/>
                  <w:between w:val="nil"/>
                </w:pBdr>
                <w:ind w:left="720"/>
                <w:jc w:val="both"/>
                <w:rPr>
                  <w:b/>
                  <w:color w:val="000000"/>
                  <w:sz w:val="23"/>
                  <w:szCs w:val="23"/>
                  <w:lang w:val="lt" w:eastAsia="lt-LT"/>
                </w:rPr>
              </w:pPr>
              <w:sdt>
                <w:sdtPr>
                  <w:alias w:val="Numeris"/>
                  <w:tag w:val="nr_59210605e637463690adfdf6f051ca2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 w:val="23"/>
                      <w:szCs w:val="23"/>
                      <w:lang w:val="lt"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 w:val="23"/>
                  <w:szCs w:val="23"/>
                  <w:lang w:val="lt" w:eastAsia="lt-LT"/>
                </w:rPr>
                <w:t xml:space="preserve"> straipsnis. </w:t>
              </w:r>
              <w:sdt>
                <w:sdtPr>
                  <w:alias w:val="Pavadinimas"/>
                  <w:tag w:val="title_59210605e637463690adfdf6f051ca20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 w:val="23"/>
                      <w:szCs w:val="23"/>
                      <w:lang w:val="lt"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fed17efc145456891709b57c43ee6d7"/>
                <w:lock w:val="sdtLocked"/>
                <w:richText/>
              </w:sdtPr>
              <w:sdtContent>
                <w:p w14:paraId="00000016" w14:textId="77777777">
                  <w:pPr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ind w:left="720"/>
                    <w:jc w:val="both"/>
                    <w:rPr>
                      <w:b/>
                      <w:color w:val="000000"/>
                      <w:sz w:val="23"/>
                      <w:szCs w:val="23"/>
                      <w:lang w:val="lt" w:eastAsia="lt-LT"/>
                    </w:rPr>
                  </w:pPr>
                  <w:r>
                    <w:rPr>
                      <w:sz w:val="23"/>
                      <w:szCs w:val="23"/>
                      <w:lang w:val="lt" w:eastAsia="lt-LT"/>
                    </w:rPr>
                    <w:t xml:space="preserve">Šis įstatymas įsigalioja 2026 m. birželio 1 d. </w:t>
                  </w:r>
                </w:p>
                <w:p w14:paraId="00000017" w14:textId="77777777">
                  <w:pPr>
                    <w:rPr>
                      <w:b/>
                      <w:i/>
                      <w:sz w:val="23"/>
                      <w:szCs w:val="23"/>
                      <w:lang w:val="lt" w:eastAsia="lt-LT"/>
                    </w:rPr>
                  </w:pPr>
                </w:p>
                <w:p w14:paraId="00000018" w14:textId="77777777">
                  <w:pPr>
                    <w:rPr>
                      <w:i/>
                      <w:sz w:val="23"/>
                      <w:szCs w:val="23"/>
                      <w:lang w:val="lt" w:eastAsia="lt-LT"/>
                    </w:rPr>
                  </w:pPr>
                </w:p>
                <w:p w14:paraId="00000019" w14:textId="77777777">
                  <w:pPr>
                    <w:rPr>
                      <w:i/>
                      <w:sz w:val="23"/>
                      <w:szCs w:val="23"/>
                      <w:lang w:val="lt"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4085c33b65a423f876985e232b555b8"/>
            <w:lock w:val="sdtLocked"/>
            <w:richText/>
          </w:sdtPr>
          <w:sdtContent>
            <w:p w14:paraId="0000001A" w14:textId="77777777">
              <w:pPr>
                <w:rPr>
                  <w:i/>
                  <w:sz w:val="23"/>
                  <w:szCs w:val="23"/>
                  <w:lang w:val="lt" w:eastAsia="lt-LT"/>
                </w:rPr>
              </w:pPr>
              <w:r>
                <w:rPr>
                  <w:i/>
                  <w:sz w:val="23"/>
                  <w:szCs w:val="23"/>
                  <w:lang w:val="lt" w:eastAsia="lt-LT"/>
                </w:rPr>
                <w:t>Skelbiu šį Lietuvos Respublikos Seimo priimtą įstatymą</w:t>
              </w:r>
            </w:p>
            <w:p w14:paraId="0000001B" w14:textId="77777777">
              <w:pPr>
                <w:rPr>
                  <w:i/>
                  <w:sz w:val="23"/>
                  <w:szCs w:val="23"/>
                  <w:lang w:val="lt" w:eastAsia="lt-LT"/>
                </w:rPr>
              </w:pPr>
            </w:p>
            <w:p w14:paraId="0000001C" w14:textId="77777777">
              <w:pPr>
                <w:rPr>
                  <w:sz w:val="23"/>
                  <w:szCs w:val="23"/>
                  <w:lang w:val="lt" w:eastAsia="lt-LT"/>
                </w:rPr>
              </w:pPr>
              <w:r>
                <w:rPr>
                  <w:sz w:val="23"/>
                  <w:szCs w:val="23"/>
                  <w:lang w:val="lt" w:eastAsia="lt-LT"/>
                </w:rPr>
                <w:t>Respublikos Prezidentas</w:t>
              </w:r>
            </w:p>
            <w:p w14:paraId="0000001D" w14:textId="77777777">
              <w:pPr>
                <w:rPr>
                  <w:i/>
                  <w:sz w:val="23"/>
                  <w:szCs w:val="23"/>
                  <w:lang w:val="lt" w:eastAsia="lt-LT"/>
                </w:rPr>
              </w:pPr>
            </w:p>
            <w:p w14:paraId="0000001E" w14:textId="77777777">
              <w:pPr>
                <w:rPr>
                  <w:sz w:val="23"/>
                  <w:szCs w:val="23"/>
                  <w:lang w:val="lt" w:eastAsia="lt-LT"/>
                </w:rPr>
              </w:pPr>
              <w:r>
                <w:rPr>
                  <w:sz w:val="23"/>
                  <w:szCs w:val="23"/>
                  <w:lang w:val="lt" w:eastAsia="lt-LT"/>
                </w:rPr>
                <w:t xml:space="preserve">Teikia </w:t>
              </w:r>
            </w:p>
            <w:p w14:paraId="0000001F" w14:textId="77777777">
              <w:pPr>
                <w:rPr>
                  <w:sz w:val="23"/>
                  <w:szCs w:val="23"/>
                  <w:lang w:val="lt" w:eastAsia="lt-LT"/>
                </w:rPr>
              </w:pPr>
              <w:r>
                <w:rPr>
                  <w:sz w:val="23"/>
                  <w:szCs w:val="23"/>
                  <w:lang w:val="lt" w:eastAsia="lt-LT"/>
                </w:rPr>
                <w:t>Seimo narys</w:t>
              </w:r>
            </w:p>
            <w:p w14:paraId="5065E006" w14:textId="77777777">
              <w:pPr>
                <w:rPr>
                  <w:sz w:val="23"/>
                  <w:szCs w:val="23"/>
                  <w:lang w:val="lt" w:eastAsia="lt-LT"/>
                </w:rPr>
              </w:pPr>
            </w:p>
            <w:p w14:paraId="59D1FC8D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Daiva Ulbinaitė</w:t>
              </w:r>
            </w:p>
            <w:p w14:paraId="67D2A58E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Ingrida Šimonytė</w:t>
              </w:r>
            </w:p>
            <w:p w14:paraId="17262DDA" w14:textId="2515A261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Dalia Asanavičiūtė-Gružauskienė</w:t>
              </w:r>
            </w:p>
            <w:p w14:paraId="2EB9C1F0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Audrius Petrošius</w:t>
              </w:r>
            </w:p>
            <w:p w14:paraId="2751E171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Šarūnas Birutis</w:t>
              </w:r>
            </w:p>
            <w:p w14:paraId="0B4269F2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Vaida Aleknavičienė</w:t>
              </w:r>
            </w:p>
            <w:p w14:paraId="0DE71DBE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Ruslanas Baranovas</w:t>
              </w:r>
            </w:p>
            <w:p w14:paraId="766CB7AB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Orinta Leiputė</w:t>
              </w:r>
            </w:p>
            <w:p w14:paraId="43CF1D6C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Jevgenij Šuklin</w:t>
              </w:r>
            </w:p>
            <w:p w14:paraId="5AB36D2D" w14:textId="5C804012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Raimondas Kuodis</w:t>
              </w:r>
            </w:p>
            <w:p w14:paraId="4B9AC8D5" w14:textId="3F26E601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Vytautas Juozapaitis</w:t>
              </w:r>
            </w:p>
            <w:p w14:paraId="0C40BCDB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Vytautas Kernagis</w:t>
              </w:r>
            </w:p>
            <w:p w14:paraId="2A99CBF1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Kęstutis Vilkauskas</w:t>
              </w:r>
            </w:p>
            <w:p w14:paraId="2FF03160" w14:textId="195E88D1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Vitalijus Gailius</w:t>
              </w:r>
            </w:p>
            <w:p w14:paraId="2CA30AFD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Mindaugas Lingė</w:t>
              </w:r>
            </w:p>
            <w:p w14:paraId="05E960F5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Laurynas Kasčiūnas</w:t>
              </w:r>
            </w:p>
            <w:p w14:paraId="653950B2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Juozas Olekas</w:t>
              </w:r>
            </w:p>
            <w:p w14:paraId="62D9B79F" w14:textId="77777777">
              <w:pPr>
                <w:rPr>
                  <w:color w:val="000000"/>
                  <w:sz w:val="23"/>
                  <w:szCs w:val="23"/>
                  <w:lang w:eastAsia="lt-LT"/>
                </w:rPr>
              </w:pPr>
              <w:r>
                <w:rPr>
                  <w:color w:val="000000"/>
                  <w:sz w:val="23"/>
                  <w:szCs w:val="23"/>
                  <w:lang w:eastAsia="lt-LT"/>
                </w:rPr>
                <w:t>Lukas Savickas                 </w:t>
              </w:r>
            </w:p>
            <w:p w14:paraId="6F502CAE" w14:textId="77777777">
              <w:pPr>
                <w:rPr>
                  <w:sz w:val="23"/>
                  <w:szCs w:val="23"/>
                  <w:lang w:val="lt"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A732E8" w14:textId="77777777">
      <w:pPr>
        <w:rPr>
          <w:szCs w:val="24"/>
          <w:lang w:val="lt" w:eastAsia="lt-LT"/>
        </w:rPr>
      </w:pPr>
      <w:r>
        <w:rPr>
          <w:szCs w:val="24"/>
          <w:lang w:val="lt" w:eastAsia="lt-LT"/>
        </w:rPr>
        <w:separator/>
      </w:r>
    </w:p>
  </w:endnote>
  <w:endnote w:type="continuationSeparator" w:id="0">
    <w:p w14:paraId="3B85EFB5" w14:textId="77777777">
      <w:pPr>
        <w:rPr>
          <w:szCs w:val="24"/>
          <w:lang w:val="lt" w:eastAsia="lt-LT"/>
        </w:rPr>
      </w:pPr>
      <w:r>
        <w:rPr>
          <w:szCs w:val="24"/>
          <w:lang w:val="lt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  <w:embedRegular r:id="rId1" w:fontKey="{CB17F04A-20A9-472A-A3ED-136CD0D32697}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  <w:embedRegular r:id="rId2" w:fontKey="{5F334EAE-6B23-43A0-8618-1DBD4ED2290A}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25" w14:textId="77777777">
    <w:pPr>
      <w:tabs>
        <w:tab w:val="center" w:pos="4819"/>
        <w:tab w:val="right" w:pos="9638"/>
      </w:tabs>
      <w:rPr>
        <w:szCs w:val="24"/>
        <w:lang w:val="lt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26" w14:textId="77777777">
    <w:pPr>
      <w:tabs>
        <w:tab w:val="center" w:pos="4819"/>
        <w:tab w:val="right" w:pos="9638"/>
      </w:tabs>
      <w:rPr>
        <w:szCs w:val="24"/>
        <w:lang w:val="lt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27" w14:textId="77777777">
    <w:pPr>
      <w:tabs>
        <w:tab w:val="center" w:pos="4819"/>
        <w:tab w:val="right" w:pos="9638"/>
      </w:tabs>
      <w:rPr>
        <w:szCs w:val="24"/>
        <w:lang w:val="lt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73559B" w14:textId="77777777">
      <w:pPr>
        <w:rPr>
          <w:szCs w:val="24"/>
          <w:lang w:val="lt" w:eastAsia="lt-LT"/>
        </w:rPr>
      </w:pPr>
      <w:r>
        <w:rPr>
          <w:szCs w:val="24"/>
          <w:lang w:val="lt" w:eastAsia="lt-LT"/>
        </w:rPr>
        <w:separator/>
      </w:r>
    </w:p>
  </w:footnote>
  <w:footnote w:type="continuationSeparator" w:id="0">
    <w:p w14:paraId="5E8F4999" w14:textId="77777777">
      <w:pPr>
        <w:rPr>
          <w:szCs w:val="24"/>
          <w:lang w:val="lt" w:eastAsia="lt-LT"/>
        </w:rPr>
      </w:pPr>
      <w:r>
        <w:rPr>
          <w:szCs w:val="24"/>
          <w:lang w:val="lt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20" w14:textId="77777777">
    <w:pPr>
      <w:tabs>
        <w:tab w:val="center" w:pos="4153"/>
        <w:tab w:val="right" w:pos="8306"/>
      </w:tabs>
      <w:jc w:val="center"/>
      <w:rPr>
        <w:szCs w:val="24"/>
        <w:lang w:val="lt" w:eastAsia="lt-LT"/>
      </w:rPr>
    </w:pPr>
    <w:r>
      <w:rPr>
        <w:szCs w:val="24"/>
        <w:lang w:val="lt" w:eastAsia="lt-LT"/>
      </w:rPr>
      <w:fldChar w:fldCharType="begin"/>
    </w:r>
    <w:r>
      <w:rPr>
        <w:szCs w:val="24"/>
        <w:lang w:val="lt" w:eastAsia="lt-LT"/>
      </w:rPr>
      <w:instrText>PAGE</w:instrText>
    </w:r>
    <w:r>
      <w:rPr>
        <w:szCs w:val="24"/>
        <w:lang w:val="lt" w:eastAsia="lt-LT"/>
      </w:rPr>
      <w:fldChar w:fldCharType="end"/>
    </w:r>
  </w:p>
  <w:p w14:paraId="00000021" w14:textId="77777777">
    <w:pPr>
      <w:tabs>
        <w:tab w:val="center" w:pos="4153"/>
        <w:tab w:val="right" w:pos="8306"/>
      </w:tabs>
      <w:rPr>
        <w:szCs w:val="24"/>
        <w:lang w:val="lt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22" w14:textId="77777777">
    <w:pPr>
      <w:tabs>
        <w:tab w:val="center" w:pos="4153"/>
        <w:tab w:val="right" w:pos="8306"/>
      </w:tabs>
      <w:jc w:val="center"/>
      <w:rPr>
        <w:szCs w:val="24"/>
        <w:lang w:val="lt" w:eastAsia="lt-LT"/>
      </w:rPr>
    </w:pPr>
    <w:r>
      <w:rPr>
        <w:szCs w:val="24"/>
        <w:lang w:val="lt" w:eastAsia="lt-LT"/>
      </w:rPr>
      <w:fldChar w:fldCharType="begin"/>
    </w:r>
    <w:r>
      <w:rPr>
        <w:szCs w:val="24"/>
        <w:lang w:val="lt" w:eastAsia="lt-LT"/>
      </w:rPr>
      <w:instrText>PAGE</w:instrText>
    </w:r>
    <w:r>
      <w:rPr>
        <w:szCs w:val="24"/>
        <w:lang w:val="lt" w:eastAsia="lt-LT"/>
      </w:rPr>
      <w:fldChar w:fldCharType="separate"/>
    </w:r>
    <w:r>
      <w:rPr>
        <w:szCs w:val="24"/>
        <w:lang w:val="lt" w:eastAsia="lt-LT"/>
      </w:rPr>
      <w:t>2</w:t>
    </w:r>
    <w:r>
      <w:rPr>
        <w:szCs w:val="24"/>
        <w:lang w:val="lt" w:eastAsia="lt-LT"/>
      </w:rPr>
      <w:fldChar w:fldCharType="end"/>
    </w:r>
  </w:p>
  <w:p w14:paraId="00000023" w14:textId="77777777">
    <w:pPr>
      <w:tabs>
        <w:tab w:val="center" w:pos="4153"/>
        <w:tab w:val="right" w:pos="8306"/>
      </w:tabs>
      <w:rPr>
        <w:szCs w:val="24"/>
        <w:lang w:val="lt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24" w14:textId="77777777">
    <w:pPr>
      <w:tabs>
        <w:tab w:val="center" w:pos="4986"/>
        <w:tab w:val="right" w:pos="9972"/>
      </w:tabs>
      <w:rPr>
        <w:szCs w:val="24"/>
        <w:lang w:val="lt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TrueType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BA3BE32-D7A0-4A4B-BA70-87D81BFF05B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63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_rels/fontTable.xml.rels><?xml version="1.0" encoding="UTF-8"?>

<Relationships xmlns="http://schemas.openxmlformats.org/package/2006/relationships">
  <Relationship Id="rId1" Type="http://schemas.openxmlformats.org/officeDocument/2006/relationships/font" Target="fonts/font1.odttf"/>
  <Relationship Id="rId2" Type="http://schemas.openxmlformats.org/officeDocument/2006/relationships/font" Target="fonts/font2.odttf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53n23eNAcwE0EV9agbSxG3BqGTg==">CgMxLjAyDmguN3QzbDNwMmVka3M0Mg5oLmJ3bDdudG1tbnhvODgAciExdk9vNXZfdEg3WlJxajU0dXNqT3Rtam53SHJCWVVlcXk=</go:docsCustomData>
</go:gDocsCustomXmlDataStorage>
</file>

<file path=customXml/item2.xml><?xml version="1.0" encoding="utf-8"?>
<Parts xmlns="http://lrs.lt/TAIS/DocParts">
  <Part Type="pagrindine" DocPartId="ad498ff768fe4071905b549bef3e292f" PartId="b2fa13e8cafb4131a67689fc4bf8b9d2">
    <Part Type="straipsnis" Nr="1" Abbr="1 str." Title="Įstatymo papildymas 15¹ straipsniu" DocPartId="647bb404f4b54cae8cd8ce905637b23b" PartId="1cb3797ec6eb402796d49349c657ae07">
      <Part Type="strDalis" Nr="1" Abbr="1 str. 1 d." DocPartId="409dd4e4afb840cfae0c8f99d779e4cd" PartId="908bb2ca829f4b92b47432e295bf75a2">
        <Part Type="citata" DocPartId="726d7f0330af48268c2ff1a4a05e7db6" PartId="23e3eadd5ecc4fd2afbd3986ebda164a">
          <Part Type="skirsnis" Title="15¹ straipsnis. Informacinės visuomenės paslaugų teikėjų atsakomybė dėl melagingos informacijos sklaidos" DocPartId="8554d5a4c08946fd83a2cd9797f640d6" PartId="e3f58c5be7054de6a4734251fd44f1bd">
            <Part Type="strDalis" Nr="1" Abbr="1 d." DocPartId="03a4ff4a30f84615a1d4a57ca754ee54" PartId="b002e0b3495f4c018658a7f13abf7a7b"/>
            <Part Type="strDalis" Nr="2" Abbr="2 d." DocPartId="80df84c0d1024f8a9205c588fb1bdfa8" PartId="b3a9e0cb83f04a0da708938fe21eea7f"/>
          </Part>
        </Part>
      </Part>
    </Part>
    <Part Type="straipsnis" Nr="2" Abbr="2 str." Title="Įstatymo įsigaliojimas" DocPartId="80477e2a6b4840209ddfd27e21588a2d" PartId="59210605e637463690adfdf6f051ca20">
      <Part Type="strDalis" Nr="1" Abbr="2 str. 1 d." DocPartId="a9637ed1bab643868308545e44e9693f" PartId="0fed17efc145456891709b57c43ee6d7"/>
    </Part>
    <Part Type="signatura" DocPartId="7a08fbf10c4b413895a2b14751298885" PartId="a4085c33b65a423f876985e232b555b8"/>
  </Part>
</Part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0044ED6C-94D2-47B7-BA6D-17F47F8EA4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158</Words>
  <Characters>1248</Characters>
  <Application>Microsoft Office Word</Application>
  <DocSecurity>4</DocSecurity>
  <Lines>62</Lines>
  <Paragraphs>43</Paragraphs>
  <ScaleCrop>false</ScaleCrop>
  <Company>LR Seimo kanceliarija</Company>
  <LinksUpToDate>false</LinksUpToDate>
  <CharactersWithSpaces>1363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2025-11-11T13:40:00Z</dcterms:created>
  <dc:creator>Evelina</dc:creator>
  <lastModifiedBy>adlibuser</lastModifiedBy>
  <dcterms:modified xsi:type="dcterms:W3CDTF">2025-11-11T13:40:00Z</dcterms:modified>
  <revision>2</revision>
</coreProperties>
</file>