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wmf" ContentType="image/x-wmf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01783ff417ee428db261925ae3b012bd"/>
        <w:lock w:val="sdtLocked"/>
        <w:richText/>
      </w:sdtPr>
      <w:sdtContent>
        <w:p w14:paraId="1FD17B17" w14:textId="77777777">
          <w:pPr>
            <w:tabs>
              <w:tab w:val="center" w:pos="4680"/>
              <w:tab w:val="right" w:pos="9360"/>
            </w:tabs>
            <w:rPr>
              <w:sz w:val="22"/>
              <w:szCs w:val="22"/>
              <w:lang w:eastAsia="lt-LT"/>
            </w:rPr>
          </w:pPr>
        </w:p>
        <w:p w14:paraId="0FBE40E8" w14:textId="77777777">
          <w:pPr>
            <w:widowControl w:val="0"/>
            <w:tabs>
              <w:tab w:val="center" w:pos="4819"/>
              <w:tab w:val="right" w:pos="9638"/>
            </w:tabs>
            <w:ind w:firstLine="720"/>
            <w:rPr>
              <w:rFonts w:ascii="Arial" w:hAnsi="Arial" w:cs="Arial"/>
              <w:sz w:val="20"/>
              <w:szCs w:val="24"/>
              <w:lang w:eastAsia="lt-LT"/>
            </w:rPr>
          </w:pPr>
        </w:p>
        <w:p w14:paraId="10CCB9B5" w14:textId="77777777">
          <w:pPr>
            <w:widowControl w:val="0"/>
            <w:tabs>
              <w:tab w:val="center" w:pos="4819"/>
              <w:tab w:val="right" w:pos="9638"/>
            </w:tabs>
            <w:ind w:firstLine="720"/>
            <w:jc w:val="right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Projektas</w:t>
          </w:r>
        </w:p>
        <w:p w14:paraId="18FD1BCA" w14:textId="77777777">
          <w:pPr>
            <w:jc w:val="center"/>
            <w:rPr>
              <w:color w:val="000000"/>
              <w:szCs w:val="24"/>
              <w:lang w:eastAsia="lt-LT"/>
            </w:rPr>
          </w:pPr>
          <w:r>
            <w:rPr>
              <w:szCs w:val="24"/>
            </w:rPr>
            <w:object w:dxaOrig="870" w:dyaOrig="1050" w14:anchorId="63851031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2pt;height:54pt" o:ole="" fillcolor="window">
                <v:imagedata r:id="rId7" o:title=""/>
              </v:shape>
              <o:OLEObject Type="Embed" ProgID="MSDraw" ShapeID="_x0000_i1025" DrawAspect="Content" ObjectID="_1788067888" r:id="rId8">
                <o:FieldCodes>\* MERGEFORMAT</o:FieldCodes>
              </o:OLEObject>
            </w:object>
          </w:r>
        </w:p>
        <w:p w14:paraId="411FCF5A" w14:textId="77777777">
          <w:pPr>
            <w:widowControl w:val="0"/>
            <w:jc w:val="center"/>
            <w:rPr>
              <w:b/>
              <w:color w:val="000000"/>
              <w:szCs w:val="24"/>
              <w:lang w:eastAsia="lt-LT"/>
            </w:rPr>
          </w:pPr>
          <w:r>
            <w:rPr>
              <w:b/>
              <w:color w:val="000000"/>
              <w:szCs w:val="24"/>
              <w:lang w:eastAsia="lt-LT"/>
            </w:rPr>
            <w:t>NACIONALINĖS MOKĖJIMO AGENTŪROS</w:t>
            <w:br/>
            <w:t>PRIE ŽEMĖS ŪKIO MINISTERIJOS</w:t>
            <w:br/>
            <w:t>DIREKTORIUS</w:t>
          </w:r>
        </w:p>
        <w:p w14:paraId="7C6287A8" w14:textId="77777777">
          <w:pPr>
            <w:widowControl w:val="0"/>
            <w:jc w:val="center"/>
            <w:rPr>
              <w:color w:val="000000"/>
              <w:szCs w:val="24"/>
              <w:lang w:eastAsia="lt-LT"/>
            </w:rPr>
          </w:pPr>
        </w:p>
        <w:p w14:paraId="6AFB41AC" w14:textId="77777777">
          <w:pPr>
            <w:widowControl w:val="0"/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ĮSAKYMAS</w:t>
          </w:r>
        </w:p>
        <w:p w14:paraId="44135740" w14:textId="6075ACB2">
          <w:pPr>
            <w:widowControl w:val="0"/>
            <w:jc w:val="center"/>
            <w:rPr>
              <w:b/>
              <w:color w:val="000000"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DĖL ŽEMĖS ŪKIO TECHNIKOS IR ĮRANGOS PARAMETRŲ NAŠUMO SKIRTINGIEMS DIRVOŽEMIO TIPAMS IR PLOTO NUSTATYMO METODIKOS TAIKYMO PATVIRTINIMO</w:t>
          </w:r>
        </w:p>
        <w:p w14:paraId="3506FE27" w14:textId="4FB9F6D6">
          <w:pPr>
            <w:widowControl w:val="0"/>
            <w:jc w:val="center"/>
            <w:rPr>
              <w:color w:val="000000"/>
              <w:szCs w:val="24"/>
              <w:lang w:eastAsia="lt-LT"/>
            </w:rPr>
          </w:pPr>
        </w:p>
        <w:p w14:paraId="6850F814" w14:textId="77777777">
          <w:pPr>
            <w:widowControl w:val="0"/>
            <w:tabs>
              <w:tab w:val="left" w:pos="5103"/>
            </w:tabs>
            <w:jc w:val="center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 xml:space="preserve">2024 m.                      d. Nr. BR1- </w:t>
          </w:r>
        </w:p>
        <w:p w14:paraId="054A1646" w14:textId="77777777">
          <w:pPr>
            <w:widowControl w:val="0"/>
            <w:jc w:val="center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Vilnius</w:t>
          </w:r>
        </w:p>
        <w:p w14:paraId="2675F3D8" w14:textId="69276809">
          <w:pPr>
            <w:widowControl w:val="0"/>
            <w:ind w:firstLine="720"/>
            <w:jc w:val="both"/>
            <w:rPr>
              <w:color w:val="000000"/>
              <w:szCs w:val="24"/>
              <w:lang w:eastAsia="lt-LT"/>
            </w:rPr>
          </w:pPr>
        </w:p>
        <w:sdt>
          <w:sdtPr>
            <w:alias w:val="preambule"/>
            <w:tag w:val="part_546a25fe4ea34e7fbd86c6dce430e0d3"/>
            <w:lock w:val="sdtLocked"/>
            <w:richText/>
          </w:sdtPr>
          <w:sdtContent>
            <w:p w14:paraId="16186DB4" w14:textId="602B856D">
              <w:pPr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Vadovaudamasis Nacionalinės mokėjimo agentūros prie Žemės ūkio ministerijos nuostatų, patvirtintų </w:t>
              </w:r>
              <w:r>
                <w:rPr>
                  <w:bCs/>
                  <w:szCs w:val="24"/>
                  <w:lang w:eastAsia="lt-LT"/>
                </w:rPr>
                <w:t xml:space="preserve">Lietuvos Respublikos žemės ūkio ministro 2021 m. rugsėjo 8 d. įsakymu Nr. 3D-563 „Dėl </w:t>
              </w:r>
              <w:r>
                <w:rPr>
                  <w:szCs w:val="24"/>
                  <w:lang w:eastAsia="lt-LT"/>
                </w:rPr>
                <w:t>Nacionalinės mokėjimo agentūros prie Žemės ūkio ministerijos nuostatų</w:t>
              </w:r>
              <w:r>
                <w:rPr>
                  <w:bCs/>
                  <w:szCs w:val="24"/>
                  <w:lang w:eastAsia="lt-LT"/>
                </w:rPr>
                <w:t xml:space="preserve"> patvirtinimo“, 9.1 ir 9.7 papunkčiais</w:t>
              </w:r>
              <w:r>
                <w:rPr>
                  <w:szCs w:val="24"/>
                  <w:lang w:eastAsia="lt-LT"/>
                </w:rPr>
                <w:t xml:space="preserve">, </w:t>
              </w:r>
              <w:r>
                <w:rPr>
                  <w:color w:val="333333"/>
                  <w:szCs w:val="24"/>
                  <w:shd w:val="clear" w:color="auto" w:fill="FFFFFF"/>
                </w:rPr>
                <w:t>Lietuvos žemės ūkio ir kaimo plėtros 2023–2027 metų strateginio plano administravimo taisyklių</w:t>
              </w:r>
              <w:r>
                <w:rPr>
                  <w:szCs w:val="24"/>
                  <w:lang w:eastAsia="lt-LT"/>
                </w:rPr>
                <w:t xml:space="preserve">, patvirtintų </w:t>
              </w:r>
              <w:r>
                <w:rPr>
                  <w:bCs/>
                  <w:szCs w:val="24"/>
                  <w:lang w:eastAsia="lt-LT"/>
                </w:rPr>
                <w:t xml:space="preserve">Lietuvos Respublikos žemės ūkio ministro 2023 m. vasario 24 d. įsakymu Nr. 3D-102 „Dėl </w:t>
              </w:r>
              <w:r>
                <w:rPr>
                  <w:color w:val="000000"/>
                  <w:szCs w:val="24"/>
                </w:rPr>
                <w:t>Lietuvos žemės ūkio ir kaimo plėtros 2023–2027 metų strateginio plano administravimo taisyklių</w:t>
              </w:r>
              <w:r>
                <w:rPr>
                  <w:bCs/>
                  <w:szCs w:val="24"/>
                  <w:lang w:eastAsia="lt-LT"/>
                </w:rPr>
                <w:t xml:space="preserve"> patvirtinimo“, 12, 13.7, 106, 110, 111 punktais</w:t>
              </w:r>
              <w:r>
                <w:rPr>
                  <w:color w:val="000000"/>
                  <w:szCs w:val="24"/>
                  <w:lang w:eastAsia="lt-LT"/>
                </w:rPr>
                <w:t xml:space="preserve">, </w:t>
              </w:r>
              <w:r>
                <w:rPr>
                  <w:szCs w:val="24"/>
                </w:rPr>
                <w:t xml:space="preserve">Lietuvos kaimo plėtros 2014–2020 metų programos administravimo taisyklių, patvirtintų Lietuvos Respublikos žemės ūkio ministro 2014 m. rugpjūčio 26 d. įsakymu Nr. 3D-507 „Dėl </w:t>
              </w:r>
              <w:r>
                <w:rPr>
                  <w:color w:val="000000"/>
                  <w:szCs w:val="24"/>
                </w:rPr>
                <w:t xml:space="preserve">Lietuvos kaimo plėtros 2014–2020 metų programos administravimo taisyklių patvirtinimo“ </w:t>
              </w:r>
              <w:r>
                <w:rPr>
                  <w:color w:val="000000"/>
                  <w:szCs w:val="24"/>
                  <w:lang w:eastAsia="lt-LT"/>
                </w:rPr>
                <w:t>10, 11, 41, 58, 59, 64 punktais:</w:t>
              </w:r>
            </w:p>
          </w:sdtContent>
        </w:sdt>
        <w:sdt>
          <w:sdtPr>
            <w:alias w:val="1 p."/>
            <w:tag w:val="part_709b86062aca47699c3cbaf804b8eaec"/>
            <w:lock w:val="sdtLocked"/>
            <w:richText/>
          </w:sdtPr>
          <w:sdtContent>
            <w:p w14:paraId="7A5993F0" w14:textId="1DD2156E">
              <w:pPr>
                <w:ind w:firstLine="720"/>
                <w:jc w:val="both"/>
                <w:rPr>
                  <w:kern w:val="2"/>
                  <w:szCs w:val="24"/>
                </w:rPr>
              </w:pPr>
              <w:sdt>
                <w:sdtPr>
                  <w:alias w:val="Numeris"/>
                  <w:tag w:val="nr_709b86062aca47699c3cbaf804b8eaec"/>
                  <w:lock w:val="sdtLocked"/>
                  <w:richText/>
                </w:sdtPr>
                <w:sdtContent>
                  <w:r>
                    <w:rPr>
                      <w:color w:val="000000"/>
                      <w:kern w:val="2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color w:val="000000"/>
                  <w:kern w:val="2"/>
                  <w:szCs w:val="24"/>
                  <w:lang w:eastAsia="lt-LT"/>
                </w:rPr>
                <w:t xml:space="preserve">. </w:t>
              </w:r>
              <w:r>
                <w:rPr>
                  <w:spacing w:val="60"/>
                  <w:szCs w:val="24"/>
                  <w:lang w:eastAsia="lt-LT"/>
                </w:rPr>
                <w:t>Nustatau</w:t>
              </w:r>
              <w:r>
                <w:rPr>
                  <w:kern w:val="2"/>
                  <w:szCs w:val="24"/>
                </w:rPr>
                <w:t xml:space="preserve">, kad Nacionalinė mokėjimo agentūra prie Žemės ūkio ministerijos (toliau – Agentūra), vertindama paraiškose planuojamų įsigyti išlaidų pagrįstumą ir atitiktį ūkių gamybiniam potencialui, vadovaujasi </w:t>
              </w:r>
              <w:r>
                <w:rPr>
                  <w:kern w:val="2"/>
                  <w:szCs w:val="24"/>
                  <w:lang w:eastAsia="lt-LT"/>
                </w:rPr>
                <w:t xml:space="preserve">Vytauto Didžiojo universiteto parengta Žemės ūkio technikos ir įrangos parametrų našumo skirtingiems dirvožemio tipams ir ploto nustatymo metodika (toliau – Metodika), kurioje nustatyti pagal </w:t>
              </w:r>
              <w:r>
                <w:rPr>
                  <w:bCs/>
                  <w:kern w:val="2"/>
                  <w:szCs w:val="24"/>
                  <w:lang w:eastAsia="lt-LT"/>
                </w:rPr>
                <w:t xml:space="preserve">Lietuvos žemės ūkio ir kaimo plėtros 2023–2027 metų strateginio plano intervencines priemones ir </w:t>
              </w:r>
              <w:r>
                <w:rPr>
                  <w:color w:val="000000"/>
                  <w:kern w:val="2"/>
                  <w:szCs w:val="24"/>
                </w:rPr>
                <w:t>Lietuvos kaimo plėtros 2014–2020 metų programos</w:t>
              </w:r>
              <w:r>
                <w:rPr>
                  <w:color w:val="000000"/>
                  <w:kern w:val="2"/>
                  <w:sz w:val="20"/>
                  <w:szCs w:val="24"/>
                </w:rPr>
                <w:t xml:space="preserve"> </w:t>
              </w:r>
              <w:r>
                <w:rPr>
                  <w:bCs/>
                  <w:kern w:val="2"/>
                  <w:szCs w:val="24"/>
                  <w:lang w:eastAsia="lt-LT"/>
                </w:rPr>
                <w:t xml:space="preserve">priemones finansuojamos </w:t>
              </w:r>
              <w:r>
                <w:rPr>
                  <w:kern w:val="2"/>
                  <w:szCs w:val="24"/>
                  <w:lang w:eastAsia="lt-LT"/>
                </w:rPr>
                <w:t>žemės ūkio technikos ir įrangos techniniai ir technologiniai parametrai</w:t>
              </w:r>
              <w:r>
                <w:rPr>
                  <w:kern w:val="2"/>
                  <w:szCs w:val="24"/>
                </w:rPr>
                <w:t xml:space="preserve">. Metodika taikoma, kai </w:t>
              </w:r>
              <w:r>
                <w:rPr>
                  <w:color w:val="000000"/>
                  <w:kern w:val="2"/>
                  <w:szCs w:val="24"/>
                  <w:lang w:val="pt-BR"/>
                </w:rPr>
                <w:t>joje yra nustatyti vertinamos investicijos (konkrečios investicijos rūšies) parametrai.</w:t>
              </w:r>
              <w:r>
                <w:rPr>
                  <w:color w:val="000000"/>
                  <w:kern w:val="2"/>
                  <w:sz w:val="20"/>
                  <w:lang w:val="pt-BR"/>
                </w:rPr>
                <w:t xml:space="preserve"> </w:t>
              </w:r>
              <w:r>
                <w:rPr>
                  <w:kern w:val="2"/>
                  <w:szCs w:val="24"/>
                </w:rPr>
                <w:t>Metodika skelbiama Agentūros intereneto svetainėje www.nma.lt.</w:t>
              </w:r>
            </w:p>
          </w:sdtContent>
        </w:sdt>
        <w:sdt>
          <w:sdtPr>
            <w:alias w:val="2 p."/>
            <w:tag w:val="part_0823220ec3cc4e54b0038a1933976f50"/>
            <w:lock w:val="sdtLocked"/>
            <w:richText/>
          </w:sdtPr>
          <w:sdtContent>
            <w:p w14:paraId="19AD132B" w14:textId="1AC23286">
              <w:pPr>
                <w:ind w:firstLine="720"/>
                <w:jc w:val="both"/>
                <w:rPr>
                  <w:kern w:val="2"/>
                  <w:szCs w:val="24"/>
                </w:rPr>
              </w:pPr>
              <w:sdt>
                <w:sdtPr>
                  <w:alias w:val="Numeris"/>
                  <w:tag w:val="nr_0823220ec3cc4e54b0038a1933976f50"/>
                  <w:lock w:val="sdtLocked"/>
                  <w:richText/>
                </w:sdtPr>
                <w:sdtContent>
                  <w:r>
                    <w:rPr>
                      <w:color w:val="000000"/>
                      <w:kern w:val="2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color w:val="000000"/>
                  <w:kern w:val="2"/>
                  <w:szCs w:val="24"/>
                  <w:lang w:eastAsia="lt-LT"/>
                </w:rPr>
                <w:t xml:space="preserve">. </w:t>
              </w:r>
              <w:r>
                <w:rPr>
                  <w:spacing w:val="60"/>
                  <w:szCs w:val="24"/>
                  <w:lang w:eastAsia="lt-LT"/>
                </w:rPr>
                <w:t>Nustatau</w:t>
              </w:r>
              <w:r>
                <w:rPr>
                  <w:kern w:val="2"/>
                  <w:szCs w:val="24"/>
                </w:rPr>
                <w:t>, kad Metodika privalo būti taikoma vertinant pateiktas paraiškas dėl priemonių, kurių įgyvendinimo taisyklėse yra nustatytas reikalavimas dėl Metodikos taikymo. Kitais atvejais Metodikos taikymas yra rekomenduojamas.</w:t>
              </w:r>
            </w:p>
          </w:sdtContent>
        </w:sdt>
        <w:sdt>
          <w:sdtPr>
            <w:alias w:val="3 p."/>
            <w:tag w:val="part_89a1a9c1ba5248e9a50f3c240aaafdc0"/>
            <w:lock w:val="sdtLocked"/>
            <w:richText/>
          </w:sdtPr>
          <w:sdtContent>
            <w:p w14:paraId="7693AA2E" w14:textId="0AD022CF">
              <w:pPr>
                <w:ind w:firstLine="720"/>
                <w:jc w:val="both"/>
                <w:rPr>
                  <w:kern w:val="2"/>
                  <w:szCs w:val="24"/>
                </w:rPr>
              </w:pPr>
              <w:sdt>
                <w:sdtPr>
                  <w:alias w:val="Numeris"/>
                  <w:tag w:val="nr_89a1a9c1ba5248e9a50f3c240aaafdc0"/>
                  <w:lock w:val="sdtLocked"/>
                  <w:richText/>
                </w:sdtPr>
                <w:sdtContent>
                  <w:r>
                    <w:rPr>
                      <w:kern w:val="2"/>
                      <w:szCs w:val="24"/>
                    </w:rPr>
                    <w:t>3</w:t>
                  </w:r>
                </w:sdtContent>
              </w:sdt>
              <w:r>
                <w:rPr>
                  <w:kern w:val="2"/>
                  <w:szCs w:val="24"/>
                </w:rPr>
                <w:t xml:space="preserve">. </w:t>
              </w:r>
              <w:r>
                <w:rPr>
                  <w:spacing w:val="60"/>
                  <w:szCs w:val="24"/>
                  <w:lang w:eastAsia="lt-LT"/>
                </w:rPr>
                <w:t>Nustatau</w:t>
              </w:r>
              <w:r>
                <w:rPr>
                  <w:kern w:val="2"/>
                  <w:szCs w:val="24"/>
                </w:rPr>
                <w:t xml:space="preserve">, kad šis įsakymas taikomas paraiškoms, kurios pateiktos po šio įsakymo įsigaliojimo dienos. </w:t>
              </w:r>
            </w:p>
          </w:sdtContent>
        </w:sdt>
        <w:sdt>
          <w:sdtPr>
            <w:alias w:val="4 p."/>
            <w:tag w:val="part_a1b48f27068a4b7e857ee6a6073a9416"/>
            <w:lock w:val="sdtLocked"/>
            <w:richText/>
          </w:sdtPr>
          <w:sdtContent>
            <w:p w14:paraId="6A1381AB" w14:textId="5FD8315B">
              <w:pPr>
                <w:ind w:firstLine="720"/>
                <w:jc w:val="both"/>
                <w:rPr>
                  <w:kern w:val="2"/>
                  <w:szCs w:val="24"/>
                </w:rPr>
              </w:pPr>
              <w:sdt>
                <w:sdtPr>
                  <w:alias w:val="Numeris"/>
                  <w:tag w:val="nr_a1b48f27068a4b7e857ee6a6073a9416"/>
                  <w:lock w:val="sdtLocked"/>
                  <w:richText/>
                </w:sdtPr>
                <w:sdtContent>
                  <w:r>
                    <w:rPr>
                      <w:kern w:val="2"/>
                      <w:szCs w:val="24"/>
                    </w:rPr>
                    <w:t>4</w:t>
                  </w:r>
                </w:sdtContent>
              </w:sdt>
              <w:r>
                <w:rPr>
                  <w:kern w:val="2"/>
                  <w:szCs w:val="24"/>
                </w:rPr>
                <w:t xml:space="preserve">. </w:t>
              </w:r>
              <w:r>
                <w:rPr>
                  <w:spacing w:val="60"/>
                  <w:szCs w:val="24"/>
                  <w:lang w:eastAsia="lt-LT"/>
                </w:rPr>
                <w:t>Įpareigoju</w:t>
              </w:r>
              <w:r>
                <w:rPr>
                  <w:kern w:val="2"/>
                  <w:szCs w:val="24"/>
                </w:rPr>
                <w:t xml:space="preserve"> Agentūros Kaimo plėtros ir regionų koordinavimo departamentą nuolat peržiūrėti Metodikos duomenų aktualumą ir prireikus juos atnaujinti, viešinant Agentūros svetainėje Metodikos pakeitimus.</w:t>
              </w:r>
            </w:p>
          </w:sdtContent>
        </w:sdt>
        <w:sdt>
          <w:sdtPr>
            <w:alias w:val="5 p."/>
            <w:tag w:val="part_d4174285aad04d79a6050202636bcfb2"/>
            <w:lock w:val="sdtLocked"/>
            <w:richText/>
          </w:sdtPr>
          <w:sdtContent>
            <w:p w14:paraId="03EA46E8" w14:textId="005304F4">
              <w:pPr>
                <w:ind w:firstLine="720"/>
                <w:jc w:val="both"/>
                <w:rPr>
                  <w:kern w:val="2"/>
                  <w:szCs w:val="24"/>
                </w:rPr>
              </w:pPr>
              <w:sdt>
                <w:sdtPr>
                  <w:alias w:val="Numeris"/>
                  <w:tag w:val="nr_d4174285aad04d79a6050202636bcfb2"/>
                  <w:lock w:val="sdtLocked"/>
                  <w:richText/>
                </w:sdtPr>
                <w:sdtContent>
                  <w:r>
                    <w:rPr>
                      <w:kern w:val="2"/>
                      <w:szCs w:val="24"/>
                    </w:rPr>
                    <w:t>5</w:t>
                  </w:r>
                </w:sdtContent>
              </w:sdt>
              <w:r>
                <w:rPr>
                  <w:kern w:val="2"/>
                  <w:szCs w:val="24"/>
                </w:rPr>
                <w:t xml:space="preserve">. </w:t>
              </w:r>
              <w:r>
                <w:rPr>
                  <w:spacing w:val="60"/>
                  <w:szCs w:val="24"/>
                  <w:lang w:eastAsia="lt-LT"/>
                </w:rPr>
                <w:t>Nustatau</w:t>
              </w:r>
              <w:r>
                <w:rPr>
                  <w:kern w:val="2"/>
                  <w:szCs w:val="24"/>
                </w:rPr>
                <w:t xml:space="preserve">, kad atnaujinus Metodikos duomenų aktualumą nauji </w:t>
              </w:r>
              <w:r>
                <w:rPr>
                  <w:kern w:val="2"/>
                  <w:szCs w:val="24"/>
                  <w:lang w:eastAsia="lt-LT"/>
                </w:rPr>
                <w:t>žemės ūkio technikos ir įrangos techniniai ir technologiniai parametrai</w:t>
              </w:r>
              <w:r>
                <w:rPr>
                  <w:kern w:val="2"/>
                  <w:szCs w:val="24"/>
                </w:rPr>
                <w:t xml:space="preserve"> taikomi pagal paraiškų teikimo dieną galiojusią Metodikos redakciją.</w:t>
              </w:r>
            </w:p>
            <w:p w14:paraId="47888F75" w14:textId="4A134B46">
              <w:pPr>
                <w:widowControl w:val="0"/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</w:p>
            <w:p w14:paraId="115BA099" w14:textId="77777777">
              <w:pPr>
                <w:widowControl w:val="0"/>
                <w:jc w:val="both"/>
              </w:pPr>
            </w:p>
            <w:p w14:paraId="032CD07F" w14:textId="77777777">
              <w:pPr>
                <w:widowControl w:val="0"/>
                <w:jc w:val="both"/>
              </w:pPr>
            </w:p>
            <w:p w14:paraId="6947537A" w14:textId="77777777">
              <w:pPr>
                <w:widowControl w:val="0"/>
                <w:jc w:val="both"/>
              </w:pPr>
            </w:p>
          </w:sdtContent>
        </w:sdt>
        <w:sdt>
          <w:sdtPr>
            <w:alias w:val="signatura"/>
            <w:tag w:val="part_912b4f0fc7dd4803870917e8314c5fa9"/>
            <w:lock w:val="sdtLocked"/>
            <w:richText/>
          </w:sdtPr>
          <w:sdtContent>
            <w:p w14:paraId="23CABB55" w14:textId="178F1687">
              <w:pPr>
                <w:widowControl w:val="0"/>
                <w:jc w:val="both"/>
              </w:pPr>
              <w:r>
                <w:rPr>
                  <w:color w:val="000000"/>
                  <w:szCs w:val="24"/>
                  <w:lang w:eastAsia="lt-LT"/>
                </w:rPr>
                <w:t>Direktorius</w:t>
                <w:tab/>
                <w:tab/>
                <w:tab/>
                <w:tab/>
                <w:tab/>
                <w:tab/>
                <w:tab/>
                <w:tab/>
                <w:t xml:space="preserve">             Fortunatas Dirginčius</w:t>
              </w:r>
            </w:p>
          </w:sdtContent>
        </w:sdt>
      </w:sdtContent>
    </w:sdt>
    <w:sectPr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7" w:h="16839"/>
      <w:pgMar w:top="1134" w:right="567" w:bottom="1134" w:left="1701" w:header="567" w:footer="567" w:gutter="0"/>
      <w:pgNumType w:start="1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E2D17C2" w14:textId="77777777">
      <w:pPr>
        <w:widowControl w:val="0"/>
        <w:ind w:firstLine="720"/>
        <w:rPr>
          <w:rFonts w:ascii="Arial" w:hAnsi="Arial" w:cs="Arial"/>
          <w:sz w:val="20"/>
          <w:szCs w:val="24"/>
          <w:lang w:eastAsia="lt-LT"/>
        </w:rPr>
      </w:pPr>
      <w:r>
        <w:rPr>
          <w:rFonts w:ascii="Arial" w:hAnsi="Arial" w:cs="Arial"/>
          <w:sz w:val="20"/>
          <w:szCs w:val="24"/>
          <w:lang w:eastAsia="lt-LT"/>
        </w:rPr>
        <w:separator/>
      </w:r>
    </w:p>
  </w:endnote>
  <w:endnote w:type="continuationSeparator" w:id="0">
    <w:p w14:paraId="76508502" w14:textId="77777777">
      <w:pPr>
        <w:widowControl w:val="0"/>
        <w:ind w:firstLine="720"/>
        <w:rPr>
          <w:rFonts w:ascii="Arial" w:hAnsi="Arial" w:cs="Arial"/>
          <w:sz w:val="20"/>
          <w:szCs w:val="24"/>
          <w:lang w:eastAsia="lt-LT"/>
        </w:rPr>
      </w:pPr>
      <w:r>
        <w:rPr>
          <w:rFonts w:ascii="Arial" w:hAnsi="Arial" w:cs="Arial"/>
          <w:sz w:val="20"/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D74A13F" w14:textId="77777777">
    <w:pPr>
      <w:widowControl w:val="0"/>
      <w:tabs>
        <w:tab w:val="center" w:pos="4819"/>
        <w:tab w:val="right" w:pos="9638"/>
      </w:tabs>
      <w:ind w:firstLine="720"/>
      <w:rPr>
        <w:rFonts w:ascii="Arial" w:hAnsi="Arial" w:cs="Arial"/>
        <w:sz w:val="20"/>
        <w:szCs w:val="24"/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A0F0EDE" w14:textId="77777777">
    <w:pPr>
      <w:widowControl w:val="0"/>
      <w:tabs>
        <w:tab w:val="center" w:pos="4819"/>
        <w:tab w:val="right" w:pos="9638"/>
      </w:tabs>
      <w:ind w:firstLine="720"/>
      <w:rPr>
        <w:rFonts w:ascii="Arial" w:hAnsi="Arial" w:cs="Arial"/>
        <w:sz w:val="20"/>
        <w:szCs w:val="24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F9D1C0" w14:textId="77777777">
    <w:pPr>
      <w:widowControl w:val="0"/>
      <w:tabs>
        <w:tab w:val="center" w:pos="4819"/>
        <w:tab w:val="right" w:pos="9638"/>
      </w:tabs>
      <w:ind w:firstLine="720"/>
      <w:jc w:val="right"/>
      <w:rPr>
        <w:szCs w:val="24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54C93C2" w14:textId="77777777">
      <w:pPr>
        <w:widowControl w:val="0"/>
        <w:ind w:firstLine="720"/>
        <w:rPr>
          <w:rFonts w:ascii="Arial" w:hAnsi="Arial" w:cs="Arial"/>
          <w:sz w:val="20"/>
          <w:szCs w:val="24"/>
          <w:lang w:eastAsia="lt-LT"/>
        </w:rPr>
      </w:pPr>
      <w:r>
        <w:rPr>
          <w:rFonts w:ascii="Arial" w:hAnsi="Arial" w:cs="Arial"/>
          <w:sz w:val="20"/>
          <w:szCs w:val="24"/>
          <w:lang w:eastAsia="lt-LT"/>
        </w:rPr>
        <w:separator/>
      </w:r>
    </w:p>
  </w:footnote>
  <w:footnote w:type="continuationSeparator" w:id="0">
    <w:p w14:paraId="6055A3DB" w14:textId="77777777">
      <w:pPr>
        <w:widowControl w:val="0"/>
        <w:ind w:firstLine="720"/>
        <w:rPr>
          <w:rFonts w:ascii="Arial" w:hAnsi="Arial" w:cs="Arial"/>
          <w:sz w:val="20"/>
          <w:szCs w:val="24"/>
          <w:lang w:eastAsia="lt-LT"/>
        </w:rPr>
      </w:pPr>
      <w:r>
        <w:rPr>
          <w:rFonts w:ascii="Arial" w:hAnsi="Arial" w:cs="Arial"/>
          <w:sz w:val="20"/>
          <w:szCs w:val="24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B8F0C3" w14:textId="77777777">
    <w:pPr>
      <w:widowControl w:val="0"/>
      <w:tabs>
        <w:tab w:val="center" w:pos="4819"/>
        <w:tab w:val="right" w:pos="9638"/>
      </w:tabs>
      <w:ind w:firstLine="720"/>
      <w:rPr>
        <w:rFonts w:ascii="Arial" w:hAnsi="Arial" w:cs="Arial"/>
        <w:sz w:val="20"/>
        <w:szCs w:val="24"/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AA76F1B" w14:textId="77777777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sz w:val="22"/>
        <w:szCs w:val="22"/>
        <w:lang w:eastAsia="lt-LT"/>
      </w:rPr>
      <w:t>2</w:t>
    </w:r>
    <w:r>
      <w:rPr>
        <w:sz w:val="22"/>
        <w:szCs w:val="22"/>
        <w:lang w:eastAsia="lt-LT"/>
      </w:rPr>
      <w:fldChar w:fldCharType="end"/>
    </w:r>
  </w:p>
  <w:p w14:paraId="045E48FC" w14:textId="77777777">
    <w:pPr>
      <w:widowControl w:val="0"/>
      <w:tabs>
        <w:tab w:val="center" w:pos="4819"/>
        <w:tab w:val="right" w:pos="9638"/>
      </w:tabs>
      <w:ind w:firstLine="720"/>
      <w:rPr>
        <w:rFonts w:ascii="Arial" w:hAnsi="Arial" w:cs="Arial"/>
        <w:sz w:val="20"/>
        <w:szCs w:val="24"/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55D5508" w14:textId="77777777">
    <w:pPr>
      <w:tabs>
        <w:tab w:val="center" w:pos="4819"/>
        <w:tab w:val="right" w:pos="9638"/>
      </w:tabs>
      <w:rPr>
        <w:kern w:val="2"/>
        <w:sz w:val="22"/>
        <w:szCs w:val="22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bordersDoNotSurroundHeader/>
  <w:bordersDoNotSurroundFooter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20"/>
  <w:hyphenationZone w:val="396"/>
  <w:doNotHyphenateCaps/>
  <w:drawingGridHorizontalSpacing w:val="120"/>
  <w:drawingGridVerticalSpacing w:val="120"/>
  <w:displayHorizontalDrawingGridEvery w:val="0"/>
  <w:displayVerticalDrawingGridEvery w:val="3"/>
  <w:doNotShadeFormData/>
  <w:characterSpacingControl w:val="compressPunctuation"/>
  <w:doNotValidateAgainstSchema/>
  <w:doNotDemarcateInvalidXml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00F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577"/>
    <o:shapelayout v:ext="edit">
      <o:idmap v:ext="edit" data="1"/>
    </o:shapelayout>
  </w:shapeDefaults>
  <w:decimalSymbol w:val="."/>
  <w:listSeparator w:val=","/>
  <w14:docId w14:val="2FF695B4"/>
  <w15:docId w15:val="{4E87F554-8F8E-47DC-B1D0-C9C4134C6C16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26762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5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845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076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913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0826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90167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7589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6237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04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54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498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266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168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4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72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985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00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1512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594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080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434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936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784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445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2.xml"/>
  <Relationship Id="rId11" Type="http://schemas.openxmlformats.org/officeDocument/2006/relationships/footer" Target="footer1.xml"/>
  <Relationship Id="rId12" Type="http://schemas.openxmlformats.org/officeDocument/2006/relationships/footer" Target="footer2.xml"/>
  <Relationship Id="rId13" Type="http://schemas.openxmlformats.org/officeDocument/2006/relationships/header" Target="header3.xml"/>
  <Relationship Id="rId14" Type="http://schemas.openxmlformats.org/officeDocument/2006/relationships/footer" Target="footer3.xml"/>
  <Relationship Id="rId15" Type="http://schemas.openxmlformats.org/officeDocument/2006/relationships/fontTable" Target="fontTable.xml"/>
  <Relationship Id="rId16" Type="http://schemas.openxmlformats.org/officeDocument/2006/relationships/theme" Target="theme/theme1.xml"/>
  <Relationship Id="rId17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wmf"/>
  <Relationship Id="rId8" Type="http://schemas.openxmlformats.org/officeDocument/2006/relationships/oleObject" Target="embeddings/oleObject1.bin"/>
  <Relationship Id="rId9" Type="http://schemas.openxmlformats.org/officeDocument/2006/relationships/header" Target="head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1268fff29eb64c1e91fdee436f5fcb22" PartId="01783ff417ee428db261925ae3b012bd">
    <Part Type="preambule" DocPartId="9363a3229e754baa912bf60cbb45fab4" PartId="546a25fe4ea34e7fbd86c6dce430e0d3"/>
    <Part Type="punktas" Nr="1" Abbr="1 p." DocPartId="fdf9a5d6b80b49c4ac130cc5160726cf" PartId="709b86062aca47699c3cbaf804b8eaec"/>
    <Part Type="punktas" Nr="2" Abbr="2 p." DocPartId="fed93a7d6d974a1d83859a713d2c1197" PartId="0823220ec3cc4e54b0038a1933976f50"/>
    <Part Type="punktas" Nr="3" Abbr="3 p." DocPartId="b82060c014d0419dacfb8c2e888fac6e" PartId="89a1a9c1ba5248e9a50f3c240aaafdc0"/>
    <Part Type="punktas" Nr="4" Abbr="4 p." DocPartId="c5afbd954eaa4f05a3b226c2e374822f" PartId="a1b48f27068a4b7e857ee6a6073a9416"/>
    <Part Type="punktas" Nr="5" Abbr="5 p." DocPartId="dd56d0d0ece14a829b543fd31e32ba95" PartId="d4174285aad04d79a6050202636bcfb2"/>
    <Part Type="signatura" DocPartId="af3249389dd945e4bb3e7f991c9a168b" PartId="912b4f0fc7dd4803870917e8314c5fa9"/>
  </Part>
</Parts>
</file>

<file path=customXml/itemProps1.xml><?xml version="1.0" encoding="utf-8"?>
<ds:datastoreItem xmlns:ds="http://schemas.openxmlformats.org/officeDocument/2006/customXml" ds:itemID="{27F6E806-F648-45C0-8FD7-412097299B1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0270844-5016-4069-997A-ACB79F473FC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358</Words>
  <Characters>2500</Characters>
  <Application>Microsoft Office Word</Application>
  <DocSecurity>4</DocSecurity>
  <Lines>52</Lines>
  <Paragraphs>15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NAUJA REDAKCIJA nuo 2017 04 22</vt:lpstr>
      <vt:lpstr>NAUJA REDAKCIJA nuo 2017 04 22</vt:lpstr>
    </vt:vector>
  </TitlesOfParts>
  <Company>Infolex</Company>
  <LinksUpToDate>false</LinksUpToDate>
  <CharactersWithSpaces>2843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2024-09-17T05:44:00Z</dcterms:created>
  <dc:creator>violeta</dc:creator>
  <lastModifiedBy>adlibuser</lastModifiedBy>
  <dcterms:modified xsi:type="dcterms:W3CDTF">2024-09-17T05:44:00Z</dcterms:modified>
  <revision>2</revision>
  <dc:title>NAUJA REDAKCIJA nuo 2017 04 22</dc:title>
</coreProperties>
</file>