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7c501bd8594ab989e3600328c4e198"/>
        <w:lock w:val="sdtLocked"/>
        <w:richText/>
      </w:sdtPr>
      <w:sdtContent>
        <w:p w14:paraId="0A02FF9B" w14:textId="21E9AF2D">
          <w:pPr>
            <w:widowControl w:val="0"/>
            <w:tabs>
              <w:tab w:val="center" w:pos="4986"/>
              <w:tab w:val="right" w:pos="9972"/>
            </w:tabs>
            <w:suppressAutoHyphens/>
            <w:jc w:val="center"/>
            <w:rPr>
              <w:rFonts w:ascii="Thorndale" w:eastAsia="HG Mincho Light J" w:hAnsi="Thorndale"/>
              <w:b/>
              <w:color w:val="000000"/>
              <w:szCs w:val="24"/>
              <w:lang w:eastAsia="lt-LT"/>
            </w:rPr>
          </w:pPr>
          <w:r>
            <w:rPr>
              <w:rFonts w:ascii="Thorndale" w:eastAsia="HG Mincho Light J" w:hAnsi="Thorndale"/>
              <w:b/>
              <w:szCs w:val="24"/>
              <w:lang w:eastAsia="lt-LT"/>
            </w:rPr>
            <w:tab/>
            <w:t xml:space="preserve">                                                                                          Projekto</w:t>
          </w:r>
        </w:p>
        <w:p w14:paraId="5A83221A" w14:textId="2CC471CD">
          <w:pPr>
            <w:widowControl w:val="0"/>
            <w:tabs>
              <w:tab w:val="center" w:pos="4986"/>
              <w:tab w:val="right" w:pos="9972"/>
            </w:tabs>
            <w:suppressAutoHyphens/>
            <w:ind w:firstLine="8844"/>
            <w:jc w:val="center"/>
            <w:rPr>
              <w:rFonts w:ascii="Thorndale" w:eastAsia="HG Mincho Light J" w:hAnsi="Thorndale"/>
              <w:b/>
              <w:color w:val="000000"/>
              <w:szCs w:val="24"/>
              <w:lang w:eastAsia="lt-LT"/>
            </w:rPr>
          </w:pPr>
          <w:r>
            <w:rPr>
              <w:rFonts w:ascii="Thorndale" w:eastAsia="HG Mincho Light J" w:hAnsi="Thorndale"/>
              <w:b/>
              <w:color w:val="000000"/>
              <w:szCs w:val="24"/>
              <w:lang w:eastAsia="lt-LT"/>
            </w:rPr>
            <w:t>nauja redakcija</w:t>
          </w:r>
        </w:p>
        <w:p w14:paraId="301492CF" w14:textId="11FEB483">
          <w:pPr>
            <w:keepNext/>
            <w:widowControl w:val="0"/>
            <w:tabs>
              <w:tab w:val="left" w:pos="0"/>
            </w:tabs>
            <w:suppressAutoHyphens/>
            <w:ind w:firstLine="720"/>
            <w:jc w:val="center"/>
            <w:outlineLvl w:val="1"/>
            <w:rPr>
              <w:rFonts w:eastAsia="HG Mincho Light J"/>
              <w:b/>
              <w:color w:val="000000"/>
              <w:szCs w:val="24"/>
              <w:lang w:eastAsia="lt-LT"/>
            </w:rPr>
          </w:pPr>
        </w:p>
        <w:p w14:paraId="2050DD34" w14:textId="2834F098">
          <w:pPr>
            <w:keepNext/>
            <w:widowControl w:val="0"/>
            <w:tabs>
              <w:tab w:val="left" w:pos="0"/>
            </w:tabs>
            <w:suppressAutoHyphens/>
            <w:ind w:firstLine="720"/>
            <w:jc w:val="center"/>
            <w:outlineLvl w:val="1"/>
            <w:rPr>
              <w:rFonts w:eastAsia="HG Mincho Light J"/>
              <w:b/>
              <w:color w:val="000000"/>
              <w:szCs w:val="24"/>
              <w:lang w:eastAsia="lt-LT"/>
            </w:rPr>
          </w:pPr>
        </w:p>
        <w:p w14:paraId="5942CABD" w14:textId="691365CA">
          <w:pPr>
            <w:keepNext/>
            <w:widowControl w:val="0"/>
            <w:tabs>
              <w:tab w:val="left" w:pos="0"/>
            </w:tabs>
            <w:suppressAutoHyphens/>
            <w:ind w:firstLine="720"/>
            <w:jc w:val="center"/>
            <w:outlineLvl w:val="1"/>
            <w:rPr>
              <w:rFonts w:eastAsia="HG Mincho Light J"/>
              <w:b/>
              <w:color w:val="000000"/>
              <w:szCs w:val="24"/>
              <w:lang w:eastAsia="lt-LT"/>
            </w:rPr>
          </w:pPr>
          <w:r>
            <w:rPr>
              <w:rFonts w:eastAsia="HG Mincho Light J"/>
              <w:b/>
              <w:color w:val="000000"/>
              <w:szCs w:val="24"/>
              <w:lang w:eastAsia="lt-LT"/>
            </w:rPr>
            <w:t>ŠIAULIŲ MIESTO SAVIVALDYBĖS TARYBA</w:t>
          </w:r>
        </w:p>
        <w:p w14:paraId="72688CFF" w14:textId="77777777">
          <w:pPr>
            <w:widowControl w:val="0"/>
            <w:suppressAutoHyphens/>
            <w:jc w:val="center"/>
            <w:rPr>
              <w:rFonts w:eastAsia="HG Mincho Light J"/>
              <w:b/>
              <w:color w:val="000000"/>
              <w:szCs w:val="24"/>
              <w:lang w:eastAsia="lt-LT"/>
            </w:rPr>
          </w:pPr>
        </w:p>
        <w:p w14:paraId="2FF618C2"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0F20A9B7" w14:textId="270005DA">
          <w:pPr>
            <w:widowControl w:val="0"/>
            <w:suppressAutoHyphens/>
            <w:jc w:val="center"/>
            <w:rPr>
              <w:rFonts w:eastAsia="HG Mincho Light J"/>
              <w:b/>
              <w:color w:val="000000"/>
              <w:szCs w:val="24"/>
              <w:lang w:eastAsia="lt-LT"/>
            </w:rPr>
          </w:pPr>
          <w:r>
            <w:rPr>
              <w:rFonts w:eastAsia="HG Mincho Light J"/>
              <w:b/>
              <w:color w:val="000000"/>
              <w:szCs w:val="24"/>
              <w:lang w:eastAsia="lt-LT"/>
            </w:rPr>
            <w:t>DĖL</w:t>
          </w:r>
          <w:r>
            <w:rPr>
              <w:rFonts w:ascii="Thorndale" w:eastAsia="HG Mincho Light J" w:hAnsi="Thorndale"/>
              <w:b/>
              <w:bCs/>
              <w:color w:val="000000"/>
              <w:szCs w:val="24"/>
              <w:lang w:eastAsia="lt-LT"/>
            </w:rPr>
            <w:t> 2024–2029 M. ŠIAULIŲ MIESTO TVARIOS PLĖTROS STRATEGIJOS PATVIRTINIMO</w:t>
          </w:r>
        </w:p>
        <w:p w14:paraId="731B7FC9" w14:textId="77777777">
          <w:pPr>
            <w:widowControl w:val="0"/>
            <w:suppressAutoHyphens/>
            <w:jc w:val="center"/>
            <w:rPr>
              <w:rFonts w:eastAsia="HG Mincho Light J"/>
              <w:color w:val="000000"/>
              <w:szCs w:val="24"/>
              <w:lang w:eastAsia="lt-LT"/>
            </w:rPr>
          </w:pPr>
        </w:p>
        <w:p w14:paraId="0102259A" w14:textId="2CC18BEF">
          <w:pPr>
            <w:widowControl w:val="0"/>
            <w:suppressAutoHyphens/>
            <w:jc w:val="center"/>
            <w:rPr>
              <w:rFonts w:eastAsia="HG Mincho Light J"/>
              <w:color w:val="000000"/>
              <w:szCs w:val="24"/>
              <w:lang w:eastAsia="lt-LT"/>
            </w:rPr>
          </w:pPr>
          <w:r>
            <w:rPr>
              <w:rFonts w:eastAsia="HG Mincho Light J"/>
              <w:color w:val="000000"/>
              <w:szCs w:val="24"/>
              <w:lang w:eastAsia="lt-LT"/>
            </w:rPr>
            <w:t>2024 m. .............. d. Nr. ...</w:t>
          </w:r>
        </w:p>
        <w:p w14:paraId="4A6947DB"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43F67E44" w14:textId="77777777">
          <w:pPr>
            <w:widowControl w:val="0"/>
            <w:suppressLineNumbers/>
            <w:tabs>
              <w:tab w:val="left" w:pos="5280"/>
              <w:tab w:val="left" w:pos="7395"/>
            </w:tabs>
            <w:suppressAutoHyphens/>
            <w:rPr>
              <w:rFonts w:eastAsia="HG Mincho Light J"/>
              <w:color w:val="000000"/>
              <w:szCs w:val="24"/>
              <w:lang w:eastAsia="lt-LT"/>
            </w:rPr>
          </w:pPr>
        </w:p>
        <w:p w14:paraId="6256D69C" w14:textId="77777777">
          <w:pPr>
            <w:widowControl w:val="0"/>
            <w:suppressAutoHyphens/>
            <w:rPr>
              <w:rFonts w:eastAsia="HG Mincho Light J"/>
              <w:color w:val="000000"/>
              <w:szCs w:val="24"/>
              <w:lang w:eastAsia="lt-LT"/>
            </w:rPr>
          </w:pPr>
        </w:p>
        <w:sdt>
          <w:sdtPr>
            <w:alias w:val="preambule"/>
            <w:tag w:val="part_f1e965a0d6d74352b473c0a45cf88d4b"/>
            <w:lock w:val="sdtLocked"/>
            <w:richText/>
          </w:sdtPr>
          <w:sdtContent>
            <w:p w14:paraId="69D5E67A" w14:textId="575117A1">
              <w:pPr>
                <w:ind w:firstLine="851"/>
                <w:jc w:val="both"/>
                <w:rPr>
                  <w:color w:val="000000"/>
                  <w:szCs w:val="24"/>
                  <w:lang w:eastAsia="lt-LT"/>
                </w:rPr>
              </w:pPr>
              <w:r>
                <w:rPr>
                  <w:color w:val="000000"/>
                  <w:szCs w:val="24"/>
                  <w:lang w:eastAsia="lt-LT"/>
                </w:rPr>
                <w:t>Vadovaudamasi Lietuvos Respublikos vietos savivaldos įstatymo 15 straipsnio 2 dalies 32 punktu, Tvarios miesto plėtros strategijų ir funkcinių zonų strategijų rengimo ir įgyvendinimo stebėsenos tvarkos aprašo, patvirtinto Lietuvos Respublikos vidaus reikalų ministro 2023 m. sausio 19 d. įsakymu Nr. 1V-30 „Dėl Tvarios miesto plėtros strategijų ir funkcinių zonų strategijų rengimo ir įgyvendinimo stebėsenos tvarkos aprašo patvirtinimo“, 29, 30 punktais, atsižvelgdama į 2024</w:t>
              </w:r>
              <w:r>
                <w:rPr>
                  <w:rFonts w:ascii="Cambria Math" w:hAnsi="Cambria Math" w:cs="Cambria Math"/>
                  <w:color w:val="000000"/>
                  <w:szCs w:val="24"/>
                  <w:lang w:eastAsia="lt-LT"/>
                </w:rPr>
                <w:t>‑</w:t>
              </w:r>
              <w:r>
                <w:rPr>
                  <w:color w:val="000000"/>
                  <w:szCs w:val="24"/>
                  <w:lang w:eastAsia="lt-LT"/>
                </w:rPr>
                <w:t>01-30 Lietuvos Respublikos vidaus reikalų ministerijos raštą Nr. 1D-500, Šiaulių miesto savivaldybės taryba </w:t>
              </w:r>
              <w:r>
                <w:rPr>
                  <w:color w:val="000000"/>
                  <w:spacing w:val="40"/>
                  <w:szCs w:val="24"/>
                  <w:lang w:eastAsia="lt-LT"/>
                </w:rPr>
                <w:t xml:space="preserve"> nusprendžia</w:t>
              </w:r>
              <w:r>
                <w:rPr>
                  <w:color w:val="000000"/>
                  <w:szCs w:val="24"/>
                  <w:lang w:eastAsia="lt-LT"/>
                </w:rPr>
                <w:t xml:space="preserve">: </w:t>
              </w:r>
            </w:p>
          </w:sdtContent>
        </w:sdt>
        <w:sdt>
          <w:sdtPr>
            <w:alias w:val="pastraipa"/>
            <w:tag w:val="part_e24714a0adb344a0adfcecbb8367dadb"/>
            <w:lock w:val="sdtLocked"/>
            <w:richText/>
          </w:sdtPr>
          <w:sdtContent>
            <w:p w14:paraId="69E2EA43" w14:textId="46ED416E">
              <w:pPr>
                <w:ind w:firstLine="851"/>
                <w:jc w:val="both"/>
                <w:rPr>
                  <w:color w:val="000000"/>
                  <w:szCs w:val="24"/>
                  <w:lang w:eastAsia="lt-LT"/>
                </w:rPr>
              </w:pPr>
              <w:r>
                <w:rPr>
                  <w:color w:val="000000"/>
                  <w:szCs w:val="24"/>
                  <w:lang w:eastAsia="lt-LT"/>
                </w:rPr>
                <w:t>Patvirtinti 2024–2029 m. Šiaulių miesto tvarios plėtros strategiją (pridedama).</w:t>
              </w:r>
            </w:p>
            <w:p w14:paraId="218E6929" w14:textId="77777777">
              <w:pPr>
                <w:widowControl w:val="0"/>
                <w:tabs>
                  <w:tab w:val="left" w:pos="1276"/>
                </w:tabs>
                <w:suppressAutoHyphens/>
                <w:ind w:firstLine="567"/>
                <w:jc w:val="both"/>
                <w:rPr>
                  <w:rFonts w:ascii="Calibri" w:eastAsia="HG Mincho Light J" w:hAnsi="Calibri" w:cs="Calibri"/>
                  <w:color w:val="000000"/>
                  <w:sz w:val="22"/>
                  <w:szCs w:val="22"/>
                </w:rPr>
              </w:pPr>
              <w:r>
                <w:rPr>
                  <w:rFonts w:ascii="Thorndale" w:eastAsia="HG Mincho Light J" w:hAnsi="Thorndale"/>
                  <w:color w:val="000000"/>
                  <w:szCs w:val="24"/>
                  <w:lang w:eastAsia="lt-LT"/>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40096C11" w14:textId="77777777">
              <w:pPr>
                <w:jc w:val="both"/>
                <w:rPr>
                  <w:color w:val="000000"/>
                  <w:szCs w:val="24"/>
                  <w:lang w:eastAsia="lt-LT"/>
                </w:rPr>
              </w:pPr>
            </w:p>
            <w:p w14:paraId="09A05CFB" w14:textId="77777777">
              <w:pPr>
                <w:jc w:val="both"/>
                <w:rPr>
                  <w:color w:val="000000"/>
                  <w:szCs w:val="24"/>
                  <w:lang w:eastAsia="lt-LT"/>
                </w:rPr>
              </w:pPr>
            </w:p>
          </w:sdtContent>
        </w:sdt>
        <w:sdt>
          <w:sdtPr>
            <w:alias w:val="signatura"/>
            <w:tag w:val="part_5e1e4ccd6325432e8c958d2ea8939991"/>
            <w:lock w:val="sdtLocked"/>
            <w:richText/>
          </w:sdtPr>
          <w:sdtContent>
            <w:p w14:paraId="18EBD298" w14:textId="77777777">
              <w:pPr>
                <w:spacing w:line="360" w:lineRule="atLeast"/>
                <w:jc w:val="both"/>
                <w:rPr>
                  <w:color w:val="000000"/>
                  <w:szCs w:val="24"/>
                  <w:lang w:eastAsia="lt-LT"/>
                </w:rPr>
              </w:pPr>
              <w:r>
                <w:rPr>
                  <w:color w:val="000000"/>
                  <w:szCs w:val="24"/>
                  <w:lang w:eastAsia="lt-LT"/>
                </w:rPr>
                <w:t>Savivaldybės meras      </w:t>
              </w:r>
            </w:p>
            <w:p w14:paraId="38740BB1" w14:textId="4336510E">
              <w:pPr>
                <w:widowControl w:val="0"/>
                <w:suppressAutoHyphens/>
                <w:ind w:firstLine="1122"/>
                <w:jc w:val="both"/>
                <w:rPr>
                  <w:rFonts w:eastAsia="HG Mincho Light J"/>
                  <w:color w:val="000000"/>
                  <w:szCs w:val="24"/>
                  <w:lang w:eastAsia="lt-LT"/>
                </w:rPr>
              </w:pPr>
            </w:p>
            <w:p w14:paraId="56F16A27" w14:textId="77777777">
              <w:pPr>
                <w:widowControl w:val="0"/>
                <w:suppressAutoHyphens/>
                <w:ind w:firstLine="1122"/>
                <w:jc w:val="both"/>
                <w:rPr>
                  <w:rFonts w:eastAsia="HG Mincho Light J"/>
                  <w:color w:val="000000"/>
                  <w:szCs w:val="24"/>
                  <w:lang w:eastAsia="lt-LT"/>
                </w:rPr>
              </w:pPr>
            </w:p>
            <w:p w14:paraId="7E84441D" w14:textId="77777777">
              <w:pPr>
                <w:widowControl w:val="0"/>
                <w:suppressAutoHyphens/>
                <w:rPr>
                  <w:rFonts w:eastAsia="HG Mincho Light J"/>
                  <w:color w:val="000000"/>
                  <w:szCs w:val="24"/>
                  <w:lang w:eastAsia="lt-LT"/>
                </w:rPr>
              </w:pPr>
            </w:p>
            <w:p w14:paraId="33360FE3" w14:textId="77777777">
              <w:pPr>
                <w:widowControl w:val="0"/>
                <w:suppressAutoHyphens/>
                <w:rPr>
                  <w:rFonts w:eastAsia="HG Mincho Light J"/>
                  <w:color w:val="000000"/>
                  <w:szCs w:val="24"/>
                  <w:lang w:eastAsia="lt-LT"/>
                </w:rPr>
              </w:pPr>
            </w:p>
            <w:p w14:paraId="3C0C3AFA" w14:textId="77777777">
              <w:pPr>
                <w:widowControl w:val="0"/>
                <w:suppressAutoHyphens/>
                <w:rPr>
                  <w:rFonts w:eastAsia="HG Mincho Light J"/>
                  <w:color w:val="000000"/>
                  <w:szCs w:val="24"/>
                  <w:lang w:eastAsia="lt-LT"/>
                </w:rPr>
              </w:pPr>
            </w:p>
            <w:p w14:paraId="3C3F558C" w14:textId="77777777">
              <w:pPr>
                <w:widowControl w:val="0"/>
                <w:suppressAutoHyphens/>
                <w:rPr>
                  <w:rFonts w:eastAsia="HG Mincho Light J"/>
                  <w:color w:val="000000"/>
                  <w:szCs w:val="24"/>
                  <w:lang w:eastAsia="lt-LT"/>
                </w:rPr>
              </w:pPr>
            </w:p>
            <w:p w14:paraId="64C1B5B2" w14:textId="77777777">
              <w:pPr>
                <w:widowControl w:val="0"/>
                <w:suppressAutoHyphens/>
                <w:rPr>
                  <w:rFonts w:eastAsia="HG Mincho Light J"/>
                  <w:color w:val="000000"/>
                  <w:szCs w:val="24"/>
                  <w:lang w:eastAsia="lt-LT"/>
                </w:rPr>
              </w:pPr>
            </w:p>
            <w:p w14:paraId="766465B2" w14:textId="77777777">
              <w:pPr>
                <w:widowControl w:val="0"/>
                <w:suppressAutoHyphens/>
                <w:rPr>
                  <w:rFonts w:eastAsia="HG Mincho Light J"/>
                  <w:color w:val="000000"/>
                  <w:szCs w:val="24"/>
                  <w:lang w:eastAsia="lt-LT"/>
                </w:rPr>
              </w:pPr>
            </w:p>
            <w:p w14:paraId="049E5D6C" w14:textId="77777777">
              <w:pPr>
                <w:widowControl w:val="0"/>
                <w:suppressAutoHyphens/>
                <w:rPr>
                  <w:rFonts w:eastAsia="HG Mincho Light J"/>
                  <w:color w:val="000000"/>
                  <w:szCs w:val="24"/>
                  <w:lang w:eastAsia="lt-LT"/>
                </w:rPr>
              </w:pPr>
            </w:p>
            <w:p w14:paraId="4A72A02C" w14:textId="77777777">
              <w:pPr>
                <w:widowControl w:val="0"/>
                <w:suppressAutoHyphens/>
                <w:rPr>
                  <w:rFonts w:eastAsia="HG Mincho Light J"/>
                  <w:color w:val="000000"/>
                  <w:szCs w:val="24"/>
                  <w:lang w:eastAsia="lt-LT"/>
                </w:rPr>
              </w:pPr>
            </w:p>
            <w:p w14:paraId="2A778AB5" w14:textId="77777777">
              <w:pPr>
                <w:widowControl w:val="0"/>
                <w:suppressAutoHyphens/>
                <w:rPr>
                  <w:rFonts w:eastAsia="HG Mincho Light J"/>
                  <w:color w:val="000000"/>
                  <w:szCs w:val="24"/>
                  <w:lang w:eastAsia="lt-LT"/>
                </w:rPr>
              </w:pPr>
            </w:p>
            <w:p w14:paraId="4711099C" w14:textId="77777777">
              <w:pPr>
                <w:widowControl w:val="0"/>
                <w:suppressAutoHyphens/>
                <w:rPr>
                  <w:rFonts w:eastAsia="HG Mincho Light J"/>
                  <w:color w:val="000000"/>
                  <w:szCs w:val="24"/>
                  <w:lang w:eastAsia="lt-LT"/>
                </w:rPr>
              </w:pPr>
            </w:p>
            <w:p w14:paraId="73AA86ED" w14:textId="77777777">
              <w:pPr>
                <w:widowControl w:val="0"/>
                <w:suppressAutoHyphens/>
                <w:rPr>
                  <w:rFonts w:eastAsia="HG Mincho Light J"/>
                  <w:color w:val="000000"/>
                  <w:szCs w:val="24"/>
                  <w:lang w:eastAsia="lt-LT"/>
                </w:rPr>
              </w:pPr>
            </w:p>
            <w:p w14:paraId="70072975" w14:textId="77777777">
              <w:pPr>
                <w:widowControl w:val="0"/>
                <w:suppressAutoHyphens/>
                <w:rPr>
                  <w:rFonts w:eastAsia="HG Mincho Light J"/>
                  <w:color w:val="000000"/>
                  <w:szCs w:val="24"/>
                  <w:lang w:eastAsia="lt-LT"/>
                </w:rPr>
              </w:pPr>
            </w:p>
            <w:p w14:paraId="68CE5EDB" w14:textId="77777777"/>
          </w:sdtContent>
        </w:sdt>
      </w:sdtContent>
    </w:sdt>
    <w:sectPr>
      <w:footerReference w:type="default" r:id="rId6"/>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539933"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56A1AED2"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mbria"/>
    <w:panose1 w:val="00000000000000000000"/>
    <w:charset w:val="00"/>
    <w:family w:val="roman"/>
    <w:notTrueType/>
    <w:pitch w:val="default"/>
    <w:sig w:usb0="00000005" w:usb1="00000000" w:usb2="00000000" w:usb3="00000000" w:csb0="00000080" w:csb1="00000000"/>
  </w:font>
  <w:font w:name="Cambria Math">
    <w:panose1 w:val="02040503050406030204"/>
    <w:charset w:val="BA"/>
    <w:family w:val="roman"/>
    <w:pitch w:val="variable"/>
    <w:sig w:usb0="E00002FF" w:usb1="420024FF" w:usb2="00000000" w:usb3="00000000" w:csb0="000001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7EA39"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4B10A9"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668F085C"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4CA04"/>
  <w15:chartTrackingRefBased/>
  <w15:docId w15:val="{3BE10452-4A1C-4929-89A8-17CA85FAE7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43109740">
      <w:bodyDiv w:val="1"/>
      <w:marLeft w:val="0"/>
      <w:marRight w:val="0"/>
      <w:marTop w:val="0"/>
      <w:marBottom w:val="0"/>
      <w:divBdr>
        <w:top w:val="none" w:sz="0" w:space="0" w:color="auto"/>
        <w:left w:val="none" w:sz="0" w:space="0" w:color="auto"/>
        <w:bottom w:val="none" w:sz="0" w:space="0" w:color="auto"/>
        <w:right w:val="none" w:sz="0" w:space="0" w:color="auto"/>
      </w:divBdr>
      <w:divsChild>
        <w:div w:id="833689195">
          <w:marLeft w:val="0"/>
          <w:marRight w:val="0"/>
          <w:marTop w:val="0"/>
          <w:marBottom w:val="0"/>
          <w:divBdr>
            <w:top w:val="none" w:sz="0" w:space="0" w:color="auto"/>
            <w:left w:val="none" w:sz="0" w:space="0" w:color="auto"/>
            <w:bottom w:val="none" w:sz="0" w:space="0" w:color="auto"/>
            <w:right w:val="none" w:sz="0" w:space="0" w:color="auto"/>
          </w:divBdr>
        </w:div>
        <w:div w:id="593394665">
          <w:marLeft w:val="0"/>
          <w:marRight w:val="0"/>
          <w:marTop w:val="0"/>
          <w:marBottom w:val="0"/>
          <w:divBdr>
            <w:top w:val="none" w:sz="0" w:space="0" w:color="auto"/>
            <w:left w:val="none" w:sz="0" w:space="0" w:color="auto"/>
            <w:bottom w:val="none" w:sz="0" w:space="0" w:color="auto"/>
            <w:right w:val="none" w:sz="0" w:space="0" w:color="auto"/>
          </w:divBdr>
        </w:div>
        <w:div w:id="365058837">
          <w:marLeft w:val="0"/>
          <w:marRight w:val="0"/>
          <w:marTop w:val="0"/>
          <w:marBottom w:val="0"/>
          <w:divBdr>
            <w:top w:val="none" w:sz="0" w:space="0" w:color="auto"/>
            <w:left w:val="none" w:sz="0" w:space="0" w:color="auto"/>
            <w:bottom w:val="none" w:sz="0" w:space="0" w:color="auto"/>
            <w:right w:val="none" w:sz="0" w:space="0" w:color="auto"/>
          </w:divBdr>
          <w:divsChild>
            <w:div w:id="1033847189">
              <w:marLeft w:val="0"/>
              <w:marRight w:val="0"/>
              <w:marTop w:val="0"/>
              <w:marBottom w:val="0"/>
              <w:divBdr>
                <w:top w:val="none" w:sz="0" w:space="0" w:color="auto"/>
                <w:left w:val="none" w:sz="0" w:space="0" w:color="auto"/>
                <w:bottom w:val="none" w:sz="0" w:space="0" w:color="auto"/>
                <w:right w:val="none" w:sz="0" w:space="0" w:color="auto"/>
              </w:divBdr>
            </w:div>
            <w:div w:id="17312958">
              <w:marLeft w:val="0"/>
              <w:marRight w:val="0"/>
              <w:marTop w:val="0"/>
              <w:marBottom w:val="0"/>
              <w:divBdr>
                <w:top w:val="none" w:sz="0" w:space="0" w:color="auto"/>
                <w:left w:val="none" w:sz="0" w:space="0" w:color="auto"/>
                <w:bottom w:val="none" w:sz="0" w:space="0" w:color="auto"/>
                <w:right w:val="none" w:sz="0" w:space="0" w:color="auto"/>
              </w:divBdr>
            </w:div>
          </w:divsChild>
        </w:div>
        <w:div w:id="14299594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91cb688419428898520df3d85c0e94" PartId="357c501bd8594ab989e3600328c4e198">
    <Part Type="preambule" DocPartId="c222a374d9d1478a9d6a5f10525b687a" PartId="f1e965a0d6d74352b473c0a45cf88d4b"/>
    <Part Type="pastraipa" DocPartId="8378edbb95024204817e708f72bacc2f" PartId="e24714a0adb344a0adfcecbb8367dadb"/>
    <Part Type="signatura" DocPartId="dd525856c7844bbdba81ee5399c69968" PartId="5e1e4ccd6325432e8c958d2ea8939991"/>
  </Part>
</Parts>
</file>

<file path=customXml/itemProps1.xml><?xml version="1.0" encoding="utf-8"?>
<ds:datastoreItem xmlns:ds="http://schemas.openxmlformats.org/officeDocument/2006/customXml" ds:itemID="{A3B9426D-3E4E-4D74-957C-9DFCE02613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165</Words>
  <Characters>1119</Characters>
  <Application>Microsoft Office Word</Application>
  <DocSecurity>4</DocSecurity>
  <Lines>46</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2024-01-31T07:38:00Z</dcterms:created>
  <dc:creator>Violeta Valančienė</dc:creator>
  <lastModifiedBy>adlibuser</lastModifiedBy>
  <dcterms:modified xsi:type="dcterms:W3CDTF">2024-01-31T07:38:00Z</dcterms:modified>
  <revision>2</revision>
</coreProperties>
</file>