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3480a85874d4d2292aa9145b64273a1"/>
        <w:lock w:val="sdtLocked"/>
        <w:richText/>
      </w:sdtPr>
      <w:sdtContent>
        <w:p>
          <w:pPr>
            <w:tabs>
              <w:tab w:val="center" w:pos="4819"/>
            </w:tabs>
            <w:rPr>
              <w:b/>
              <w:bCs/>
              <w:szCs w:val="24"/>
            </w:rPr>
          </w:pPr>
          <w:r>
            <w:rPr>
              <w:szCs w:val="24"/>
            </w:rPr>
            <w:tab/>
            <w:tab/>
            <w:tab/>
            <w:tab/>
            <w:tab/>
            <w:tab/>
          </w:r>
          <w:r>
            <w:rPr>
              <w:b/>
              <w:bCs/>
              <w:szCs w:val="24"/>
            </w:rPr>
            <w:t>Projektas</w:t>
          </w:r>
        </w:p>
        <w:sdt>
          <w:sdtPr>
            <w:alias w:val="preambule"/>
            <w:tag w:val="part_da31e30c4fe246858d5491ad9556d9ec"/>
            <w:lock w:val="sdtLocked"/>
            <w:richText/>
          </w:sdtPr>
          <w:sdtContent>
            <w:p>
              <w:pPr>
                <w:tabs>
                  <w:tab w:val="center" w:pos="4819"/>
                </w:tabs>
                <w:rPr>
                  <w:szCs w:val="24"/>
                </w:rPr>
              </w:pPr>
              <w:r>
                <w:rPr>
                  <w:szCs w:val="24"/>
                </w:rPr>
                <w:tab/>
                <w:tab/>
                <w:tab/>
                <w:tab/>
                <w:tab/>
                <w:tab/>
                <w:t>Nr. TSP</w:t>
              </w:r>
            </w:p>
            <w:p>
              <w:pPr>
                <w:keepNext/>
                <w:outlineLvl w:val="1"/>
                <w:rPr>
                  <w:b/>
                  <w:szCs w:val="22"/>
                </w:rPr>
              </w:pPr>
            </w:p>
          </w:sdtContent>
        </w:sdt>
        <w:sdt>
          <w:sdtPr>
            <w:alias w:val="skirsnis"/>
            <w:tag w:val="part_fa05038740594719a0ced8f438e1f1b5"/>
            <w:lock w:val="sdtLocked"/>
            <w:richText/>
          </w:sdtPr>
          <w:sdtContent>
            <w:p>
              <w:pPr>
                <w:keepNext/>
                <w:jc w:val="center"/>
                <w:outlineLvl w:val="1"/>
                <w:rPr>
                  <w:b/>
                  <w:szCs w:val="22"/>
                </w:rPr>
              </w:pPr>
              <w:sdt>
                <w:sdtPr>
                  <w:alias w:val="Pavadinimas"/>
                  <w:tag w:val="title_fa05038740594719a0ced8f438e1f1b5"/>
                  <w:lock w:val="sdtLocked"/>
                  <w:richText/>
                </w:sdtPr>
                <w:sdtContent>
                  <w:r>
                    <w:rPr>
                      <w:b/>
                      <w:szCs w:val="22"/>
                    </w:rPr>
                    <w:t>RADVILIŠKIO RAJONO SAVIVALDYBĖS TARYBA</w:t>
                  </w:r>
                </w:sdtContent>
              </w:sdt>
            </w:p>
            <w:p>
              <w:pPr>
                <w:rPr>
                  <w:szCs w:val="22"/>
                </w:rPr>
              </w:pPr>
            </w:p>
          </w:sdtContent>
        </w:sdt>
        <w:sdt>
          <w:sdtPr>
            <w:alias w:val="skirsnis"/>
            <w:tag w:val="part_dfed7a919e0f48c19ceba588cb066cde"/>
            <w:lock w:val="sdtLocked"/>
            <w:richText/>
          </w:sdtPr>
          <w:sdtContent>
            <w:sdt>
              <w:sdtPr>
                <w:alias w:val="Pavadinimas"/>
                <w:tag w:val="title_dfed7a919e0f48c19ceba588cb066cde"/>
                <w:lock w:val="sdtLocked"/>
                <w:richText/>
              </w:sdtPr>
              <w:sdtContent>
                <w:p>
                  <w:pPr>
                    <w:widowControl w:val="0"/>
                    <w:suppressAutoHyphens/>
                    <w:jc w:val="center"/>
                    <w:rPr>
                      <w:b/>
                      <w:bCs/>
                      <w:szCs w:val="24"/>
                      <w:lang w:eastAsia="ar-SA"/>
                    </w:rPr>
                  </w:pPr>
                  <w:r>
                    <w:rPr>
                      <w:b/>
                      <w:bCs/>
                      <w:szCs w:val="24"/>
                      <w:lang w:eastAsia="ar-SA"/>
                    </w:rPr>
                    <w:t>SPRENDIMAS</w:t>
                  </w:r>
                </w:p>
                <w:p>
                  <w:pPr>
                    <w:widowControl w:val="0"/>
                    <w:suppressAutoHyphens/>
                    <w:jc w:val="center"/>
                    <w:rPr>
                      <w:b/>
                      <w:bCs/>
                      <w:szCs w:val="24"/>
                      <w:shd w:val="clear" w:color="auto" w:fill="FFFFFF"/>
                      <w:lang w:eastAsia="ar-SA"/>
                    </w:rPr>
                  </w:pPr>
                  <w:r>
                    <w:rPr>
                      <w:b/>
                      <w:bCs/>
                      <w:szCs w:val="24"/>
                      <w:shd w:val="clear" w:color="auto" w:fill="FFFFFF"/>
                      <w:lang w:eastAsia="ar-SA"/>
                    </w:rPr>
                    <w:t>DĖL SOCIALINIO BŪSTO PIRKIMO</w:t>
                  </w:r>
                </w:p>
              </w:sdtContent>
            </w:sdt>
            <w:p>
              <w:pPr>
                <w:widowControl w:val="0"/>
                <w:suppressAutoHyphens/>
                <w:rPr>
                  <w:szCs w:val="24"/>
                  <w:lang w:eastAsia="ar-SA"/>
                </w:rPr>
              </w:pPr>
            </w:p>
            <w:p>
              <w:pPr>
                <w:widowControl w:val="0"/>
                <w:suppressAutoHyphens/>
                <w:ind w:firstLine="60"/>
                <w:jc w:val="center"/>
                <w:rPr>
                  <w:szCs w:val="24"/>
                  <w:lang w:eastAsia="ar-SA"/>
                </w:rPr>
              </w:pPr>
              <w:r>
                <w:rPr>
                  <w:szCs w:val="24"/>
                  <w:lang w:eastAsia="ar-SA"/>
                </w:rPr>
                <w:t xml:space="preserve">2025 m.                                    d. Nr. T-</w:t>
              </w:r>
            </w:p>
            <w:p>
              <w:pPr>
                <w:widowControl w:val="0"/>
                <w:suppressAutoHyphens/>
                <w:jc w:val="center"/>
                <w:rPr>
                  <w:szCs w:val="24"/>
                  <w:lang w:eastAsia="ar-SA"/>
                </w:rPr>
              </w:pPr>
              <w:r>
                <w:rPr>
                  <w:szCs w:val="24"/>
                  <w:lang w:eastAsia="ar-SA"/>
                </w:rPr>
                <w:t>Radviliškis</w:t>
              </w:r>
            </w:p>
            <w:p>
              <w:pPr>
                <w:widowControl w:val="0"/>
                <w:suppressAutoHyphens/>
                <w:jc w:val="both"/>
                <w:rPr>
                  <w:szCs w:val="24"/>
                  <w:lang w:eastAsia="ar-SA"/>
                </w:rPr>
              </w:pPr>
            </w:p>
            <w:p>
              <w:pPr>
                <w:widowControl w:val="0"/>
                <w:suppressAutoHyphens/>
                <w:ind w:firstLine="709"/>
                <w:jc w:val="both"/>
                <w:rPr>
                  <w:spacing w:val="-6"/>
                  <w:szCs w:val="24"/>
                  <w:lang w:eastAsia="ar-SA"/>
                </w:rPr>
              </w:pPr>
              <w:r>
                <w:rPr>
                  <w:spacing w:val="-6"/>
                  <w:szCs w:val="24"/>
                  <w:lang w:eastAsia="ar-SA"/>
                </w:rPr>
                <w:t>Vadovaudamasi Lietuvos Respublikos vietos savivaldos įstatymo 15</w:t>
              </w:r>
              <w:r>
                <w:rPr>
                  <w:color w:val="000000"/>
                  <w:spacing w:val="-6"/>
                  <w:szCs w:val="24"/>
                  <w:lang w:eastAsia="ar-SA"/>
                </w:rPr>
                <w:t xml:space="preserve"> straipsnio 2 dalies 23 punktu, Lietuvos Respublikos valstybės ir savivaldybių turto valdymo, naudojimo ir disponavimo juo įstatymo 6 straipsnio 5 punktu, Lietuvos Respublikos paramos būstui įsigyti ar išsinuomoti įstatymo 5 straipsnio 4 dalimi, Žemės, esamų pastatų ar kitų nekilnojamųjų daiktų pirkimo arba nuomos ar teisių į šiuos daiktus įsigijimo tvarkos aprašu, patvirtintu Lietuvos Respublikos Vyriausybės 2017 m. gruodžio 13 d. nutarimo Nr. 1036 „Dėl Žemės, esamų pastatų ar kitų nekilnojamųjų daiktų pirkimų arba nuomos ar teisių į šiuos daiktus įsigijimo tvarkos aprašo patvirtinimo“ 1 punktu, įgyvendindama Radviliškio rajono savivaldybės tarybos 2023 m. rugpjūčio 31 d. sprendimo Nr. T-105 „Dėl Radviliškio rajono savivaldybės vardu sudaromų sutarčių pasirašymo tvarkos aprašo patvirtinimo“ 1 punktu patvirtinto Radviliškio rajono savivaldybės vardu sudaromų sutarčių pasirašymo tvarkos aprašo 5.10 papunkčiu, 9 punktu, 13.1. papunkčiu, atsižvelgdama į Radviliškio rajono savivaldybės administracijos direktoriaus 2024 m. spalio 16 d. įsakymą Nr. A-527 (8.2 E) „Dėl socialinio būsto pirkimo neskelbiamų derybų būdu“ (toliau – Įsakymas) bei 2024 m. liepos </w:t>
              </w:r>
              <w:r>
                <w:rPr>
                  <w:spacing w:val="-6"/>
                  <w:szCs w:val="24"/>
                  <w:lang w:eastAsia="ar-SA"/>
                </w:rPr>
                <w:t xml:space="preserve">25 d. </w:t>
              </w:r>
              <w:r>
                <w:rPr>
                  <w:color w:val="000000"/>
                  <w:spacing w:val="-6"/>
                  <w:szCs w:val="24"/>
                  <w:lang w:eastAsia="ar-SA"/>
                </w:rPr>
                <w:t xml:space="preserve">Įsakymu sudarytos komisijos pirkimo derybų posėdžio protokolu 2025-01-23 d. </w:t>
              </w:r>
              <w:r>
                <w:rPr>
                  <w:spacing w:val="-6"/>
                  <w:szCs w:val="24"/>
                  <w:lang w:eastAsia="ar-SA"/>
                </w:rPr>
                <w:t>Nr. 5</w:t>
              </w:r>
              <w:r>
                <w:rPr>
                  <w:color w:val="000000"/>
                  <w:spacing w:val="-6"/>
                  <w:szCs w:val="24"/>
                  <w:lang w:eastAsia="ar-SA"/>
                </w:rPr>
                <w:t xml:space="preserve">, Radviliškio rajono savivaldybės taryba </w:t>
              </w:r>
              <w:r>
                <w:rPr>
                  <w:spacing w:val="50"/>
                  <w:szCs w:val="24"/>
                  <w:lang w:eastAsia="ar-SA"/>
                </w:rPr>
                <w:t>nusprendži</w:t>
              </w:r>
              <w:r>
                <w:rPr>
                  <w:spacing w:val="-6"/>
                  <w:szCs w:val="24"/>
                  <w:lang w:eastAsia="ar-SA"/>
                </w:rPr>
                <w:t>a:</w:t>
              </w:r>
            </w:p>
            <w:sdt>
              <w:sdtPr>
                <w:alias w:val="1 p."/>
                <w:tag w:val="part_6c56269076af4dcf8d9e140b1c4c8a52"/>
                <w:lock w:val="sdtLocked"/>
                <w:richText/>
              </w:sdtPr>
              <w:sdtContent>
                <w:p>
                  <w:pPr>
                    <w:widowControl w:val="0"/>
                    <w:tabs>
                      <w:tab w:val="left" w:pos="993"/>
                    </w:tabs>
                    <w:suppressAutoHyphens/>
                    <w:ind w:firstLine="709"/>
                    <w:jc w:val="both"/>
                    <w:rPr>
                      <w:szCs w:val="24"/>
                      <w:lang w:eastAsia="ar-SA"/>
                    </w:rPr>
                  </w:pPr>
                  <w:sdt>
                    <w:sdtPr>
                      <w:alias w:val="Numeris"/>
                      <w:tag w:val="nr_6c56269076af4dcf8d9e140b1c4c8a52"/>
                      <w:lock w:val="sdtLocked"/>
                      <w:richText/>
                    </w:sdtPr>
                    <w:sdtContent>
                      <w:r>
                        <w:rPr>
                          <w:lang w:eastAsia="ar-SA"/>
                        </w:rPr>
                        <w:t>1</w:t>
                      </w:r>
                    </w:sdtContent>
                  </w:sdt>
                  <w:r>
                    <w:rPr>
                      <w:lang w:eastAsia="ar-SA"/>
                    </w:rPr>
                    <w:t>.</w:t>
                    <w:tab/>
                  </w:r>
                  <w:r>
                    <w:rPr>
                      <w:szCs w:val="24"/>
                      <w:lang w:eastAsia="ar-SA"/>
                    </w:rPr>
                    <w:t>Pirkti Radviliškio rajono savivaldybės nuosavybėn R. B. (duomenys neskelbtini) nuosavybės teise priklausantį 159,10 kv. m, namą su šuliniu, unikalus numeris (duomenys neskelbtini), esančius (duomenys neskelbtini), už 32 000,00 eurų (trisdešimt du tūkstančius eurų);</w:t>
                  </w:r>
                </w:p>
              </w:sdtContent>
            </w:sdt>
            <w:sdt>
              <w:sdtPr>
                <w:alias w:val="2 p."/>
                <w:tag w:val="part_857b132c95c942d29d11e432e047fa7a"/>
                <w:lock w:val="sdtLocked"/>
                <w:richText/>
              </w:sdtPr>
              <w:sdtContent>
                <w:p>
                  <w:pPr>
                    <w:tabs>
                      <w:tab w:val="left" w:pos="993"/>
                    </w:tabs>
                    <w:ind w:firstLine="709"/>
                    <w:jc w:val="both"/>
                    <w:rPr>
                      <w:color w:val="000000"/>
                      <w:szCs w:val="24"/>
                      <w:lang w:eastAsia="lt-LT"/>
                    </w:rPr>
                  </w:pPr>
                  <w:sdt>
                    <w:sdtPr>
                      <w:alias w:val="Numeris"/>
                      <w:tag w:val="nr_857b132c95c942d29d11e432e047fa7a"/>
                      <w:lock w:val="sdtLocked"/>
                      <w:richText/>
                    </w:sdtPr>
                    <w:sdtContent>
                      <w:r>
                        <w:rPr>
                          <w:color w:val="000000"/>
                          <w:lang w:eastAsia="lt-LT"/>
                        </w:rPr>
                        <w:t>2</w:t>
                      </w:r>
                    </w:sdtContent>
                  </w:sdt>
                  <w:r>
                    <w:rPr>
                      <w:color w:val="000000"/>
                      <w:lang w:eastAsia="lt-LT"/>
                    </w:rPr>
                    <w:t>.</w:t>
                    <w:tab/>
                  </w:r>
                  <w:r>
                    <w:rPr>
                      <w:color w:val="000000"/>
                      <w:szCs w:val="24"/>
                      <w:lang w:eastAsia="lt-LT"/>
                    </w:rPr>
                    <w:t xml:space="preserve"> Įgalioti Radviliškio rajono </w:t>
                  </w:r>
                  <w:r>
                    <w:rPr>
                      <w:bCs/>
                      <w:color w:val="000000"/>
                      <w:szCs w:val="24"/>
                      <w:lang w:eastAsia="lt-LT"/>
                    </w:rPr>
                    <w:t xml:space="preserve">savivaldybės </w:t>
                  </w:r>
                  <w:r>
                    <w:rPr>
                      <w:color w:val="000000"/>
                      <w:szCs w:val="24"/>
                      <w:lang w:eastAsia="lt-LT"/>
                    </w:rPr>
                    <w:t>administracijos direktorių</w:t>
                  </w:r>
                  <w:r>
                    <w:rPr>
                      <w:bCs/>
                      <w:color w:val="000000"/>
                      <w:szCs w:val="24"/>
                      <w:lang w:eastAsia="lt-LT"/>
                    </w:rPr>
                    <w:t xml:space="preserve"> sudaryti pirkimo–pardavimo sutartis dėl turto numatyto šio sprendimo 1 punkte ir pasirašyti kitus su įgytu turtu susijusius dokumentus.</w:t>
                  </w:r>
                </w:p>
              </w:sdtContent>
            </w:sdt>
            <w:sdt>
              <w:sdtPr>
                <w:alias w:val="3 p."/>
                <w:tag w:val="part_d7047bce9c6e4739818b28bd711fe2c9"/>
                <w:lock w:val="sdtLocked"/>
                <w:richText/>
              </w:sdtPr>
              <w:sdtContent>
                <w:p>
                  <w:pPr>
                    <w:widowControl w:val="0"/>
                    <w:tabs>
                      <w:tab w:val="left" w:pos="1134"/>
                    </w:tabs>
                    <w:suppressAutoHyphens/>
                    <w:ind w:firstLine="709"/>
                    <w:jc w:val="both"/>
                    <w:rPr>
                      <w:szCs w:val="24"/>
                      <w:lang w:eastAsia="ar-SA"/>
                    </w:rPr>
                  </w:pPr>
                  <w:sdt>
                    <w:sdtPr>
                      <w:alias w:val="Numeris"/>
                      <w:tag w:val="nr_d7047bce9c6e4739818b28bd711fe2c9"/>
                      <w:lock w:val="sdtLocked"/>
                      <w:richText/>
                    </w:sdtPr>
                    <w:sdtContent>
                      <w:r>
                        <w:rPr>
                          <w:lang w:eastAsia="ar-SA"/>
                        </w:rPr>
                        <w:t>3</w:t>
                      </w:r>
                    </w:sdtContent>
                  </w:sdt>
                  <w:r>
                    <w:rPr>
                      <w:lang w:eastAsia="ar-SA"/>
                    </w:rPr>
                    <w:t>.</w:t>
                    <w:tab/>
                  </w:r>
                  <w:r>
                    <w:rPr>
                      <w:szCs w:val="24"/>
                    </w:rPr>
                    <w:t xml:space="preserve"> Nurodyti, kad šis sprendimas  ne vėliau kaip per vieną mėnesį nuo jo įteikimo dienos gali būti skundžiamas paduodant skundą Lietuvos administracinių ginčų komisijos Šiaulių apygardos skyriui adresu: Dvaro g. 81, Šiauliai, arba Regionų administraciniam teismui bet kuriuose šio teismo rūmuose.</w:t>
                  </w:r>
                </w:p>
                <w:p>
                  <w:pPr>
                    <w:ind w:firstLine="558"/>
                    <w:jc w:val="both"/>
                    <w:rPr>
                      <w:szCs w:val="24"/>
                    </w:rPr>
                  </w:pPr>
                </w:p>
                <w:p>
                  <w:pPr>
                    <w:ind w:firstLine="720"/>
                    <w:jc w:val="both"/>
                    <w:rPr>
                      <w:szCs w:val="22"/>
                    </w:rPr>
                  </w:pPr>
                </w:p>
                <w:p>
                  <w:pPr>
                    <w:ind w:firstLine="720"/>
                    <w:jc w:val="both"/>
                    <w:rPr>
                      <w:szCs w:val="22"/>
                    </w:rPr>
                  </w:pPr>
                </w:p>
                <w:p>
                  <w:pPr>
                    <w:tabs>
                      <w:tab w:val="left" w:pos="7560"/>
                    </w:tabs>
                    <w:jc w:val="both"/>
                    <w:rPr>
                      <w:szCs w:val="22"/>
                    </w:rPr>
                  </w:pPr>
                  <w:r>
                    <w:rPr>
                      <w:szCs w:val="22"/>
                    </w:rPr>
                    <w:t xml:space="preserve">Savivaldybės meras                                                                                    </w:t>
                  </w:r>
                </w:p>
                <w:p>
                  <w:pPr>
                    <w:tabs>
                      <w:tab w:val="left" w:pos="7560"/>
                    </w:tabs>
                    <w:jc w:val="both"/>
                    <w:rPr>
                      <w:szCs w:val="22"/>
                    </w:rPr>
                  </w:pPr>
                </w:p>
                <w:p>
                  <w:pPr>
                    <w:tabs>
                      <w:tab w:val="left" w:pos="7560"/>
                    </w:tabs>
                    <w:jc w:val="both"/>
                    <w:rPr>
                      <w:szCs w:val="22"/>
                    </w:rPr>
                  </w:pPr>
                </w:p>
                <w:p>
                  <w:pPr>
                    <w:tabs>
                      <w:tab w:val="left" w:pos="7560"/>
                    </w:tabs>
                    <w:jc w:val="both"/>
                    <w:rPr>
                      <w:szCs w:val="22"/>
                    </w:rPr>
                  </w:pPr>
                </w:p>
                <w:p>
                  <w:pPr>
                    <w:tabs>
                      <w:tab w:val="left" w:pos="7560"/>
                    </w:tabs>
                    <w:jc w:val="both"/>
                    <w:rPr>
                      <w:szCs w:val="22"/>
                    </w:rPr>
                  </w:pPr>
                </w:p>
                <w:p>
                  <w:pPr>
                    <w:tabs>
                      <w:tab w:val="left" w:pos="7560"/>
                    </w:tabs>
                    <w:jc w:val="both"/>
                    <w:rPr>
                      <w:szCs w:val="22"/>
                    </w:rPr>
                  </w:pPr>
                </w:p>
                <w:p>
                  <w:pPr>
                    <w:tabs>
                      <w:tab w:val="left" w:pos="7560"/>
                    </w:tabs>
                    <w:jc w:val="both"/>
                    <w:rPr>
                      <w:szCs w:val="22"/>
                    </w:rPr>
                  </w:pPr>
                </w:p>
                <w:p>
                  <w:pPr>
                    <w:tabs>
                      <w:tab w:val="left" w:pos="7560"/>
                    </w:tabs>
                    <w:jc w:val="both"/>
                    <w:rPr>
                      <w:szCs w:val="22"/>
                    </w:rPr>
                  </w:pPr>
                </w:p>
                <w:p>
                  <w:pPr>
                    <w:tabs>
                      <w:tab w:val="left" w:pos="7560"/>
                    </w:tabs>
                    <w:jc w:val="both"/>
                    <w:rPr>
                      <w:szCs w:val="22"/>
                    </w:rPr>
                  </w:pPr>
                </w:p>
                <w:p>
                  <w:pPr>
                    <w:tabs>
                      <w:tab w:val="left" w:pos="7560"/>
                    </w:tabs>
                    <w:jc w:val="both"/>
                    <w:rPr>
                      <w:szCs w:val="22"/>
                    </w:rPr>
                  </w:pPr>
                </w:p>
                <w:p>
                  <w:pPr>
                    <w:tabs>
                      <w:tab w:val="left" w:pos="7560"/>
                    </w:tabs>
                    <w:jc w:val="both"/>
                    <w:rPr>
                      <w:szCs w:val="22"/>
                    </w:rPr>
                  </w:pPr>
                </w:p>
                <w:p>
                  <w:pPr>
                    <w:tabs>
                      <w:tab w:val="left" w:pos="7560"/>
                    </w:tabs>
                    <w:jc w:val="both"/>
                    <w:rPr>
                      <w:szCs w:val="22"/>
                    </w:rPr>
                  </w:pPr>
                </w:p>
                <w:p>
                  <w:pPr>
                    <w:tabs>
                      <w:tab w:val="left" w:pos="7560"/>
                    </w:tabs>
                    <w:jc w:val="both"/>
                    <w:rPr>
                      <w:szCs w:val="22"/>
                    </w:rPr>
                  </w:pPr>
                </w:p>
                <w:p>
                  <w:pPr>
                    <w:rPr>
                      <w:b/>
                      <w:bCs/>
                      <w:szCs w:val="24"/>
                      <w:lang w:eastAsia="lt-LT"/>
                    </w:rPr>
                  </w:pPr>
                </w:p>
              </w:sdtContent>
            </w:sdt>
          </w:sdtContent>
        </w:sdt>
        <w:sdt>
          <w:sdtPr>
            <w:alias w:val="skirsnis"/>
            <w:tag w:val="part_be415d126ca9436e847d2bc4004cd6c4"/>
            <w:lock w:val="sdtLocked"/>
            <w:richText/>
          </w:sdtPr>
          <w:sdtContent>
            <w:sdt>
              <w:sdtPr>
                <w:alias w:val="Pavadinimas"/>
                <w:tag w:val="title_be415d126ca9436e847d2bc4004cd6c4"/>
                <w:lock w:val="sdtLocked"/>
                <w:richText/>
              </w:sdtPr>
              <w:sdtContent>
                <w:p>
                  <w:pPr>
                    <w:ind w:firstLine="856"/>
                    <w:jc w:val="center"/>
                    <w:rPr>
                      <w:b/>
                      <w:bCs/>
                      <w:szCs w:val="24"/>
                      <w:lang w:eastAsia="lt-LT"/>
                    </w:rPr>
                  </w:pPr>
                  <w:r>
                    <w:rPr>
                      <w:b/>
                      <w:bCs/>
                      <w:szCs w:val="24"/>
                      <w:lang w:eastAsia="lt-LT"/>
                    </w:rPr>
                    <w:t>RADVILIŠKIO RAJONO SAVIVADYBĖS TARYBOS SPRENDIMO PROJEKTO</w:t>
                  </w:r>
                </w:p>
                <w:p>
                  <w:pPr>
                    <w:ind w:firstLine="856"/>
                    <w:jc w:val="center"/>
                    <w:rPr>
                      <w:b/>
                      <w:bCs/>
                      <w:szCs w:val="24"/>
                      <w:lang w:eastAsia="lt-LT"/>
                    </w:rPr>
                  </w:pPr>
                  <w:r>
                    <w:rPr>
                      <w:b/>
                      <w:bCs/>
                      <w:szCs w:val="24"/>
                      <w:lang w:eastAsia="lt-LT"/>
                    </w:rPr>
                    <w:t xml:space="preserve">„DĖL SOCIALINIO BŪSTO PIRKIMO“ </w:t>
                  </w:r>
                </w:p>
                <w:p>
                  <w:pPr>
                    <w:ind w:firstLine="856"/>
                    <w:jc w:val="center"/>
                    <w:rPr>
                      <w:b/>
                      <w:bCs/>
                      <w:szCs w:val="24"/>
                      <w:lang w:eastAsia="lt-LT"/>
                    </w:rPr>
                  </w:pPr>
                  <w:r>
                    <w:rPr>
                      <w:b/>
                      <w:bCs/>
                      <w:szCs w:val="24"/>
                      <w:lang w:eastAsia="lt-LT"/>
                    </w:rPr>
                    <w:t>AIŠKINAMASIS RAŠTAS</w:t>
                  </w:r>
                </w:p>
              </w:sdtContent>
            </w:sdt>
            <w:p>
              <w:pPr>
                <w:ind w:firstLine="856"/>
                <w:jc w:val="center"/>
                <w:rPr>
                  <w:b/>
                  <w:bCs/>
                  <w:szCs w:val="24"/>
                  <w:lang w:eastAsia="lt-LT"/>
                </w:rPr>
              </w:pPr>
            </w:p>
            <w:p>
              <w:pPr>
                <w:ind w:firstLine="856"/>
                <w:jc w:val="center"/>
                <w:rPr>
                  <w:bCs/>
                  <w:szCs w:val="24"/>
                  <w:lang w:eastAsia="lt-LT"/>
                </w:rPr>
              </w:pPr>
              <w:r>
                <w:rPr>
                  <w:bCs/>
                  <w:szCs w:val="24"/>
                  <w:lang w:eastAsia="lt-LT"/>
                </w:rPr>
                <w:t>2025 m. sausio 24 d.</w:t>
              </w:r>
            </w:p>
            <w:p>
              <w:pPr>
                <w:ind w:firstLine="856"/>
                <w:jc w:val="center"/>
                <w:rPr>
                  <w:bCs/>
                  <w:szCs w:val="24"/>
                  <w:lang w:eastAsia="lt-LT"/>
                </w:rPr>
              </w:pPr>
              <w:r>
                <w:rPr>
                  <w:bCs/>
                  <w:szCs w:val="24"/>
                  <w:lang w:eastAsia="lt-LT"/>
                </w:rPr>
                <w:t xml:space="preserve">Radviliškis </w:t>
              </w:r>
            </w:p>
            <w:p>
              <w:pPr>
                <w:ind w:firstLine="856"/>
                <w:rPr>
                  <w:b/>
                  <w:bCs/>
                  <w:szCs w:val="24"/>
                  <w:lang w:eastAsia="lt-LT"/>
                </w:rPr>
              </w:pPr>
            </w:p>
            <w:sdt>
              <w:sdtPr>
                <w:alias w:val="1 p."/>
                <w:tag w:val="part_c2050eae946a4f1fb8e2b73d7702aa7c"/>
                <w:lock w:val="sdtLocked"/>
                <w:richText/>
              </w:sdtPr>
              <w:sdtContent>
                <w:p>
                  <w:pPr>
                    <w:tabs>
                      <w:tab w:val="left" w:pos="1134"/>
                    </w:tabs>
                    <w:ind w:firstLine="856"/>
                    <w:rPr>
                      <w:b/>
                      <w:bCs/>
                      <w:color w:val="000000"/>
                      <w:szCs w:val="24"/>
                      <w:shd w:val="clear" w:color="auto" w:fill="FFFFFF"/>
                      <w:lang w:eastAsia="lt-LT"/>
                    </w:rPr>
                  </w:pPr>
                  <w:sdt>
                    <w:sdtPr>
                      <w:alias w:val="Numeris"/>
                      <w:tag w:val="nr_c2050eae946a4f1fb8e2b73d7702aa7c"/>
                      <w:lock w:val="sdtLocked"/>
                      <w:richText/>
                    </w:sdtPr>
                    <w:sdtContent>
                      <w:r>
                        <w:rPr>
                          <w:b/>
                          <w:bCs/>
                          <w:iCs/>
                          <w:lang w:eastAsia="lt-LT"/>
                        </w:rPr>
                        <w:t>1</w:t>
                      </w:r>
                    </w:sdtContent>
                  </w:sdt>
                  <w:r>
                    <w:rPr>
                      <w:b/>
                      <w:bCs/>
                      <w:iCs/>
                      <w:lang w:eastAsia="lt-LT"/>
                    </w:rPr>
                    <w:t>.</w:t>
                    <w:tab/>
                  </w:r>
                  <w:r>
                    <w:rPr>
                      <w:b/>
                      <w:bCs/>
                      <w:szCs w:val="24"/>
                      <w:lang w:eastAsia="lt-LT"/>
                    </w:rPr>
                    <w:t xml:space="preserve">Parengto rengimą paskatinusios priežastys, parengto projekto tikslai, sprendimo projekto tikslai ir uždaviniai. </w:t>
                  </w:r>
                </w:p>
                <w:p>
                  <w:pPr>
                    <w:ind w:firstLine="709"/>
                    <w:jc w:val="both"/>
                    <w:rPr>
                      <w:bCs/>
                      <w:szCs w:val="24"/>
                    </w:rPr>
                  </w:pPr>
                  <w:r>
                    <w:rPr>
                      <w:szCs w:val="24"/>
                    </w:rPr>
                    <w:t xml:space="preserve">Projekto tikslas – didinti Radviliškio rajono savivaldybės socialinio būsto fondą, siekiant išplėsti galimybes apsirūpinti būstu asmenims ir šeimoms, turintiems teisę į socialinio būsto nuomą. </w:t>
                  </w:r>
                </w:p>
              </w:sdtContent>
            </w:sdt>
            <w:sdt>
              <w:sdtPr>
                <w:alias w:val="2 p."/>
                <w:tag w:val="part_f46334165d72457e928163ba64c89329"/>
                <w:lock w:val="sdtLocked"/>
                <w:richText/>
              </w:sdtPr>
              <w:sdtContent>
                <w:p>
                  <w:pPr>
                    <w:ind w:left="1216" w:hanging="360"/>
                    <w:rPr>
                      <w:b/>
                      <w:bCs/>
                      <w:szCs w:val="24"/>
                      <w:shd w:val="clear" w:color="auto" w:fill="FFFFFF"/>
                      <w:lang w:eastAsia="lt-LT"/>
                    </w:rPr>
                  </w:pPr>
                  <w:sdt>
                    <w:sdtPr>
                      <w:alias w:val="Numeris"/>
                      <w:tag w:val="nr_f46334165d72457e928163ba64c89329"/>
                      <w:lock w:val="sdtLocked"/>
                      <w:richText/>
                    </w:sdtPr>
                    <w:sdtContent>
                      <w:r>
                        <w:rPr>
                          <w:b/>
                          <w:bCs/>
                          <w:iCs/>
                          <w:lang w:eastAsia="lt-LT"/>
                        </w:rPr>
                        <w:t>2</w:t>
                      </w:r>
                    </w:sdtContent>
                  </w:sdt>
                  <w:r>
                    <w:rPr>
                      <w:b/>
                      <w:bCs/>
                      <w:iCs/>
                      <w:lang w:eastAsia="lt-LT"/>
                    </w:rPr>
                    <w:t>.</w:t>
                    <w:tab/>
                  </w:r>
                  <w:r>
                    <w:rPr>
                      <w:b/>
                      <w:bCs/>
                      <w:szCs w:val="24"/>
                      <w:shd w:val="clear" w:color="auto" w:fill="FFFFFF"/>
                      <w:lang w:eastAsia="lt-LT"/>
                    </w:rPr>
                    <w:t>Projekto iniciatoriai (institucija, asmenys ar piliečių atstovai) ir rengėjai.</w:t>
                  </w:r>
                </w:p>
                <w:p>
                  <w:pPr>
                    <w:ind w:firstLine="856"/>
                    <w:jc w:val="both"/>
                    <w:rPr>
                      <w:szCs w:val="24"/>
                      <w:shd w:val="clear" w:color="auto" w:fill="FFFFFF"/>
                      <w:lang w:eastAsia="lt-LT"/>
                    </w:rPr>
                  </w:pPr>
                  <w:r>
                    <w:rPr>
                      <w:szCs w:val="24"/>
                      <w:shd w:val="clear" w:color="auto" w:fill="FFFFFF"/>
                      <w:lang w:eastAsia="lt-LT"/>
                    </w:rPr>
                    <w:t xml:space="preserve">Radviliškio rajono savivaldybės administracijos Investicijų ir turto valdymo skyrius. Atsižvelgiant į laukiančių eilėje išsinuomoti Savivaldybės socialinį būstą prašymus, atsakingas specialistas organizuoja socialinio būsto pirkimą. Radviliškio rajono savivaldybės administracijos direktoriaus 2024 m. spalio 16 d. įsakymu Nr. A-527 (8.2 E) „Dėl socialinio būsto pirkimo neskelbiamų derybų būdu “ sudaryta  komisija neskelbiamų derybų būdu atliko pirkimą. </w:t>
                  </w:r>
                </w:p>
                <w:p>
                  <w:pPr>
                    <w:ind w:firstLine="918"/>
                    <w:jc w:val="both"/>
                    <w:rPr>
                      <w:szCs w:val="24"/>
                      <w:shd w:val="clear" w:color="auto" w:fill="FFFFFF"/>
                      <w:lang w:eastAsia="lt-LT"/>
                    </w:rPr>
                  </w:pPr>
                  <w:r>
                    <w:rPr>
                      <w:szCs w:val="24"/>
                      <w:shd w:val="clear" w:color="auto" w:fill="FFFFFF"/>
                      <w:lang w:eastAsia="lt-LT"/>
                    </w:rPr>
                    <w:t xml:space="preserve">Asmenų ir šeimų, turinčių teisę į savivaldybės socialinį būstą ar jo sąlygų pagerinimą,   sąrašuose 2024 m. spalio 1 d. eilėje laukia 156 asmenų ir šeimų. Namas perkamas 11 asmenų šeimai, beje, praeitais metais šeima pagausėjo ir jų šeimoje dabar yra 12 asmenų. Šiuo metu šeimai yra išnuomotas butas Taikos g. 6-28, Pakiršinio k., Radviliškio r., trijų kambarių, 65,59 kv. m. Šeimoje auga du vaikai, turintys neįgalumą. </w:t>
                  </w:r>
                </w:p>
              </w:sdtContent>
            </w:sdt>
            <w:sdt>
              <w:sdtPr>
                <w:alias w:val="3 p."/>
                <w:tag w:val="part_18e9fc4535ca4f35b1acac8c5bce5a5b"/>
                <w:lock w:val="sdtLocked"/>
                <w:richText/>
              </w:sdtPr>
              <w:sdtContent>
                <w:p>
                  <w:pPr>
                    <w:tabs>
                      <w:tab w:val="left" w:pos="993"/>
                      <w:tab w:val="left" w:pos="1276"/>
                      <w:tab w:val="left" w:pos="1843"/>
                    </w:tabs>
                    <w:ind w:firstLine="856"/>
                    <w:jc w:val="both"/>
                    <w:rPr>
                      <w:b/>
                      <w:bCs/>
                      <w:color w:val="000000"/>
                      <w:szCs w:val="24"/>
                      <w:lang w:eastAsia="ar-SA"/>
                    </w:rPr>
                  </w:pPr>
                  <w:sdt>
                    <w:sdtPr>
                      <w:alias w:val="Numeris"/>
                      <w:tag w:val="nr_18e9fc4535ca4f35b1acac8c5bce5a5b"/>
                      <w:lock w:val="sdtLocked"/>
                      <w:richText/>
                    </w:sdtPr>
                    <w:sdtContent>
                      <w:r>
                        <w:rPr>
                          <w:b/>
                          <w:bCs/>
                          <w:iCs/>
                          <w:lang w:eastAsia="ar-SA"/>
                        </w:rPr>
                        <w:t>3</w:t>
                      </w:r>
                    </w:sdtContent>
                  </w:sdt>
                  <w:r>
                    <w:rPr>
                      <w:b/>
                      <w:bCs/>
                      <w:iCs/>
                      <w:lang w:eastAsia="ar-SA"/>
                    </w:rPr>
                    <w:t>.</w:t>
                    <w:tab/>
                  </w:r>
                  <w:r>
                    <w:rPr>
                      <w:b/>
                      <w:bCs/>
                      <w:szCs w:val="24"/>
                      <w:shd w:val="clear" w:color="auto" w:fill="FFFFFF"/>
                      <w:lang w:eastAsia="lt-LT"/>
                    </w:rPr>
                    <w:t>Kaip šiuo metu yra reguliuojami sprendimo projekte aptarti teisiniai santykiai</w:t>
                  </w:r>
                </w:p>
                <w:p>
                  <w:pPr>
                    <w:tabs>
                      <w:tab w:val="left" w:pos="855"/>
                    </w:tabs>
                    <w:ind w:firstLine="851"/>
                    <w:jc w:val="both"/>
                    <w:rPr>
                      <w:rFonts w:cs="Tahoma"/>
                      <w:szCs w:val="24"/>
                      <w:shd w:val="clear" w:color="auto" w:fill="FFFFFF"/>
                    </w:rPr>
                  </w:pPr>
                  <w:r>
                    <w:rPr>
                      <w:szCs w:val="24"/>
                      <w:shd w:val="clear" w:color="auto" w:fill="FFFFFF"/>
                    </w:rPr>
                    <w:t xml:space="preserve">Sprendimo projekte aptariami klausimai reguliuojami </w:t>
                  </w:r>
                  <w:r>
                    <w:rPr>
                      <w:rFonts w:cs="Tahoma"/>
                      <w:szCs w:val="24"/>
                      <w:shd w:val="clear" w:color="auto" w:fill="FFFFFF"/>
                    </w:rPr>
                    <w:t xml:space="preserve">Lietuvos Respublikos vietos savivaldos įstatymo 15 straipsnio 2 dalies 23 punktu, </w:t>
                  </w:r>
                  <w:r>
                    <w:rPr>
                      <w:bCs/>
                      <w:szCs w:val="24"/>
                    </w:rPr>
                    <w:t xml:space="preserve">Lietuvos Respublikos valstybės ir savivaldybių turto valdymo, naudojimo ir disponavimo juo </w:t>
                  </w:r>
                  <w:r>
                    <w:rPr>
                      <w:szCs w:val="24"/>
                    </w:rPr>
                    <w:t>įstatymo 6 straipsnio 5 punktu</w:t>
                  </w:r>
                  <w:r>
                    <w:rPr>
                      <w:rFonts w:cs="Tahoma"/>
                      <w:szCs w:val="24"/>
                      <w:shd w:val="clear" w:color="auto" w:fill="FFFFFF"/>
                    </w:rPr>
                    <w:t xml:space="preserve"> bei Žemės, esamų pastatų ar kitų nekilnojamųjų daiktų pirkimo arba nuomos ar teisių į šiuos daiktus įsigijimų tvarkos aprašo, patvirtinto Lietuvos Respublikos Vyriausybės 2017 m. gruodžio 13 d. nutarimu Nr.  1036 „Dėl Žemės, esamų pastatų ar kitų nekilnojamųjų daiktų pirkimų arba nuomos ar teisių į šiuos daiktus įsigijimo tvarkos aprašo patvirtinimo“ (toliau – Aprašas) (su visais pakeitimais ir papildymais).</w:t>
                  </w:r>
                </w:p>
                <w:p>
                  <w:pPr>
                    <w:ind w:firstLine="851"/>
                    <w:jc w:val="both"/>
                    <w:rPr>
                      <w:color w:val="000000"/>
                      <w:szCs w:val="24"/>
                      <w:lang w:eastAsia="ar-SA"/>
                    </w:rPr>
                  </w:pPr>
                  <w:r>
                    <w:rPr>
                      <w:color w:val="000000"/>
                      <w:szCs w:val="24"/>
                      <w:lang w:eastAsia="ar-SA"/>
                    </w:rPr>
                    <w:t>Lietuvos Respublikos paramos būstui įsigyti ar išsinuomoti įstatymo 29 straipsnis numato, kad lėšos, gautos pardavus savivaldybės būstus ir pagalbinio ūkio pastatus, naudojamos socialinio būsto fondo plėtrai.</w:t>
                  </w:r>
                </w:p>
              </w:sdtContent>
            </w:sdt>
            <w:sdt>
              <w:sdtPr>
                <w:alias w:val="4 p."/>
                <w:tag w:val="part_be146189287a42b18460e9eb40826ce8"/>
                <w:lock w:val="sdtLocked"/>
                <w:richText/>
              </w:sdtPr>
              <w:sdtContent>
                <w:p>
                  <w:pPr>
                    <w:tabs>
                      <w:tab w:val="left" w:pos="993"/>
                      <w:tab w:val="left" w:pos="1276"/>
                      <w:tab w:val="left" w:pos="1843"/>
                    </w:tabs>
                    <w:ind w:firstLine="856"/>
                    <w:jc w:val="both"/>
                    <w:rPr>
                      <w:b/>
                      <w:bCs/>
                      <w:color w:val="000000"/>
                      <w:szCs w:val="24"/>
                      <w:lang w:eastAsia="ar-SA"/>
                    </w:rPr>
                  </w:pPr>
                  <w:sdt>
                    <w:sdtPr>
                      <w:alias w:val="Numeris"/>
                      <w:tag w:val="nr_be146189287a42b18460e9eb40826ce8"/>
                      <w:lock w:val="sdtLocked"/>
                      <w:richText/>
                    </w:sdtPr>
                    <w:sdtContent>
                      <w:r>
                        <w:rPr>
                          <w:b/>
                          <w:bCs/>
                          <w:iCs/>
                          <w:lang w:eastAsia="ar-SA"/>
                        </w:rPr>
                        <w:t>4</w:t>
                      </w:r>
                    </w:sdtContent>
                  </w:sdt>
                  <w:r>
                    <w:rPr>
                      <w:b/>
                      <w:bCs/>
                      <w:iCs/>
                      <w:lang w:eastAsia="ar-SA"/>
                    </w:rPr>
                    <w:t>.</w:t>
                    <w:tab/>
                  </w:r>
                  <w:r>
                    <w:rPr>
                      <w:b/>
                      <w:bCs/>
                      <w:color w:val="000000"/>
                      <w:szCs w:val="24"/>
                      <w:lang w:eastAsia="ar-SA"/>
                    </w:rPr>
                    <w:t>Kokios siūlomos naujos teisinio reguliavimo nuostatos, kokių teigiamų rezultatų laukiama.</w:t>
                  </w:r>
                </w:p>
                <w:p>
                  <w:pPr>
                    <w:tabs>
                      <w:tab w:val="left" w:pos="993"/>
                      <w:tab w:val="left" w:pos="1276"/>
                      <w:tab w:val="left" w:pos="1843"/>
                    </w:tabs>
                    <w:ind w:left="142" w:firstLine="714"/>
                    <w:jc w:val="both"/>
                    <w:rPr>
                      <w:color w:val="000000"/>
                      <w:lang w:eastAsia="ar-SA"/>
                    </w:rPr>
                  </w:pPr>
                  <w:r>
                    <w:rPr>
                      <w:color w:val="000000"/>
                      <w:lang w:eastAsia="ar-SA"/>
                    </w:rPr>
                    <w:t>Priėmus tarybos sprendimo projektą, bus padidintas Savivaldybės socialinio būsto fondas ir butas bus išnuomoti šeimoms laukiančioms eilėje Savivaldybės socialinio būsto.</w:t>
                  </w:r>
                </w:p>
              </w:sdtContent>
            </w:sdt>
            <w:sdt>
              <w:sdtPr>
                <w:alias w:val="5 p."/>
                <w:tag w:val="part_09974a1dfb8140e69f6bf17789833a6e"/>
                <w:lock w:val="sdtLocked"/>
                <w:richText/>
              </w:sdtPr>
              <w:sdtContent>
                <w:p>
                  <w:pPr>
                    <w:tabs>
                      <w:tab w:val="left" w:pos="1276"/>
                    </w:tabs>
                    <w:ind w:firstLine="856"/>
                    <w:jc w:val="both"/>
                    <w:rPr>
                      <w:b/>
                      <w:bCs/>
                      <w:i/>
                      <w:szCs w:val="24"/>
                      <w:shd w:val="clear" w:color="auto" w:fill="FFFFFF"/>
                      <w:lang w:eastAsia="lt-LT"/>
                    </w:rPr>
                  </w:pPr>
                  <w:sdt>
                    <w:sdtPr>
                      <w:alias w:val="Numeris"/>
                      <w:tag w:val="nr_09974a1dfb8140e69f6bf17789833a6e"/>
                      <w:lock w:val="sdtLocked"/>
                      <w:richText/>
                    </w:sdtPr>
                    <w:sdtContent>
                      <w:r>
                        <w:rPr>
                          <w:b/>
                          <w:bCs/>
                          <w:iCs/>
                          <w:lang w:eastAsia="lt-LT"/>
                        </w:rPr>
                        <w:t>5</w:t>
                      </w:r>
                    </w:sdtContent>
                  </w:sdt>
                  <w:r>
                    <w:rPr>
                      <w:b/>
                      <w:bCs/>
                      <w:iCs/>
                      <w:lang w:eastAsia="lt-LT"/>
                    </w:rPr>
                    <w:t>.</w:t>
                    <w:tab/>
                  </w:r>
                  <w:r>
                    <w:rPr>
                      <w:b/>
                      <w:bCs/>
                      <w:iCs/>
                      <w:szCs w:val="24"/>
                      <w:shd w:val="clear" w:color="auto" w:fill="FFFFFF"/>
                      <w:lang w:eastAsia="lt-LT"/>
                    </w:rPr>
                    <w:t>Galimos neigiamos priimto sprendimo projekto pasekmės ir kokių priemonių reiktų imtis, kad tokių pasekmių būtų išvengta.</w:t>
                  </w:r>
                </w:p>
                <w:p>
                  <w:pPr>
                    <w:tabs>
                      <w:tab w:val="left" w:pos="1276"/>
                    </w:tabs>
                    <w:ind w:left="856"/>
                    <w:jc w:val="both"/>
                    <w:rPr>
                      <w:b/>
                      <w:bCs/>
                      <w:iCs/>
                      <w:shd w:val="clear" w:color="auto" w:fill="FFFFFF"/>
                      <w:lang w:eastAsia="lt-LT"/>
                    </w:rPr>
                  </w:pPr>
                  <w:r>
                    <w:rPr>
                      <w:rFonts w:cs="Tahoma"/>
                      <w:shd w:val="clear" w:color="auto" w:fill="FFFFFF"/>
                    </w:rPr>
                    <w:t>–</w:t>
                  </w:r>
                </w:p>
              </w:sdtContent>
            </w:sdt>
            <w:sdt>
              <w:sdtPr>
                <w:alias w:val="6 p."/>
                <w:tag w:val="part_b200556919a94cbcabea7f2cd3f84635"/>
                <w:lock w:val="sdtLocked"/>
                <w:richText/>
              </w:sdtPr>
              <w:sdtContent>
                <w:p>
                  <w:pPr>
                    <w:tabs>
                      <w:tab w:val="left" w:pos="993"/>
                      <w:tab w:val="left" w:pos="1276"/>
                    </w:tabs>
                    <w:ind w:firstLine="856"/>
                    <w:jc w:val="both"/>
                    <w:rPr>
                      <w:b/>
                      <w:bCs/>
                      <w:iCs/>
                      <w:szCs w:val="24"/>
                      <w:shd w:val="clear" w:color="auto" w:fill="FFFFFF"/>
                      <w:lang w:eastAsia="lt-LT"/>
                    </w:rPr>
                  </w:pPr>
                  <w:sdt>
                    <w:sdtPr>
                      <w:alias w:val="Numeris"/>
                      <w:tag w:val="nr_b200556919a94cbcabea7f2cd3f84635"/>
                      <w:lock w:val="sdtLocked"/>
                      <w:richText/>
                    </w:sdtPr>
                    <w:sdtContent>
                      <w:r>
                        <w:rPr>
                          <w:b/>
                          <w:bCs/>
                          <w:iCs/>
                          <w:lang w:eastAsia="lt-LT"/>
                        </w:rPr>
                        <w:t>6</w:t>
                      </w:r>
                    </w:sdtContent>
                  </w:sdt>
                  <w:r>
                    <w:rPr>
                      <w:b/>
                      <w:bCs/>
                      <w:iCs/>
                      <w:lang w:eastAsia="lt-LT"/>
                    </w:rPr>
                    <w:t>.</w:t>
                    <w:tab/>
                  </w:r>
                  <w:r>
                    <w:rPr>
                      <w:b/>
                      <w:bCs/>
                      <w:iCs/>
                      <w:szCs w:val="24"/>
                      <w:shd w:val="clear" w:color="auto" w:fill="FFFFFF"/>
                      <w:lang w:eastAsia="lt-LT"/>
                    </w:rPr>
                    <w:t>Kokius teisės aktus būtina priimti, kokius galiojančius teisės aktus būtina pakeisti ar pripažinti netekusiais galios priėmus sprendimo projektą.</w:t>
                  </w:r>
                </w:p>
                <w:p>
                  <w:pPr>
                    <w:ind w:left="720" w:firstLine="124"/>
                    <w:rPr>
                      <w:b/>
                      <w:bCs/>
                      <w:iCs/>
                      <w:shd w:val="clear" w:color="auto" w:fill="FFFFFF"/>
                      <w:lang w:eastAsia="lt-LT"/>
                    </w:rPr>
                  </w:pPr>
                  <w:r>
                    <w:rPr>
                      <w:rFonts w:cs="Tahoma"/>
                      <w:shd w:val="clear" w:color="auto" w:fill="FFFFFF"/>
                    </w:rPr>
                    <w:t>–</w:t>
                  </w:r>
                </w:p>
              </w:sdtContent>
            </w:sdt>
            <w:sdt>
              <w:sdtPr>
                <w:alias w:val="7 p."/>
                <w:tag w:val="part_b3ec0ff6b27642169928ad85b29f08cc"/>
                <w:lock w:val="sdtLocked"/>
                <w:richText/>
              </w:sdtPr>
              <w:sdtContent>
                <w:p>
                  <w:pPr>
                    <w:ind w:left="1216" w:hanging="360"/>
                    <w:jc w:val="both"/>
                    <w:rPr>
                      <w:b/>
                      <w:bCs/>
                      <w:iCs/>
                      <w:szCs w:val="24"/>
                      <w:shd w:val="clear" w:color="auto" w:fill="FFFFFF"/>
                      <w:lang w:eastAsia="lt-LT"/>
                    </w:rPr>
                  </w:pPr>
                  <w:sdt>
                    <w:sdtPr>
                      <w:alias w:val="Numeris"/>
                      <w:tag w:val="nr_b3ec0ff6b27642169928ad85b29f08cc"/>
                      <w:lock w:val="sdtLocked"/>
                      <w:richText/>
                    </w:sdtPr>
                    <w:sdtContent>
                      <w:r>
                        <w:rPr>
                          <w:b/>
                          <w:bCs/>
                          <w:iCs/>
                          <w:lang w:eastAsia="lt-LT"/>
                        </w:rPr>
                        <w:t>7</w:t>
                      </w:r>
                    </w:sdtContent>
                  </w:sdt>
                  <w:r>
                    <w:rPr>
                      <w:b/>
                      <w:bCs/>
                      <w:iCs/>
                      <w:lang w:eastAsia="lt-LT"/>
                    </w:rPr>
                    <w:t>.</w:t>
                    <w:tab/>
                  </w:r>
                  <w:r>
                    <w:rPr>
                      <w:b/>
                      <w:bCs/>
                      <w:iCs/>
                      <w:szCs w:val="24"/>
                      <w:shd w:val="clear" w:color="auto" w:fill="FFFFFF"/>
                      <w:lang w:eastAsia="lt-LT"/>
                    </w:rPr>
                    <w:t>Sprendimo projektui įgyvendinti reikalingos lėšos, finansavimo šaltiniai.</w:t>
                  </w:r>
                </w:p>
                <w:p>
                  <w:pPr>
                    <w:ind w:firstLine="720"/>
                    <w:rPr>
                      <w:iCs/>
                      <w:shd w:val="clear" w:color="auto" w:fill="FFFFFF"/>
                      <w:lang w:eastAsia="lt-LT"/>
                    </w:rPr>
                  </w:pPr>
                  <w:r>
                    <w:rPr>
                      <w:iCs/>
                      <w:shd w:val="clear" w:color="auto" w:fill="FFFFFF"/>
                      <w:lang w:eastAsia="lt-LT"/>
                    </w:rPr>
                    <w:t>Sprendimo projektui įgyvendinti reikės lėšų – 32 000,00 Eurų. Finansavimo šaltiniai – lėšos sukauptos pardavus Savivaldybės būstus.</w:t>
                  </w:r>
                </w:p>
              </w:sdtContent>
            </w:sdt>
            <w:sdt>
              <w:sdtPr>
                <w:alias w:val="8 p."/>
                <w:tag w:val="part_c0a4e22b063d407095a05ccf61791ead"/>
                <w:lock w:val="sdtLocked"/>
                <w:richText/>
              </w:sdtPr>
              <w:sdtContent>
                <w:p>
                  <w:pPr>
                    <w:ind w:left="1216" w:hanging="360"/>
                    <w:jc w:val="both"/>
                    <w:rPr>
                      <w:b/>
                      <w:bCs/>
                      <w:iCs/>
                      <w:szCs w:val="24"/>
                      <w:shd w:val="clear" w:color="auto" w:fill="FFFFFF"/>
                      <w:lang w:eastAsia="lt-LT"/>
                    </w:rPr>
                  </w:pPr>
                  <w:sdt>
                    <w:sdtPr>
                      <w:alias w:val="Numeris"/>
                      <w:tag w:val="nr_c0a4e22b063d407095a05ccf61791ead"/>
                      <w:lock w:val="sdtLocked"/>
                      <w:richText/>
                    </w:sdtPr>
                    <w:sdtContent>
                      <w:r>
                        <w:rPr>
                          <w:b/>
                          <w:bCs/>
                          <w:iCs/>
                          <w:lang w:eastAsia="lt-LT"/>
                        </w:rPr>
                        <w:t>8</w:t>
                      </w:r>
                    </w:sdtContent>
                  </w:sdt>
                  <w:r>
                    <w:rPr>
                      <w:b/>
                      <w:bCs/>
                      <w:iCs/>
                      <w:lang w:eastAsia="lt-LT"/>
                    </w:rPr>
                    <w:t>.</w:t>
                    <w:tab/>
                  </w:r>
                  <w:r>
                    <w:rPr>
                      <w:b/>
                      <w:bCs/>
                      <w:iCs/>
                      <w:szCs w:val="24"/>
                      <w:shd w:val="clear" w:color="auto" w:fill="FFFFFF"/>
                      <w:lang w:eastAsia="lt-LT"/>
                    </w:rPr>
                    <w:t>Sprendimo projekto rengimo metu gauti specialistų vertinimai ir išvados.</w:t>
                  </w:r>
                </w:p>
                <w:p>
                  <w:pPr>
                    <w:ind w:left="1216"/>
                    <w:jc w:val="both"/>
                    <w:rPr>
                      <w:b/>
                      <w:bCs/>
                      <w:iCs/>
                      <w:shd w:val="clear" w:color="auto" w:fill="FFFFFF"/>
                      <w:lang w:eastAsia="lt-LT"/>
                    </w:rPr>
                  </w:pPr>
                  <w:r>
                    <w:rPr>
                      <w:rFonts w:cs="Tahoma"/>
                      <w:shd w:val="clear" w:color="auto" w:fill="FFFFFF"/>
                    </w:rPr>
                    <w:t>–</w:t>
                  </w:r>
                  <w:r>
                    <w:rPr>
                      <w:b/>
                      <w:bCs/>
                      <w:iCs/>
                      <w:shd w:val="clear" w:color="auto" w:fill="FFFFFF"/>
                      <w:lang w:eastAsia="lt-LT"/>
                    </w:rPr>
                    <w:t xml:space="preserve"> </w:t>
                  </w:r>
                </w:p>
              </w:sdtContent>
            </w:sdt>
            <w:sdt>
              <w:sdtPr>
                <w:alias w:val="9 p."/>
                <w:tag w:val="part_8720d2968a474efca1a68890cd48bb19"/>
                <w:lock w:val="sdtLocked"/>
                <w:richText/>
              </w:sdtPr>
              <w:sdtContent>
                <w:p>
                  <w:pPr>
                    <w:ind w:left="1216" w:hanging="360"/>
                    <w:jc w:val="both"/>
                    <w:rPr>
                      <w:b/>
                      <w:bCs/>
                      <w:iCs/>
                      <w:szCs w:val="24"/>
                      <w:shd w:val="clear" w:color="auto" w:fill="FFFFFF"/>
                      <w:lang w:eastAsia="lt-LT"/>
                    </w:rPr>
                  </w:pPr>
                  <w:sdt>
                    <w:sdtPr>
                      <w:alias w:val="Numeris"/>
                      <w:tag w:val="nr_8720d2968a474efca1a68890cd48bb19"/>
                      <w:lock w:val="sdtLocked"/>
                      <w:richText/>
                    </w:sdtPr>
                    <w:sdtContent>
                      <w:r>
                        <w:rPr>
                          <w:b/>
                          <w:bCs/>
                          <w:iCs/>
                          <w:lang w:eastAsia="lt-LT"/>
                        </w:rPr>
                        <w:t>9</w:t>
                      </w:r>
                    </w:sdtContent>
                  </w:sdt>
                  <w:r>
                    <w:rPr>
                      <w:b/>
                      <w:bCs/>
                      <w:iCs/>
                      <w:lang w:eastAsia="lt-LT"/>
                    </w:rPr>
                    <w:t>.</w:t>
                    <w:tab/>
                  </w:r>
                  <w:r>
                    <w:rPr>
                      <w:b/>
                      <w:bCs/>
                      <w:iCs/>
                      <w:szCs w:val="24"/>
                      <w:shd w:val="clear" w:color="auto" w:fill="FFFFFF"/>
                      <w:lang w:eastAsia="lt-LT"/>
                    </w:rPr>
                    <w:t>Numatomo teisinio reguliavimo poveikio vertinimo rezultatai.</w:t>
                  </w:r>
                </w:p>
                <w:p>
                  <w:pPr>
                    <w:ind w:left="1216"/>
                    <w:jc w:val="both"/>
                    <w:rPr>
                      <w:b/>
                      <w:bCs/>
                      <w:iCs/>
                      <w:shd w:val="clear" w:color="auto" w:fill="FFFFFF"/>
                      <w:lang w:eastAsia="lt-LT"/>
                    </w:rPr>
                  </w:pPr>
                  <w:r>
                    <w:rPr>
                      <w:rFonts w:cs="Tahoma"/>
                      <w:shd w:val="clear" w:color="auto" w:fill="FFFFFF"/>
                    </w:rPr>
                    <w:t>–</w:t>
                  </w:r>
                </w:p>
              </w:sdtContent>
            </w:sdt>
            <w:sdt>
              <w:sdtPr>
                <w:alias w:val="10 p."/>
                <w:tag w:val="part_7b5bd10980f14e339efdc5d3b1d72e20"/>
                <w:lock w:val="sdtLocked"/>
                <w:richText/>
              </w:sdtPr>
              <w:sdtContent>
                <w:p>
                  <w:pPr>
                    <w:ind w:left="1216" w:hanging="360"/>
                    <w:jc w:val="both"/>
                    <w:rPr>
                      <w:b/>
                      <w:bCs/>
                      <w:iCs/>
                      <w:szCs w:val="24"/>
                      <w:shd w:val="clear" w:color="auto" w:fill="FFFFFF"/>
                      <w:lang w:eastAsia="lt-LT"/>
                    </w:rPr>
                  </w:pPr>
                  <w:sdt>
                    <w:sdtPr>
                      <w:alias w:val="Numeris"/>
                      <w:tag w:val="nr_7b5bd10980f14e339efdc5d3b1d72e20"/>
                      <w:lock w:val="sdtLocked"/>
                      <w:richText/>
                    </w:sdtPr>
                    <w:sdtContent>
                      <w:r>
                        <w:rPr>
                          <w:b/>
                          <w:bCs/>
                          <w:iCs/>
                          <w:lang w:eastAsia="lt-LT"/>
                        </w:rPr>
                        <w:t>10</w:t>
                      </w:r>
                    </w:sdtContent>
                  </w:sdt>
                  <w:r>
                    <w:rPr>
                      <w:b/>
                      <w:bCs/>
                      <w:iCs/>
                      <w:lang w:eastAsia="lt-LT"/>
                    </w:rPr>
                    <w:t>.</w:t>
                    <w:tab/>
                  </w:r>
                  <w:r>
                    <w:rPr>
                      <w:b/>
                      <w:bCs/>
                      <w:iCs/>
                      <w:szCs w:val="24"/>
                      <w:shd w:val="clear" w:color="auto" w:fill="FFFFFF"/>
                      <w:lang w:eastAsia="lt-LT"/>
                    </w:rPr>
                    <w:t>Sprendimo projekto antikorupcinis vertinimas.</w:t>
                  </w:r>
                </w:p>
                <w:p>
                  <w:pPr>
                    <w:ind w:left="1216"/>
                    <w:jc w:val="both"/>
                    <w:rPr>
                      <w:b/>
                      <w:bCs/>
                      <w:iCs/>
                      <w:shd w:val="clear" w:color="auto" w:fill="FFFFFF"/>
                      <w:lang w:eastAsia="lt-LT"/>
                    </w:rPr>
                  </w:pPr>
                  <w:r>
                    <w:rPr>
                      <w:rFonts w:cs="Tahoma"/>
                      <w:shd w:val="clear" w:color="auto" w:fill="FFFFFF"/>
                    </w:rPr>
                    <w:t>–</w:t>
                  </w:r>
                </w:p>
              </w:sdtContent>
            </w:sdt>
            <w:sdt>
              <w:sdtPr>
                <w:alias w:val="11 p."/>
                <w:tag w:val="part_c4404d2adf2f481589dddaaaae5f9aae"/>
                <w:lock w:val="sdtLocked"/>
                <w:richText/>
              </w:sdtPr>
              <w:sdtContent>
                <w:p>
                  <w:pPr>
                    <w:ind w:left="1216" w:hanging="360"/>
                    <w:jc w:val="both"/>
                    <w:rPr>
                      <w:b/>
                      <w:bCs/>
                      <w:iCs/>
                      <w:szCs w:val="24"/>
                      <w:shd w:val="clear" w:color="auto" w:fill="FFFFFF"/>
                      <w:lang w:eastAsia="lt-LT"/>
                    </w:rPr>
                  </w:pPr>
                  <w:sdt>
                    <w:sdtPr>
                      <w:alias w:val="Numeris"/>
                      <w:tag w:val="nr_c4404d2adf2f481589dddaaaae5f9aae"/>
                      <w:lock w:val="sdtLocked"/>
                      <w:richText/>
                    </w:sdtPr>
                    <w:sdtContent>
                      <w:r>
                        <w:rPr>
                          <w:b/>
                          <w:bCs/>
                          <w:iCs/>
                          <w:lang w:eastAsia="lt-LT"/>
                        </w:rPr>
                        <w:t>11</w:t>
                      </w:r>
                    </w:sdtContent>
                  </w:sdt>
                  <w:r>
                    <w:rPr>
                      <w:b/>
                      <w:bCs/>
                      <w:iCs/>
                      <w:lang w:eastAsia="lt-LT"/>
                    </w:rPr>
                    <w:t>.</w:t>
                    <w:tab/>
                  </w:r>
                  <w:r>
                    <w:rPr>
                      <w:b/>
                      <w:bCs/>
                      <w:iCs/>
                      <w:szCs w:val="24"/>
                      <w:shd w:val="clear" w:color="auto" w:fill="FFFFFF"/>
                      <w:lang w:eastAsia="lt-LT"/>
                    </w:rPr>
                    <w:t>Kiti, iniciatoriaus nuomone, reikalingi pagrindimai ir paaiškinimai.</w:t>
                  </w:r>
                </w:p>
                <w:p>
                  <w:pPr>
                    <w:tabs>
                      <w:tab w:val="left" w:pos="0"/>
                    </w:tabs>
                    <w:ind w:right="57" w:firstLine="851"/>
                    <w:jc w:val="both"/>
                    <w:rPr>
                      <w:bCs/>
                      <w:iCs/>
                    </w:rPr>
                  </w:pPr>
                  <w:r>
                    <w:rPr>
                      <w:bCs/>
                      <w:iCs/>
                    </w:rPr>
                    <w:t>Savivaldybės socialinio būsto pirkimo procedūros buvo pradėtos vadovaujantis Radviliškio rajono savivaldybės administracijos direktoriaus 2024 m. spalio 16 d. įsakymu Nr. A-527 (8.2 E) „Dėl socialinio būsto pirkimo neskelbiamų derybų būdu“. Buvo gautas vienas pasiūlymas. Apžiūrėjus pasiūlytą namą, komisija nusprendė perduoti nepriklausomam turto vertintojui įvertinti namą ir nustatyti rinkos kainą. Nepriklausomas turto vertintojas namą įvertino 41 400, 00 Eurų. Po įvykusių derybų su namo savininku nutarta namą pirkti už 32 000,00 Eurų.</w:t>
                  </w:r>
                </w:p>
              </w:sdtContent>
            </w:sdt>
            <w:sdt>
              <w:sdtPr>
                <w:alias w:val="12 p."/>
                <w:tag w:val="part_adf85f427e574321b4eb6c9576e00085"/>
                <w:lock w:val="sdtLocked"/>
                <w:richText/>
              </w:sdtPr>
              <w:sdtContent>
                <w:p>
                  <w:pPr>
                    <w:ind w:left="1216" w:hanging="360"/>
                    <w:jc w:val="both"/>
                    <w:rPr>
                      <w:iCs/>
                      <w:szCs w:val="24"/>
                      <w:shd w:val="clear" w:color="auto" w:fill="FFFFFF"/>
                      <w:lang w:eastAsia="lt-LT"/>
                    </w:rPr>
                  </w:pPr>
                  <w:sdt>
                    <w:sdtPr>
                      <w:alias w:val="Numeris"/>
                      <w:tag w:val="nr_adf85f427e574321b4eb6c9576e00085"/>
                      <w:lock w:val="sdtLocked"/>
                      <w:richText/>
                    </w:sdtPr>
                    <w:sdtContent>
                      <w:r>
                        <w:rPr>
                          <w:b/>
                          <w:bCs/>
                          <w:iCs/>
                          <w:lang w:eastAsia="lt-LT"/>
                        </w:rPr>
                        <w:t>12</w:t>
                      </w:r>
                    </w:sdtContent>
                  </w:sdt>
                  <w:r>
                    <w:rPr>
                      <w:b/>
                      <w:bCs/>
                      <w:iCs/>
                      <w:lang w:eastAsia="lt-LT"/>
                    </w:rPr>
                    <w:t>.</w:t>
                    <w:tab/>
                  </w:r>
                  <w:r>
                    <w:rPr>
                      <w:b/>
                      <w:bCs/>
                      <w:iCs/>
                      <w:szCs w:val="24"/>
                      <w:shd w:val="clear" w:color="auto" w:fill="FFFFFF"/>
                      <w:lang w:eastAsia="lt-LT"/>
                    </w:rPr>
                    <w:t>Pridedami dokumentai.</w:t>
                  </w:r>
                </w:p>
                <w:p>
                  <w:pPr>
                    <w:ind w:left="856"/>
                    <w:jc w:val="both"/>
                    <w:rPr>
                      <w:iCs/>
                      <w:szCs w:val="24"/>
                      <w:shd w:val="clear" w:color="auto" w:fill="FFFFFF"/>
                      <w:lang w:eastAsia="lt-LT"/>
                    </w:rPr>
                  </w:pPr>
                  <w:r>
                    <w:rPr>
                      <w:iCs/>
                      <w:szCs w:val="24"/>
                      <w:shd w:val="clear" w:color="auto" w:fill="FFFFFF"/>
                      <w:lang w:eastAsia="lt-LT"/>
                    </w:rPr>
                    <w:t>Turto vertės nustatymo pažymos, 2 lapai.</w:t>
                  </w:r>
                </w:p>
                <w:p>
                  <w:pPr>
                    <w:rPr>
                      <w:szCs w:val="24"/>
                    </w:rPr>
                  </w:pPr>
                </w:p>
                <w:p>
                  <w:pPr>
                    <w:rPr>
                      <w:szCs w:val="24"/>
                    </w:rPr>
                  </w:pPr>
                </w:p>
                <w:p>
                  <w:pPr>
                    <w:rPr>
                      <w:szCs w:val="24"/>
                    </w:rPr>
                  </w:pPr>
                </w:p>
              </w:sdtContent>
            </w:sdt>
          </w:sdtContent>
        </w:sdt>
        <w:sdt>
          <w:sdtPr>
            <w:alias w:val="signatura"/>
            <w:tag w:val="part_33594af9c355447484ab8c710b579f53"/>
            <w:lock w:val="sdtLocked"/>
            <w:richText/>
          </w:sdtPr>
          <w:sdtContent>
            <w:p>
              <w:pPr>
                <w:rPr>
                  <w:szCs w:val="24"/>
                </w:rPr>
              </w:pPr>
              <w:r>
                <w:rPr>
                  <w:szCs w:val="24"/>
                </w:rPr>
                <w:t xml:space="preserve">Statybos ir viešosios tvarkos skyriaus                                                                          Viktoras Šmitas</w:t>
              </w:r>
            </w:p>
            <w:p>
              <w:pPr>
                <w:rPr>
                  <w:szCs w:val="24"/>
                </w:rPr>
              </w:pPr>
              <w:r>
                <w:rPr>
                  <w:szCs w:val="24"/>
                </w:rPr>
                <w:t xml:space="preserve">vedėjo pavaduotojas </w:t>
              </w:r>
            </w:p>
          </w:sdtContent>
        </w:sdt>
      </w:sdtContent>
    </w:sdt>
    <w:sectPr>
      <w:pgSz w:w="11906" w:h="16838"/>
      <w:pgMar w:top="1134" w:right="567" w:bottom="1134" w:left="1701" w:header="709" w:footer="709" w:gutter="0"/>
      <w:cols w:space="708"/>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7E4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D39F41ED-2577-491E-AA7F-465CF067829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417282134">
      <w:bodyDiv w:val="1"/>
      <w:marLeft w:val="0"/>
      <w:marRight w:val="0"/>
      <w:marTop w:val="0"/>
      <w:marBottom w:val="0"/>
      <w:divBdr>
        <w:top w:val="none" w:sz="0" w:space="0" w:color="auto"/>
        <w:left w:val="none" w:sz="0" w:space="0" w:color="auto"/>
        <w:bottom w:val="none" w:sz="0" w:space="0" w:color="auto"/>
        <w:right w:val="none" w:sz="0" w:space="0" w:color="auto"/>
      </w:divBdr>
    </w:div>
    <w:div w:id="1688411296">
      <w:bodyDiv w:val="1"/>
      <w:marLeft w:val="0"/>
      <w:marRight w:val="0"/>
      <w:marTop w:val="0"/>
      <w:marBottom w:val="0"/>
      <w:divBdr>
        <w:top w:val="none" w:sz="0" w:space="0" w:color="auto"/>
        <w:left w:val="none" w:sz="0" w:space="0" w:color="auto"/>
        <w:bottom w:val="none" w:sz="0" w:space="0" w:color="auto"/>
        <w:right w:val="none" w:sz="0" w:space="0" w:color="auto"/>
      </w:divBdr>
    </w:div>
    <w:div w:id="17877702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bbec5aa7b67e42f3861bd4b05cf600f1" PartId="63480a85874d4d2292aa9145b64273a1">
    <Part Type="preambule" DocPartId="76e9da7aa40c40ce928f7e8dcf68827c" PartId="da31e30c4fe246858d5491ad9556d9ec"/>
    <Part Type="skirsnis" Title="RADVILIŠKIO RAJONO SAVIVALDYBĖS TARYBA" DocPartId="c37af6bd55794c13a9b2db3885788287" PartId="fa05038740594719a0ced8f438e1f1b5"/>
    <Part Type="skirsnis" Title="SPRENDIMAS DĖL SOCIALINIO BŪSTO PIRKIMO" DocPartId="8700750bc3934f798881232aadb21cc8" PartId="dfed7a919e0f48c19ceba588cb066cde">
      <Part Type="punktas" Nr="1" Abbr="1 p." DocPartId="5031bda5a85d4407bb009fe80b055dd7" PartId="6c56269076af4dcf8d9e140b1c4c8a52"/>
      <Part Type="punktas" Nr="2" Abbr="2 p." DocPartId="7a541871aa924032911e108019f4ce76" PartId="857b132c95c942d29d11e432e047fa7a"/>
      <Part Type="punktas" Nr="3" Abbr="3 p." DocPartId="c373cc0e966e406183592d72dd9247ce" PartId="d7047bce9c6e4739818b28bd711fe2c9"/>
    </Part>
    <Part Type="skirsnis" Title="RADVILIŠKIO RAJONO SAVIVADYBĖS TARYBOS SPRENDIMO PROJEKTO „DĖL SOCIALINIO BŪSTO PIRKIMO“ AIŠKINAMASIS RAŠTAS" DocPartId="55600061493a43ef8abcd3701689d3bf" PartId="be415d126ca9436e847d2bc4004cd6c4">
      <Part Type="punktas" Nr="1" Abbr="1 p." DocPartId="7d195637346e49fc816d0f5ba0d54957" PartId="c2050eae946a4f1fb8e2b73d7702aa7c"/>
      <Part Type="punktas" Nr="2" Abbr="2 p." DocPartId="94028211cd1e4395ab372d74cba71b0d" PartId="f46334165d72457e928163ba64c89329"/>
      <Part Type="punktas" Nr="3" Abbr="3 p." DocPartId="605b6359d5ec41f095d5e26cfcffac84" PartId="18e9fc4535ca4f35b1acac8c5bce5a5b"/>
      <Part Type="punktas" Nr="4" Abbr="4 p." DocPartId="3b786d1759a94a709af6258996f77b84" PartId="be146189287a42b18460e9eb40826ce8"/>
      <Part Type="punktas" Nr="5" Abbr="5 p." DocPartId="f4001ba143fa47d7938688e813ab8b63" PartId="09974a1dfb8140e69f6bf17789833a6e"/>
      <Part Type="punktas" Nr="6" Abbr="6 p." DocPartId="cb225afea9a34b1b868ce8126c5a09d3" PartId="b200556919a94cbcabea7f2cd3f84635"/>
      <Part Type="punktas" Nr="7" Abbr="7 p." DocPartId="71e987320c7c4be785ed4cfc34a39082" PartId="b3ec0ff6b27642169928ad85b29f08cc"/>
      <Part Type="punktas" Nr="8" Abbr="8 p." DocPartId="da27e7b7b24d40a884360f54f06c1023" PartId="c0a4e22b063d407095a05ccf61791ead"/>
      <Part Type="punktas" Nr="9" Abbr="9 p." DocPartId="a38acef9cc864b968d57a26929be98dd" PartId="8720d2968a474efca1a68890cd48bb19"/>
      <Part Type="punktas" Nr="10" Abbr="10 p." DocPartId="32937429eea74c51899b23a998cdaff8" PartId="7b5bd10980f14e339efdc5d3b1d72e20"/>
      <Part Type="punktas" Nr="11" Abbr="11 p." DocPartId="9ab608b8195542c8b39f79dbfa832699" PartId="c4404d2adf2f481589dddaaaae5f9aae"/>
      <Part Type="punktas" Nr="12" Abbr="12 p." DocPartId="2b375a6e08ee474397b330e6be49c339" PartId="adf85f427e574321b4eb6c9576e00085"/>
    </Part>
    <Part Type="signatura" DocPartId="d7dcf0bc21004d57b739a3fdf2e4b9e6" PartId="33594af9c355447484ab8c710b579f53"/>
  </Part>
</Parts>
</file>

<file path=customXml/itemProps1.xml><?xml version="1.0" encoding="utf-8"?>
<ds:datastoreItem xmlns:ds="http://schemas.openxmlformats.org/officeDocument/2006/customXml" ds:itemID="{29E0DAB5-A91F-453D-AE9C-B152BFF74AA5}">
  <ds:schemaRefs>
    <ds:schemaRef ds:uri="http://schemas.openxmlformats.org/officeDocument/2006/bibliography"/>
  </ds:schemaRefs>
</ds:datastoreItem>
</file>

<file path=customXml/itemProps2.xml><?xml version="1.0" encoding="utf-8"?>
<ds:datastoreItem xmlns:ds="http://schemas.openxmlformats.org/officeDocument/2006/customXml" ds:itemID="{9A00F58F-D544-4D9A-89A2-3AC2C16DB78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855</Words>
  <Characters>5743</Characters>
  <Application>Microsoft Office Word</Application>
  <DocSecurity>4</DocSecurity>
  <Lines>124</Lines>
  <Paragraphs>47</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6551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2025-02-03T08:27:00Z</dcterms:created>
  <dc:creator>Administrator</dc:creator>
  <lastModifiedBy>adlibuser</lastModifiedBy>
  <lastPrinted>2017-04-10T07:17:00Z</lastPrinted>
  <dcterms:modified xsi:type="dcterms:W3CDTF">2025-02-03T08:27:00Z</dcterms:modified>
  <revision>2</revision>
</coreProperties>
</file>