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rPr>
          <w:sz w:val="22"/>
          <w:szCs w:val="22"/>
        </w:rPr>
      </w:pPr>
    </w:p>
    <w:p>
      <w:pPr>
        <w:ind w:firstLine="5828"/>
        <w:jc w:val="center"/>
        <w:rPr>
          <w:b/>
          <w:szCs w:val="24"/>
          <w:lang w:val="en-GB"/>
        </w:rPr>
      </w:pPr>
    </w:p>
    <w:p>
      <w:pPr>
        <w:ind w:firstLine="3600"/>
        <w:jc w:val="right"/>
        <w:rPr>
          <w:b/>
          <w:szCs w:val="24"/>
          <w:lang w:val="en-GB"/>
        </w:rPr>
      </w:pPr>
      <w:r>
        <w:rPr>
          <w:b/>
          <w:szCs w:val="24"/>
          <w:lang w:val="en-GB"/>
        </w:rPr>
        <w:t xml:space="preserve">Projektas Nr. TSP-91 </w:t>
      </w:r>
    </w:p>
    <w:p>
      <w:pPr>
        <w:rPr>
          <w:szCs w:val="24"/>
          <w:lang w:val="en-GB"/>
        </w:rPr>
      </w:pPr>
    </w:p>
    <w:p>
      <w:pPr>
        <w:rPr>
          <w:szCs w:val="24"/>
          <w:lang w:val="en-GB"/>
        </w:rPr>
      </w:pPr>
    </w:p>
    <w:p>
      <w:pPr>
        <w:jc w:val="center"/>
        <w:rPr>
          <w:b/>
          <w:sz w:val="28"/>
          <w:szCs w:val="28"/>
          <w:lang w:eastAsia="lt-LT"/>
        </w:rPr>
      </w:pPr>
      <w:r>
        <w:rPr>
          <w:b/>
          <w:sz w:val="28"/>
          <w:szCs w:val="28"/>
          <w:lang w:eastAsia="lt-LT"/>
        </w:rPr>
        <w:t>KUPIŠKIO RAJONO SAVIVALDYBĖS TARYBA</w:t>
      </w:r>
    </w:p>
    <w:p>
      <w:pPr>
        <w:jc w:val="center"/>
        <w:rPr>
          <w:b/>
          <w:bCs/>
          <w:szCs w:val="24"/>
          <w:lang w:eastAsia="lt-LT"/>
        </w:rPr>
      </w:pPr>
    </w:p>
    <w:p>
      <w:pPr>
        <w:jc w:val="center"/>
        <w:rPr>
          <w:b/>
          <w:bCs/>
          <w:szCs w:val="24"/>
          <w:lang w:eastAsia="lt-LT"/>
        </w:rPr>
      </w:pPr>
      <w:r>
        <w:rPr>
          <w:b/>
          <w:bCs/>
          <w:szCs w:val="24"/>
          <w:lang w:eastAsia="lt-LT"/>
        </w:rPr>
        <w:t>SPRENDIMAS</w:t>
      </w:r>
      <w:r>
        <w:rPr>
          <w:i/>
          <w:szCs w:val="24"/>
          <w:lang w:eastAsia="lt-LT"/>
        </w:rPr>
        <w:t xml:space="preserve">            </w:t>
      </w:r>
    </w:p>
    <w:p>
      <w:pPr>
        <w:spacing w:line="259" w:lineRule="auto"/>
        <w:jc w:val="center"/>
        <w:rPr>
          <w:rFonts w:eastAsia="Calibri"/>
          <w:b/>
          <w:szCs w:val="22"/>
        </w:rPr>
      </w:pPr>
      <w:r>
        <w:rPr>
          <w:rFonts w:eastAsia="Calibri"/>
          <w:b/>
          <w:szCs w:val="22"/>
        </w:rPr>
        <w:t>DĖL PRITARIMO PROJEKTŲ ĮGYVENDINIMUI</w:t>
      </w:r>
    </w:p>
    <w:p>
      <w:pPr>
        <w:rPr>
          <w:szCs w:val="24"/>
        </w:rPr>
      </w:pPr>
    </w:p>
    <w:p>
      <w:pPr>
        <w:jc w:val="center"/>
        <w:rPr>
          <w:szCs w:val="24"/>
        </w:rPr>
      </w:pPr>
      <w:r>
        <w:rPr>
          <w:szCs w:val="24"/>
        </w:rPr>
        <w:t xml:space="preserve">2019 m. gegužės       d. Nr. TS-  </w:t>
      </w:r>
    </w:p>
    <w:p>
      <w:pPr>
        <w:jc w:val="center"/>
        <w:rPr>
          <w:szCs w:val="24"/>
        </w:rPr>
      </w:pPr>
      <w:r>
        <w:rPr>
          <w:szCs w:val="24"/>
        </w:rPr>
        <w:t>Kupiškis</w:t>
      </w:r>
    </w:p>
    <w:p>
      <w:pPr>
        <w:jc w:val="center"/>
        <w:rPr>
          <w:szCs w:val="24"/>
        </w:rPr>
      </w:pPr>
    </w:p>
    <w:p>
      <w:pPr>
        <w:spacing w:line="360" w:lineRule="auto"/>
        <w:ind w:firstLine="720"/>
        <w:jc w:val="both"/>
        <w:rPr>
          <w:szCs w:val="24"/>
        </w:rPr>
      </w:pPr>
      <w:r>
        <w:rPr>
          <w:szCs w:val="24"/>
        </w:rPr>
        <w:t xml:space="preserve">Vadovaudamasi Lietuvos Respublikos vietos savivaldos įstatymo 16  straipsnio 2 dalies ir 30 punktu, Kupiškio rajono vietos veiklos grupės kvietimu teikti paprastus kaimo vietovių projektus pagal vietos plėtros strategijos „Kupiškio rajono 2016–2023 m. integruota vietos plėtros strategija Nr. 42VS-KP-15-1-06716“,  priemonės „Bendruomeninio verslumo kaimiškoje vietovėje kūrimas ir plėtra“ Nr. LEADER-19.2-SAVA-6, atsižvelgdama į Alizavos jaunimo centro ALSJA 2019 m. balandžio 3 d. ir į Adomynės kaimo bendruomenės 2019 m. balandžio 29 d.   prašymus, Kupiškio rajono savivaldybės taryba n u s p r e n d ž i a:</w:t>
      </w:r>
    </w:p>
    <w:p>
      <w:pPr>
        <w:spacing w:line="360" w:lineRule="auto"/>
        <w:ind w:firstLine="720"/>
        <w:jc w:val="both"/>
        <w:rPr>
          <w:szCs w:val="24"/>
        </w:rPr>
      </w:pPr>
      <w:r>
        <w:rPr>
          <w:szCs w:val="24"/>
        </w:rPr>
        <w:t>1</w:t>
      </w:r>
      <w:r>
        <w:rPr>
          <w:szCs w:val="24"/>
        </w:rPr>
        <w:t>. Pritarti Alizavos jaunimo centro ALSJA teikiamo projekto „Žingsnis po žingsnio“ pagal Kupiškio rajono 2016–2023 m. integruotos vietos plėtros strategijos Nr. 42VS-KP-15-1-06716 priemonę „Bendruomeninio verslumo kaimiškoje vietovėje kūrimas ir plėtra“ įgyvendinimui.</w:t>
      </w:r>
    </w:p>
    <w:p>
      <w:pPr>
        <w:spacing w:line="360" w:lineRule="auto"/>
        <w:ind w:firstLine="720"/>
        <w:jc w:val="both"/>
        <w:rPr>
          <w:szCs w:val="24"/>
        </w:rPr>
      </w:pPr>
      <w:r>
        <w:rPr>
          <w:szCs w:val="24"/>
        </w:rPr>
        <w:t>2</w:t>
      </w:r>
      <w:r>
        <w:rPr>
          <w:szCs w:val="24"/>
        </w:rPr>
        <w:t>. Pritarti Adomynės kaimo bendruomenės teikiamo projekto „Adomynė kviečia“ pagal Kupiškio rajono 2016–2023 m. integruotos vietos plėtros strategijos Nr. 42VS-KP-15-1-06716 priemonę „Bendruomeninio verslumo kaimiškoje vietovėje kūrimas ir plėtra“ įgyvendinimui.</w:t>
      </w:r>
    </w:p>
    <w:p>
      <w:pPr>
        <w:spacing w:line="360" w:lineRule="auto"/>
        <w:ind w:firstLine="1298"/>
        <w:jc w:val="both"/>
        <w:rPr>
          <w:szCs w:val="24"/>
          <w:lang w:eastAsia="lt-LT"/>
        </w:rPr>
      </w:pPr>
      <w:r>
        <w:rPr>
          <w:szCs w:val="24"/>
          <w:lang w:eastAsia="lt-LT"/>
        </w:rPr>
        <w:t>3</w:t>
      </w:r>
      <w:r>
        <w:rPr>
          <w:szCs w:val="24"/>
          <w:lang w:eastAsia="lt-LT"/>
        </w:rPr>
        <w:t>. Prisidėti prie projekto „Žingsnis po žingsnio“ įgyvendinimo Savivaldybės biudžeto lėšomis – 5 proc., t. y. 1 315,79 euro (vienas tūkstantis trys šimtai penkiolika eurų 79 ct).</w:t>
      </w:r>
    </w:p>
    <w:p>
      <w:pPr>
        <w:spacing w:line="360" w:lineRule="auto"/>
        <w:ind w:firstLine="1298"/>
        <w:jc w:val="both"/>
        <w:rPr>
          <w:szCs w:val="24"/>
          <w:lang w:eastAsia="lt-LT"/>
        </w:rPr>
      </w:pPr>
      <w:r>
        <w:rPr>
          <w:szCs w:val="24"/>
          <w:lang w:eastAsia="lt-LT"/>
        </w:rPr>
        <w:t>4</w:t>
      </w:r>
      <w:r>
        <w:rPr>
          <w:szCs w:val="24"/>
          <w:lang w:eastAsia="lt-LT"/>
        </w:rPr>
        <w:t>. Prisidėti prie projekto „Adomynė kviečia“ įgyvendinimo Savivaldybės biudžeto lėšomis – 5 proc., t. y. 309,69 euro (trys šimtai devyni eurai 69 ct).</w:t>
      </w:r>
    </w:p>
    <w:p>
      <w:pPr>
        <w:spacing w:line="360" w:lineRule="auto"/>
        <w:ind w:firstLine="1298"/>
        <w:jc w:val="both"/>
        <w:rPr>
          <w:rFonts w:eastAsia="Calibri"/>
          <w:szCs w:val="24"/>
          <w:lang w:eastAsia="lt-LT"/>
        </w:rPr>
      </w:pPr>
      <w:r>
        <w:rPr>
          <w:szCs w:val="24"/>
          <w:lang w:eastAsia="lt-LT"/>
        </w:rPr>
        <w:t>5</w:t>
      </w:r>
      <w:r>
        <w:rPr>
          <w:szCs w:val="24"/>
          <w:lang w:eastAsia="lt-LT"/>
        </w:rPr>
        <w:t>. Įgalioti Alizavos jaunimo centro ALSJA prezidentę pasirašyti 1 punkte nurodytų projektų paraiškas ir kitus su projektais susijusius dokumentus, reikalingus teikiant paraiškas, o gavus finansavimą, pasirašyti projektų finansavimo sutartis.</w:t>
      </w:r>
      <w:r>
        <w:rPr>
          <w:rFonts w:eastAsia="Calibri"/>
          <w:szCs w:val="24"/>
          <w:lang w:eastAsia="lt-LT"/>
        </w:rPr>
        <w:t xml:space="preserve"> </w:t>
      </w:r>
    </w:p>
    <w:p>
      <w:pPr>
        <w:spacing w:line="360" w:lineRule="auto"/>
        <w:ind w:firstLine="1298"/>
        <w:jc w:val="both"/>
        <w:rPr>
          <w:rFonts w:eastAsia="Calibri"/>
          <w:szCs w:val="24"/>
          <w:lang w:eastAsia="lt-LT"/>
        </w:rPr>
      </w:pPr>
      <w:r>
        <w:rPr>
          <w:rFonts w:eastAsia="Calibri"/>
          <w:szCs w:val="24"/>
          <w:lang w:eastAsia="lt-LT"/>
        </w:rPr>
        <w:t>6</w:t>
      </w:r>
      <w:r>
        <w:rPr>
          <w:rFonts w:eastAsia="Calibri"/>
          <w:szCs w:val="24"/>
          <w:lang w:eastAsia="lt-LT"/>
        </w:rPr>
        <w:t>.</w:t>
      </w:r>
      <w:r>
        <w:rPr>
          <w:szCs w:val="24"/>
          <w:lang w:eastAsia="lt-LT"/>
        </w:rPr>
        <w:t xml:space="preserve"> Įgalioti Adomynės kaimo bendruomenės pirmininkę pasirašyti 2 punkte nurodytų projektų paraiškas ir kitus su projektais susijusius dokumentus, reikalingus teikiant paraiškas, o gavus finansavimą, pasirašyti projektų finansavimo sutartis.</w:t>
      </w:r>
      <w:r>
        <w:rPr>
          <w:rFonts w:eastAsia="Calibri"/>
          <w:szCs w:val="24"/>
          <w:lang w:eastAsia="lt-LT"/>
        </w:rPr>
        <w:t xml:space="preserve"> </w:t>
        <w:tab/>
      </w:r>
    </w:p>
    <w:p>
      <w:pPr>
        <w:spacing w:line="360" w:lineRule="auto"/>
        <w:ind w:firstLine="1296"/>
        <w:jc w:val="both"/>
        <w:rPr>
          <w:szCs w:val="24"/>
          <w:lang w:eastAsia="lt-LT"/>
        </w:rPr>
      </w:pPr>
      <w:r>
        <w:rPr>
          <w:bCs/>
          <w:szCs w:val="24"/>
          <w:lang w:eastAsia="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pPr>
        <w:rPr>
          <w:sz w:val="14"/>
          <w:szCs w:val="14"/>
        </w:rPr>
      </w:pPr>
    </w:p>
    <w:p>
      <w:pPr>
        <w:tabs>
          <w:tab w:val="left" w:pos="1247"/>
        </w:tabs>
        <w:spacing w:line="360" w:lineRule="auto"/>
        <w:rPr>
          <w:rFonts w:eastAsia="Calibri"/>
          <w:szCs w:val="24"/>
        </w:rPr>
      </w:pPr>
    </w:p>
    <w:p>
      <w:pPr>
        <w:tabs>
          <w:tab w:val="left" w:pos="1247"/>
        </w:tabs>
        <w:spacing w:line="360" w:lineRule="auto"/>
        <w:rPr>
          <w:rFonts w:eastAsia="Calibri"/>
          <w:szCs w:val="24"/>
        </w:rPr>
      </w:pPr>
      <w:r>
        <w:rPr>
          <w:rFonts w:eastAsia="Calibri"/>
          <w:szCs w:val="24"/>
        </w:rPr>
        <w:t xml:space="preserve">Savivaldybės meras     </w:t>
        <w:tab/>
        <w:tab/>
        <w:tab/>
        <w:tab/>
        <w:t xml:space="preserve">           </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ind w:firstLine="2160"/>
        <w:rPr>
          <w:szCs w:val="24"/>
          <w:lang w:eastAsia="lt-LT"/>
        </w:rPr>
      </w:pPr>
    </w:p>
    <w:tbl>
      <w:tblPr>
        <w:tblW w:w="0" w:type="auto"/>
        <w:tblLook w:val="01E0" w:firstRow="1" w:lastRow="1" w:firstColumn="1" w:lastColumn="1" w:noHBand="0" w:noVBand="0"/>
      </w:tblPr>
      <w:tblGrid>
        <w:gridCol w:w="3617"/>
        <w:gridCol w:w="4035"/>
      </w:tblGrid>
      <w:tr>
        <w:trPr>
          <w:trHeight w:val="63"/>
        </w:trPr>
        <w:tc>
          <w:tcPr>
            <w:tcW w:w="3617" w:type="dxa"/>
          </w:tcPr>
          <w:p>
            <w:pPr>
              <w:jc w:val="both"/>
              <w:rPr>
                <w:szCs w:val="24"/>
                <w:lang w:val="en-GB"/>
              </w:rPr>
            </w:pPr>
          </w:p>
          <w:p>
            <w:pPr>
              <w:jc w:val="both"/>
              <w:rPr>
                <w:szCs w:val="24"/>
                <w:lang w:val="en-GB"/>
              </w:rPr>
            </w:pPr>
            <w:r>
              <w:rPr>
                <w:szCs w:val="24"/>
                <w:lang w:val="en-GB"/>
              </w:rPr>
              <w:t>Parengė</w:t>
            </w:r>
          </w:p>
        </w:tc>
        <w:tc>
          <w:tcPr>
            <w:tcW w:w="4035" w:type="dxa"/>
          </w:tcPr>
          <w:p>
            <w:pPr>
              <w:jc w:val="both"/>
              <w:rPr>
                <w:szCs w:val="24"/>
                <w:lang w:val="en-GB"/>
              </w:rPr>
            </w:pPr>
          </w:p>
        </w:tc>
      </w:tr>
      <w:tr>
        <w:trPr>
          <w:trHeight w:val="659"/>
        </w:trPr>
        <w:tc>
          <w:tcPr>
            <w:tcW w:w="3617" w:type="dxa"/>
          </w:tcPr>
          <w:p>
            <w:pPr>
              <w:rPr>
                <w:szCs w:val="24"/>
                <w:lang w:val="en-GB"/>
              </w:rPr>
            </w:pPr>
            <w:r>
              <w:rPr>
                <w:szCs w:val="24"/>
                <w:lang w:val="en-GB"/>
              </w:rPr>
              <w:t>Viešojo pirkimo ir strateginio planavimo skyriaus vedėjas</w:t>
            </w:r>
          </w:p>
        </w:tc>
        <w:tc>
          <w:tcPr>
            <w:tcW w:w="4035" w:type="dxa"/>
          </w:tcPr>
          <w:p>
            <w:pPr>
              <w:ind w:firstLine="186"/>
              <w:rPr>
                <w:szCs w:val="24"/>
                <w:lang w:val="en-GB"/>
              </w:rPr>
            </w:pPr>
          </w:p>
        </w:tc>
      </w:tr>
      <w:tr>
        <w:trPr>
          <w:trHeight w:val="215"/>
        </w:trPr>
        <w:tc>
          <w:tcPr>
            <w:tcW w:w="3617" w:type="dxa"/>
          </w:tcPr>
          <w:p>
            <w:pPr>
              <w:jc w:val="both"/>
              <w:rPr>
                <w:szCs w:val="24"/>
                <w:lang w:val="en-GB"/>
              </w:rPr>
            </w:pPr>
          </w:p>
        </w:tc>
        <w:tc>
          <w:tcPr>
            <w:tcW w:w="4035" w:type="dxa"/>
          </w:tcPr>
          <w:p>
            <w:pPr>
              <w:jc w:val="both"/>
              <w:rPr>
                <w:szCs w:val="24"/>
                <w:lang w:val="en-GB"/>
              </w:rPr>
            </w:pPr>
          </w:p>
        </w:tc>
      </w:tr>
      <w:tr>
        <w:trPr>
          <w:trHeight w:val="227"/>
        </w:trPr>
        <w:tc>
          <w:tcPr>
            <w:tcW w:w="3617" w:type="dxa"/>
          </w:tcPr>
          <w:p>
            <w:pPr>
              <w:jc w:val="both"/>
              <w:rPr>
                <w:szCs w:val="24"/>
                <w:lang w:val="en-GB"/>
              </w:rPr>
            </w:pPr>
            <w:r>
              <w:rPr>
                <w:szCs w:val="24"/>
                <w:lang w:val="en-GB"/>
              </w:rPr>
              <w:t>Arūnas Valintėlis</w:t>
            </w:r>
          </w:p>
        </w:tc>
        <w:tc>
          <w:tcPr>
            <w:tcW w:w="4035" w:type="dxa"/>
          </w:tcPr>
          <w:p>
            <w:pPr>
              <w:jc w:val="both"/>
              <w:rPr>
                <w:szCs w:val="24"/>
                <w:lang w:val="en-GB"/>
              </w:rPr>
            </w:pPr>
          </w:p>
        </w:tc>
      </w:tr>
    </w:tbl>
    <w:p>
      <w:pPr>
        <w:rPr>
          <w:szCs w:val="24"/>
          <w:lang w:val="en-GB"/>
        </w:rPr>
      </w:pPr>
    </w:p>
    <w:p>
      <w:pPr>
        <w:rPr>
          <w:szCs w:val="24"/>
          <w:lang w:val="en-GB"/>
        </w:rPr>
      </w:pPr>
      <w:r>
        <w:rPr>
          <w:szCs w:val="24"/>
          <w:lang w:val="en-GB"/>
        </w:rPr>
        <w:t>Projektas suderintas DVS</w:t>
      </w:r>
      <w:r>
        <w:rPr>
          <w:szCs w:val="24"/>
          <w:lang w:eastAsia="lt-LT"/>
        </w:rPr>
        <w:tab/>
      </w:r>
    </w:p>
    <w:sectPr>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2</w:t>
    </w:r>
    <w:r>
      <w:rPr>
        <w:sz w:val="22"/>
        <w:szCs w:val="22"/>
      </w:rPr>
      <w:fldChar w:fldCharType="end"/>
    </w:r>
  </w:p>
  <w:p>
    <w:pPr>
      <w:tabs>
        <w:tab w:val="center" w:pos="4819"/>
        <w:tab w:val="right" w:pos="9638"/>
      </w:tabs>
      <w:rPr>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740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2374</Characters>
  <Application>Microsoft Office Word</Application>
  <DocSecurity>4</DocSecurity>
  <Lines>94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2019-05-02T10:34:00Z</dcterms:created>
  <dc:creator>Rasa_a</dc:creator>
  <lastModifiedBy>adlibuser</lastModifiedBy>
  <lastPrinted>2019-05-02T07:03:00Z</lastPrinted>
  <dcterms:modified xsi:type="dcterms:W3CDTF">2019-05-02T10:34:00Z</dcterms:modified>
  <revision>2</revision>
</coreProperties>
</file>