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a6b73d17084e3e898ecdde0e439cb2"/>
        <w:lock w:val="sdtLocked"/>
        <w:richText/>
      </w:sdtPr>
      <w:sdtContent>
        <w:p>
          <w:pPr>
            <w:tabs>
              <w:tab w:val="center" w:pos="4153"/>
              <w:tab w:val="right" w:pos="8306"/>
            </w:tabs>
            <w:rPr>
              <w:lang w:eastAsia="lt-LT"/>
            </w:rPr>
          </w:pPr>
        </w:p>
        <w:p>
          <w:pPr>
            <w:ind w:firstLine="6804"/>
            <w:jc w:val="right"/>
            <w:rPr>
              <w:b/>
              <w:szCs w:val="24"/>
            </w:rPr>
          </w:pPr>
          <w:r>
            <w:rPr>
              <w:b/>
              <w:szCs w:val="24"/>
            </w:rPr>
            <w:t>Projektas</w:t>
          </w:r>
        </w:p>
        <w:p>
          <w:pPr>
            <w:tabs>
              <w:tab w:val="left" w:pos="851"/>
              <w:tab w:val="left" w:pos="993"/>
            </w:tabs>
            <w:jc w:val="center"/>
            <w:textAlignment w:val="center"/>
            <w:rPr>
              <w:b/>
              <w:bCs/>
              <w:color w:val="000000"/>
              <w:szCs w:val="24"/>
              <w:lang w:eastAsia="lt-LT"/>
            </w:rPr>
          </w:pPr>
        </w:p>
        <w:p>
          <w:pPr>
            <w:tabs>
              <w:tab w:val="left" w:pos="851"/>
              <w:tab w:val="left" w:pos="993"/>
            </w:tabs>
            <w:jc w:val="center"/>
            <w:textAlignment w:val="center"/>
            <w:rPr>
              <w:b/>
              <w:bCs/>
              <w:color w:val="000000"/>
              <w:szCs w:val="24"/>
              <w:lang w:eastAsia="lt-LT"/>
            </w:rPr>
          </w:pPr>
          <w:r>
            <w:rPr>
              <w:b/>
              <w:bCs/>
              <w:color w:val="000000"/>
              <w:szCs w:val="24"/>
              <w:lang w:eastAsia="lt-LT"/>
            </w:rPr>
            <w:t>LIETUVOS RESPUBLIKOS FINANSŲ MINISTRAS</w:t>
          </w:r>
        </w:p>
        <w:p>
          <w:pPr>
            <w:tabs>
              <w:tab w:val="left" w:pos="851"/>
              <w:tab w:val="left" w:pos="993"/>
            </w:tabs>
            <w:ind w:firstLine="709"/>
            <w:jc w:val="center"/>
            <w:textAlignment w:val="center"/>
            <w:rPr>
              <w:szCs w:val="24"/>
              <w:lang w:eastAsia="lt-LT"/>
            </w:rPr>
          </w:pPr>
        </w:p>
        <w:p>
          <w:pPr>
            <w:tabs>
              <w:tab w:val="left" w:pos="426"/>
              <w:tab w:val="left" w:pos="567"/>
              <w:tab w:val="left" w:pos="851"/>
              <w:tab w:val="left" w:pos="993"/>
              <w:tab w:val="left" w:pos="1134"/>
            </w:tabs>
            <w:jc w:val="center"/>
            <w:rPr>
              <w:b/>
              <w:bCs/>
              <w:szCs w:val="22"/>
            </w:rPr>
          </w:pPr>
          <w:r>
            <w:rPr>
              <w:b/>
              <w:bCs/>
              <w:szCs w:val="22"/>
            </w:rPr>
            <w:t>ĮSAKYMAS</w:t>
          </w:r>
        </w:p>
        <w:p>
          <w:pPr>
            <w:tabs>
              <w:tab w:val="left" w:pos="426"/>
              <w:tab w:val="left" w:pos="567"/>
              <w:tab w:val="left" w:pos="851"/>
              <w:tab w:val="left" w:pos="993"/>
              <w:tab w:val="left" w:pos="1134"/>
            </w:tabs>
            <w:jc w:val="center"/>
            <w:rPr>
              <w:b/>
              <w:bCs/>
              <w:szCs w:val="22"/>
            </w:rPr>
          </w:pPr>
          <w:r>
            <w:rPr>
              <w:b/>
              <w:szCs w:val="22"/>
            </w:rPr>
            <w:t xml:space="preserve">DĖL FINANSŲ MINISTRO 2008 M. VASARIO 8 D. ĮSAKYMO NR. 1K-059 „DĖL VIEŠOJO SEKTORIAUS APSKAITOS IR FINANSINĖS ATSKAITOMYBĖS </w:t>
          </w:r>
          <w:r>
            <w:rPr>
              <w:b/>
              <w:bCs/>
              <w:szCs w:val="22"/>
            </w:rPr>
            <w:t>11-OJO STANDARTO PATVIRTINIMO“ PAKEITIMO</w:t>
          </w:r>
        </w:p>
        <w:p>
          <w:pPr>
            <w:tabs>
              <w:tab w:val="left" w:pos="426"/>
              <w:tab w:val="left" w:pos="567"/>
              <w:tab w:val="left" w:pos="851"/>
              <w:tab w:val="left" w:pos="993"/>
              <w:tab w:val="left" w:pos="1134"/>
            </w:tabs>
            <w:jc w:val="center"/>
          </w:pPr>
        </w:p>
        <w:p>
          <w:pPr>
            <w:tabs>
              <w:tab w:val="left" w:pos="426"/>
              <w:tab w:val="left" w:pos="567"/>
              <w:tab w:val="left" w:pos="851"/>
              <w:tab w:val="left" w:pos="993"/>
              <w:tab w:val="left" w:pos="1134"/>
            </w:tabs>
            <w:jc w:val="center"/>
          </w:pPr>
          <w:r>
            <w:t xml:space="preserve">2024 m.           d. Nr. </w:t>
          </w:r>
        </w:p>
        <w:p>
          <w:pPr>
            <w:tabs>
              <w:tab w:val="left" w:pos="426"/>
              <w:tab w:val="left" w:pos="567"/>
              <w:tab w:val="left" w:pos="851"/>
              <w:tab w:val="left" w:pos="993"/>
              <w:tab w:val="left" w:pos="1134"/>
            </w:tabs>
            <w:jc w:val="center"/>
          </w:pPr>
          <w:r>
            <w:t>Vilnius</w:t>
          </w:r>
        </w:p>
        <w:p>
          <w:pPr>
            <w:tabs>
              <w:tab w:val="left" w:pos="426"/>
              <w:tab w:val="left" w:pos="567"/>
              <w:tab w:val="left" w:pos="851"/>
              <w:tab w:val="left" w:pos="993"/>
              <w:tab w:val="left" w:pos="1134"/>
            </w:tabs>
            <w:jc w:val="center"/>
          </w:pPr>
        </w:p>
        <w:sdt>
          <w:sdtPr>
            <w:alias w:val="1 p."/>
            <w:tag w:val="part_34af513752f8469dbed6d9db22324df3"/>
            <w:lock w:val="sdtLocked"/>
            <w:richText/>
          </w:sdtPr>
          <w:sdtContent>
            <w:p>
              <w:pPr>
                <w:tabs>
                  <w:tab w:val="left" w:pos="426"/>
                  <w:tab w:val="left" w:pos="567"/>
                  <w:tab w:val="left" w:pos="851"/>
                  <w:tab w:val="left" w:pos="993"/>
                  <w:tab w:val="left" w:pos="1134"/>
                </w:tabs>
                <w:spacing w:line="276" w:lineRule="auto"/>
                <w:ind w:firstLine="709"/>
                <w:jc w:val="both"/>
              </w:pPr>
              <w:sdt>
                <w:sdtPr>
                  <w:alias w:val="Numeris"/>
                  <w:tag w:val="nr_34af513752f8469dbed6d9db22324df3"/>
                  <w:lock w:val="sdtLocked"/>
                  <w:richText/>
                </w:sdtPr>
                <w:sdtContent>
                  <w:r>
                    <w:t>1</w:t>
                  </w:r>
                </w:sdtContent>
              </w:sdt>
              <w:r>
                <w:t>.</w:t>
                <w:tab/>
                <w:t>P a k e i č i u Lietuvos Respublikos finansų ministro 2008 m. vasario 8 d. įsakymą Nr. 1K-059 „Dėl viešojo sektoriaus apskaitos ir finansinės atskaitomybės 11-ojo standarto patvirtinimo“ ir jį išdėstau nauja redakcija:</w:t>
              </w:r>
            </w:p>
            <w:sdt>
              <w:sdtPr>
                <w:alias w:val="citata"/>
                <w:tag w:val="part_9ef0a9fbbb294e0784069b5f2af425c1"/>
                <w:lock w:val="sdtLocked"/>
                <w:richText/>
              </w:sdtPr>
              <w:sdtContent>
                <w:sdt>
                  <w:sdtPr>
                    <w:alias w:val="pagrindine"/>
                    <w:tag w:val="part_faaee745de4444928ee84e23d7bf879f"/>
                    <w:lock w:val="sdtLocked"/>
                    <w:richText/>
                  </w:sdtPr>
                  <w:sdtContent>
                    <w:p>
                      <w:pPr>
                        <w:tabs>
                          <w:tab w:val="left" w:pos="851"/>
                          <w:tab w:val="left" w:pos="993"/>
                        </w:tabs>
                        <w:jc w:val="center"/>
                        <w:textAlignment w:val="center"/>
                        <w:rPr>
                          <w:b/>
                          <w:bCs/>
                          <w:color w:val="000000"/>
                          <w:szCs w:val="24"/>
                          <w:lang w:eastAsia="lt-LT"/>
                        </w:rPr>
                      </w:pPr>
                      <w:r>
                        <w:rPr>
                          <w:bCs/>
                          <w:color w:val="000000"/>
                          <w:szCs w:val="24"/>
                          <w:lang w:eastAsia="lt-LT"/>
                        </w:rPr>
                        <w:t>„</w:t>
                      </w:r>
                      <w:r>
                        <w:rPr>
                          <w:b/>
                          <w:bCs/>
                          <w:color w:val="000000"/>
                          <w:szCs w:val="24"/>
                          <w:lang w:eastAsia="lt-LT"/>
                        </w:rPr>
                        <w:t>LIETUVOS RESPUBLIKOS FINANSŲ MINISTRAS</w:t>
                      </w:r>
                    </w:p>
                    <w:p>
                      <w:pPr>
                        <w:tabs>
                          <w:tab w:val="left" w:pos="851"/>
                          <w:tab w:val="left" w:pos="993"/>
                        </w:tabs>
                        <w:ind w:firstLine="709"/>
                        <w:jc w:val="center"/>
                        <w:textAlignment w:val="center"/>
                        <w:rPr>
                          <w:szCs w:val="24"/>
                          <w:lang w:eastAsia="lt-LT"/>
                        </w:rPr>
                      </w:pPr>
                    </w:p>
                    <w:p>
                      <w:pPr>
                        <w:tabs>
                          <w:tab w:val="left" w:pos="851"/>
                          <w:tab w:val="left" w:pos="993"/>
                        </w:tabs>
                        <w:jc w:val="center"/>
                        <w:textAlignment w:val="center"/>
                        <w:rPr>
                          <w:b/>
                          <w:bCs/>
                          <w:color w:val="000000"/>
                          <w:szCs w:val="24"/>
                          <w:lang w:eastAsia="lt-LT"/>
                        </w:rPr>
                      </w:pPr>
                      <w:r>
                        <w:rPr>
                          <w:b/>
                          <w:bCs/>
                          <w:color w:val="000000"/>
                          <w:szCs w:val="24"/>
                          <w:lang w:eastAsia="lt-LT"/>
                        </w:rPr>
                        <w:t>ĮSAKYMAS</w:t>
                      </w:r>
                    </w:p>
                    <w:p>
                      <w:pPr>
                        <w:tabs>
                          <w:tab w:val="left" w:pos="851"/>
                          <w:tab w:val="left" w:pos="993"/>
                        </w:tabs>
                        <w:jc w:val="center"/>
                        <w:rPr>
                          <w:b/>
                          <w:lang w:eastAsia="lt-LT"/>
                        </w:rPr>
                      </w:pPr>
                      <w:r>
                        <w:rPr>
                          <w:b/>
                          <w:bCs/>
                          <w:color w:val="000000"/>
                          <w:szCs w:val="24"/>
                          <w:lang w:eastAsia="lt-LT"/>
                        </w:rPr>
                        <w:t xml:space="preserve">DĖL </w:t>
                      </w:r>
                      <w:r>
                        <w:rPr>
                          <w:b/>
                          <w:lang w:eastAsia="lt-LT"/>
                        </w:rPr>
                        <w:t>11-OJO VIEŠOJO SEKTORIAUS APSKAITOS IR FINANSINĖS ATSKAITOMYBĖS STANDARTO PATVIRTINIMO</w:t>
                      </w:r>
                    </w:p>
                    <w:p>
                      <w:pPr>
                        <w:tabs>
                          <w:tab w:val="left" w:pos="851"/>
                          <w:tab w:val="left" w:pos="993"/>
                        </w:tabs>
                        <w:rPr>
                          <w:b/>
                          <w:lang w:eastAsia="lt-LT"/>
                        </w:rPr>
                      </w:pPr>
                    </w:p>
                    <w:sdt>
                      <w:sdtPr>
                        <w:alias w:val="preambule"/>
                        <w:tag w:val="part_f527ae7ea7f54fbfbd621b4ada737547"/>
                        <w:lock w:val="sdtLocked"/>
                        <w:richText/>
                      </w:sdtPr>
                      <w:sdtContent>
                        <w:p>
                          <w:pPr>
                            <w:tabs>
                              <w:tab w:val="left" w:pos="851"/>
                              <w:tab w:val="left" w:pos="993"/>
                              <w:tab w:val="left" w:pos="1276"/>
                            </w:tabs>
                            <w:ind w:firstLine="709"/>
                            <w:jc w:val="both"/>
                            <w:rPr>
                              <w:szCs w:val="24"/>
                              <w:lang w:eastAsia="lt-LT"/>
                            </w:rPr>
                          </w:pPr>
                          <w:r>
                            <w:rPr>
                              <w:szCs w:val="24"/>
                              <w:lang w:eastAsia="lt-LT"/>
                            </w:rPr>
                            <w:t>Vadovaudamasis Lietuvos Respublikos finansinės apskaitos įstatymo 12 straipsnio 2 dalimi,</w:t>
                          </w:r>
                        </w:p>
                      </w:sdtContent>
                    </w:sdt>
                    <w:sdt>
                      <w:sdtPr>
                        <w:alias w:val="pastraipa"/>
                        <w:tag w:val="part_d288d8790da345d6802d01eb7a10ed1a"/>
                        <w:lock w:val="sdtLocked"/>
                        <w:richText/>
                      </w:sdtPr>
                      <w:sdtContent>
                        <w:p>
                          <w:pPr>
                            <w:tabs>
                              <w:tab w:val="left" w:pos="851"/>
                              <w:tab w:val="left" w:pos="993"/>
                              <w:tab w:val="left" w:pos="1276"/>
                            </w:tabs>
                            <w:ind w:firstLine="709"/>
                            <w:jc w:val="both"/>
                            <w:rPr>
                              <w:bCs/>
                              <w:color w:val="000000"/>
                              <w:szCs w:val="24"/>
                              <w:lang w:eastAsia="lt-LT"/>
                            </w:rPr>
                          </w:pPr>
                          <w:r>
                            <w:rPr>
                              <w:szCs w:val="24"/>
                              <w:lang w:eastAsia="lt-LT"/>
                            </w:rPr>
                            <w:t xml:space="preserve">t v i r t i n u 11-ąjį viešojo sektoriaus apskaitos ir finansinės atskaitomybės standartą </w:t>
                          </w:r>
                          <w:r>
                            <w:rPr>
                              <w:bCs/>
                              <w:color w:val="000000"/>
                              <w:szCs w:val="24"/>
                              <w:lang w:eastAsia="lt-LT"/>
                            </w:rPr>
                            <w:t>„Sąnaudos“ (pridedama).“</w:t>
                          </w:r>
                        </w:p>
                      </w:sdtContent>
                    </w:sdt>
                  </w:sdtContent>
                </w:sdt>
              </w:sdtContent>
            </w:sdt>
          </w:sdtContent>
        </w:sdt>
        <w:sdt>
          <w:sdtPr>
            <w:alias w:val="2 p."/>
            <w:tag w:val="part_9d496d0b57de422a8627cd41634d3b03"/>
            <w:lock w:val="sdtLocked"/>
            <w:richText/>
          </w:sdtPr>
          <w:sdtContent>
            <w:p>
              <w:pPr>
                <w:tabs>
                  <w:tab w:val="left" w:pos="1134"/>
                </w:tabs>
                <w:ind w:firstLine="709"/>
                <w:jc w:val="both"/>
                <w:rPr>
                  <w:bCs/>
                  <w:szCs w:val="22"/>
                </w:rPr>
              </w:pPr>
              <w:sdt>
                <w:sdtPr>
                  <w:alias w:val="Numeris"/>
                  <w:tag w:val="nr_9d496d0b57de422a8627cd41634d3b03"/>
                  <w:lock w:val="sdtLocked"/>
                  <w:richText/>
                </w:sdtPr>
                <w:sdtContent>
                  <w:r>
                    <w:rPr>
                      <w:bCs/>
                      <w:szCs w:val="22"/>
                    </w:rPr>
                    <w:t>2</w:t>
                  </w:r>
                </w:sdtContent>
              </w:sdt>
              <w:r>
                <w:rPr>
                  <w:bCs/>
                  <w:szCs w:val="22"/>
                </w:rPr>
                <w:t>.</w:t>
                <w:tab/>
                <w:t xml:space="preserve">N u s t a t a u, kad </w:t>
              </w:r>
              <w:r>
                <w:rPr>
                  <w:szCs w:val="24"/>
                  <w:lang w:eastAsia="lt-LT"/>
                </w:rPr>
                <w:t xml:space="preserve">šis įsakymas taikomas finansinių ataskaitų rinkiniams </w:t>
              </w:r>
              <w:r>
                <w:t>ar pagal Lietuvos Respublikos viešojo sektoriaus atskaitomybės įstatymo 9 straipsnio 5 dalį rengiamiems fondų ataskaitų rinkiniams</w:t>
              </w:r>
              <w:r>
                <w:rPr>
                  <w:szCs w:val="24"/>
                  <w:lang w:eastAsia="lt-LT"/>
                </w:rPr>
                <w:t xml:space="preserve">, rengiamiems už </w:t>
              </w:r>
              <w:r>
                <w:rPr>
                  <w:color w:val="000000"/>
                  <w:szCs w:val="24"/>
                  <w:lang w:eastAsia="lt-LT"/>
                </w:rPr>
                <w:t>2026 m. sausio 1 d. ir vėliau prasidedančius ataskaitinius laikotarpius.</w:t>
              </w:r>
            </w:p>
            <w:p>
              <w:pPr>
                <w:tabs>
                  <w:tab w:val="left" w:pos="1134"/>
                </w:tabs>
                <w:rPr>
                  <w:bCs/>
                  <w:szCs w:val="22"/>
                </w:rPr>
              </w:pPr>
            </w:p>
            <w:p>
              <w:pPr>
                <w:tabs>
                  <w:tab w:val="left" w:pos="1134"/>
                </w:tabs>
                <w:rPr>
                  <w:bCs/>
                  <w:szCs w:val="22"/>
                </w:rPr>
              </w:pPr>
            </w:p>
          </w:sdtContent>
        </w:sdt>
        <w:sdt>
          <w:sdtPr>
            <w:alias w:val="signatura"/>
            <w:tag w:val="part_5bf3a4137c414a24a490e59dc4a0b2bd"/>
            <w:lock w:val="sdtLocked"/>
            <w:richText/>
          </w:sdtPr>
          <w:sdtContent>
            <w:p>
              <w:pPr>
                <w:rPr>
                  <w:szCs w:val="24"/>
                </w:rPr>
              </w:pPr>
              <w:r>
                <w:rPr>
                  <w:bCs/>
                  <w:szCs w:val="22"/>
                </w:rPr>
                <w:t xml:space="preserve">Finansų ministras </w:t>
                <w:tab/>
                <w:tab/>
                <w:tab/>
                <w:tab/>
                <w:tab/>
              </w:r>
            </w:p>
            <w:p>
              <w:pPr>
                <w:tabs>
                  <w:tab w:val="left" w:pos="1134"/>
                </w:tabs>
                <w:rPr>
                  <w:bCs/>
                  <w:szCs w:val="22"/>
                </w:rPr>
              </w:pPr>
            </w:p>
            <w:p/>
            <w:p>
              <w:pPr>
                <w:widowControl w:val="0"/>
                <w:suppressAutoHyphens/>
                <w:ind w:firstLine="5102"/>
                <w:sectPr>
                  <w:headerReference w:type="even" r:id="rId7"/>
                  <w:headerReference w:type="default" r:id="rId8"/>
                  <w:footerReference w:type="even" r:id="rId9"/>
                  <w:footerReference w:type="default" r:id="rId10"/>
                  <w:headerReference w:type="first" r:id="rId11"/>
                  <w:footerReference w:type="first" r:id="rId12"/>
                  <w:pgSz w:w="11906" w:h="16838" w:code="9"/>
                  <w:pgMar w:top="993" w:right="567" w:bottom="993" w:left="1701" w:header="560" w:footer="686" w:gutter="0"/>
                  <w:cols w:space="1296"/>
                  <w:formProt w:val="0"/>
                  <w:titlePg/>
                  <w:docGrid w:linePitch="326"/>
                </w:sectPr>
              </w:pPr>
            </w:p>
          </w:sdtContent>
        </w:sdt>
      </w:sdtContent>
    </w:sdt>
    <w:sdt>
      <w:sdtPr>
        <w:alias w:val="patvirtinta"/>
        <w:tag w:val="part_8ee6d2878b3b4ee9ab20af87c5e991db"/>
        <w:lock w:val="sdtLocked"/>
        <w:richText/>
      </w:sdtPr>
      <w:sdtContent>
        <w:p>
          <w:pPr>
            <w:widowControl w:val="0"/>
            <w:suppressAutoHyphens/>
            <w:ind w:firstLine="5387"/>
            <w:rPr>
              <w:color w:val="000000"/>
              <w:lang w:eastAsia="lt-LT"/>
            </w:rPr>
          </w:pPr>
          <w:r>
            <w:rPr>
              <w:color w:val="000000"/>
              <w:lang w:eastAsia="lt-LT"/>
            </w:rPr>
            <w:t>PATVIRTINTA</w:t>
          </w:r>
        </w:p>
        <w:p>
          <w:pPr>
            <w:widowControl w:val="0"/>
            <w:suppressAutoHyphens/>
            <w:ind w:firstLine="5387"/>
            <w:rPr>
              <w:color w:val="000000"/>
              <w:lang w:eastAsia="lt-LT"/>
            </w:rPr>
          </w:pPr>
          <w:r>
            <w:rPr>
              <w:color w:val="000000"/>
              <w:lang w:eastAsia="lt-LT"/>
            </w:rPr>
            <w:t>Lietuvos Respublikos finansų ministro</w:t>
          </w:r>
        </w:p>
        <w:p>
          <w:pPr>
            <w:widowControl w:val="0"/>
            <w:suppressAutoHyphens/>
            <w:ind w:firstLine="5387"/>
            <w:rPr>
              <w:color w:val="000000"/>
              <w:lang w:eastAsia="lt-LT"/>
            </w:rPr>
          </w:pPr>
          <w:r>
            <w:rPr>
              <w:color w:val="000000"/>
              <w:lang w:eastAsia="lt-LT"/>
            </w:rPr>
            <w:t>2008 m. vasario 8 d. įsakymu Nr. 1K-059</w:t>
          </w:r>
        </w:p>
        <w:p>
          <w:pPr>
            <w:widowControl w:val="0"/>
            <w:suppressAutoHyphens/>
            <w:ind w:firstLine="5387"/>
            <w:rPr>
              <w:color w:val="000000"/>
              <w:lang w:eastAsia="lt-LT"/>
            </w:rPr>
          </w:pPr>
          <w:r>
            <w:rPr>
              <w:color w:val="000000"/>
              <w:lang w:eastAsia="lt-LT"/>
            </w:rPr>
            <w:t>(Lietuvos Respublikos finansų ministro</w:t>
          </w:r>
        </w:p>
        <w:p>
          <w:pPr>
            <w:widowControl w:val="0"/>
            <w:suppressAutoHyphens/>
            <w:ind w:firstLine="5387"/>
            <w:rPr>
              <w:color w:val="000000"/>
              <w:lang w:eastAsia="lt-LT"/>
            </w:rPr>
          </w:pPr>
          <w:r>
            <w:rPr>
              <w:color w:val="000000"/>
              <w:lang w:eastAsia="lt-LT"/>
            </w:rPr>
            <w:t xml:space="preserve">2024 m.                d. įsakymo Nr.         </w:t>
          </w:r>
        </w:p>
        <w:p>
          <w:pPr>
            <w:widowControl w:val="0"/>
            <w:suppressAutoHyphens/>
            <w:ind w:firstLine="5387"/>
            <w:rPr>
              <w:color w:val="000000"/>
              <w:lang w:eastAsia="lt-LT"/>
            </w:rPr>
          </w:pPr>
          <w:r>
            <w:rPr>
              <w:color w:val="000000"/>
              <w:lang w:eastAsia="lt-LT"/>
            </w:rPr>
            <w:t>redakcija)</w:t>
          </w:r>
        </w:p>
        <w:p>
          <w:pPr>
            <w:widowControl w:val="0"/>
            <w:suppressAutoHyphens/>
            <w:ind w:firstLine="5387"/>
            <w:jc w:val="both"/>
            <w:rPr>
              <w:color w:val="000000"/>
              <w:lang w:eastAsia="lt-LT"/>
            </w:rPr>
          </w:pPr>
        </w:p>
        <w:p>
          <w:pPr>
            <w:widowControl w:val="0"/>
            <w:suppressAutoHyphens/>
            <w:jc w:val="center"/>
            <w:rPr>
              <w:b/>
              <w:bCs/>
              <w:caps/>
              <w:color w:val="000000"/>
              <w:lang w:eastAsia="lt-LT"/>
            </w:rPr>
          </w:pPr>
          <w:sdt>
            <w:sdtPr>
              <w:alias w:val="Pavadinimas"/>
              <w:tag w:val="title_8ee6d2878b3b4ee9ab20af87c5e991db"/>
              <w:lock w:val="sdtLocked"/>
              <w:richText/>
            </w:sdtPr>
            <w:sdtContent>
              <w:r>
                <w:rPr>
                  <w:b/>
                  <w:bCs/>
                  <w:caps/>
                  <w:color w:val="000000"/>
                  <w:lang w:eastAsia="lt-LT"/>
                </w:rPr>
                <w:t>11-ASIS VIEŠOJO SEKTORIAUS APSKAITOS IR FINANSINĖS ATSKAITOMYBĖS STANDARTAS „SĄNAUDOS“</w:t>
              </w:r>
            </w:sdtContent>
          </w:sdt>
        </w:p>
        <w:p>
          <w:pPr>
            <w:widowControl w:val="0"/>
            <w:suppressAutoHyphens/>
            <w:jc w:val="center"/>
            <w:rPr>
              <w:b/>
              <w:bCs/>
              <w:caps/>
              <w:color w:val="000000"/>
              <w:lang w:eastAsia="lt-LT"/>
            </w:rPr>
          </w:pPr>
        </w:p>
        <w:sdt>
          <w:sdtPr>
            <w:alias w:val="skyrius"/>
            <w:tag w:val="part_8febc298262d4ae6903918651606bf70"/>
            <w:lock w:val="sdtLocked"/>
            <w:richText/>
          </w:sdtPr>
          <w:sdtContent>
            <w:p>
              <w:pPr>
                <w:widowControl w:val="0"/>
                <w:suppressAutoHyphens/>
                <w:jc w:val="center"/>
                <w:rPr>
                  <w:b/>
                  <w:bCs/>
                  <w:caps/>
                  <w:color w:val="000000"/>
                  <w:lang w:eastAsia="lt-LT"/>
                </w:rPr>
              </w:pPr>
              <w:sdt>
                <w:sdtPr>
                  <w:alias w:val="Numeris"/>
                  <w:tag w:val="nr_8febc298262d4ae6903918651606bf70"/>
                  <w:lock w:val="sdtLocked"/>
                  <w:richText/>
                </w:sdtPr>
                <w:sdtContent>
                  <w:r>
                    <w:rPr>
                      <w:b/>
                      <w:bCs/>
                      <w:caps/>
                      <w:color w:val="000000"/>
                      <w:lang w:eastAsia="lt-LT"/>
                    </w:rPr>
                    <w:t>I</w:t>
                  </w:r>
                </w:sdtContent>
              </w:sdt>
              <w:r>
                <w:rPr>
                  <w:lang w:eastAsia="lt-LT"/>
                </w:rPr>
                <w:t xml:space="preserve"> </w:t>
              </w:r>
              <w:r>
                <w:rPr>
                  <w:b/>
                  <w:lang w:eastAsia="lt-LT"/>
                </w:rPr>
                <w:t>SKYRIUS</w:t>
              </w:r>
            </w:p>
            <w:p>
              <w:pPr>
                <w:widowControl w:val="0"/>
                <w:suppressAutoHyphens/>
                <w:jc w:val="center"/>
                <w:rPr>
                  <w:b/>
                  <w:bCs/>
                  <w:caps/>
                  <w:color w:val="000000"/>
                  <w:lang w:eastAsia="lt-LT"/>
                </w:rPr>
              </w:pPr>
              <w:sdt>
                <w:sdtPr>
                  <w:alias w:val="Pavadinimas"/>
                  <w:tag w:val="title_8febc298262d4ae6903918651606bf70"/>
                  <w:lock w:val="sdtLocked"/>
                  <w:richText/>
                </w:sdtPr>
                <w:sdtContent>
                  <w:r>
                    <w:rPr>
                      <w:b/>
                      <w:bCs/>
                      <w:caps/>
                      <w:color w:val="000000"/>
                      <w:lang w:eastAsia="lt-LT"/>
                    </w:rPr>
                    <w:t>BENDROSIOS NUOSTATOS</w:t>
                  </w:r>
                </w:sdtContent>
              </w:sdt>
            </w:p>
            <w:p>
              <w:pPr>
                <w:widowControl w:val="0"/>
                <w:suppressAutoHyphens/>
                <w:ind w:firstLine="567"/>
                <w:jc w:val="both"/>
                <w:rPr>
                  <w:color w:val="000000"/>
                  <w:lang w:eastAsia="lt-LT"/>
                </w:rPr>
              </w:pPr>
            </w:p>
            <w:sdt>
              <w:sdtPr>
                <w:alias w:val="1 p."/>
                <w:tag w:val="part_e8a5178d0ee8408195a4a3e326b1c42e"/>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e8a5178d0ee8408195a4a3e326b1c42e"/>
                      <w:lock w:val="sdtLocked"/>
                      <w:richText/>
                    </w:sdtPr>
                    <w:sdtContent>
                      <w:r>
                        <w:rPr>
                          <w:color w:val="000000"/>
                          <w:lang w:eastAsia="lt-LT"/>
                        </w:rPr>
                        <w:t>1</w:t>
                      </w:r>
                    </w:sdtContent>
                  </w:sdt>
                  <w:r>
                    <w:rPr>
                      <w:color w:val="000000"/>
                      <w:lang w:eastAsia="lt-LT"/>
                    </w:rPr>
                    <w:t>.</w:t>
                    <w:tab/>
                    <w:t>11-ajame viešojo sektoriaus apskaitos ir finansinės atskaitomybės standarte „Sąnaudos“ (toliau – Standartas) nustatomi viešojo sektoriaus subjekto sąnaudų pripažinimo, įvertinimo, registravimo finansinėje apskaitoje (toliau – apskaita), grupavimo ir pateikimo viešojo sektoriaus subjekto ir viešojo sektoriaus subjektų grupės finansinėse ataskaitose reikalavimai.</w:t>
                  </w:r>
                </w:p>
              </w:sdtContent>
            </w:sdt>
            <w:sdt>
              <w:sdtPr>
                <w:alias w:val="2 p."/>
                <w:tag w:val="part_8e77607b72114b14b37bd56f89db8899"/>
                <w:lock w:val="sdtLocked"/>
                <w:richText/>
              </w:sdtPr>
              <w:sdtContent>
                <w:p>
                  <w:pPr>
                    <w:widowControl w:val="0"/>
                    <w:tabs>
                      <w:tab w:val="left" w:pos="851"/>
                      <w:tab w:val="left" w:pos="1134"/>
                    </w:tabs>
                    <w:suppressAutoHyphens/>
                    <w:ind w:firstLine="567"/>
                    <w:jc w:val="both"/>
                    <w:rPr>
                      <w:color w:val="000000"/>
                    </w:rPr>
                  </w:pPr>
                  <w:sdt>
                    <w:sdtPr>
                      <w:alias w:val="Numeris"/>
                      <w:tag w:val="nr_8e77607b72114b14b37bd56f89db8899"/>
                      <w:lock w:val="sdtLocked"/>
                      <w:richText/>
                    </w:sdtPr>
                    <w:sdtContent>
                      <w:r>
                        <w:rPr>
                          <w:color w:val="000000"/>
                        </w:rPr>
                        <w:t>2</w:t>
                      </w:r>
                    </w:sdtContent>
                  </w:sdt>
                  <w:r>
                    <w:rPr>
                      <w:color w:val="000000"/>
                    </w:rPr>
                    <w:t>.</w:t>
                    <w:tab/>
                  </w:r>
                  <w:r>
                    <w:t xml:space="preserve">Standartu vadovaujamasi rengiant viešojo sektoriaus subjekto finansinių ataskaitų rinkinį, viešojo sektoriaus subjektų grupės finansinių ataskaitų rinkinį bei išteklių fondo, mokesčių fondo ir fondų fondo (toliau kartu – fondai) ataskaitų rinkinį, rengiamą pagal Lietuvos Respublikos viešojo sektoriaus atskaitomybės įstatymo 9 straipsnio 5 dalį, (toliau – fondo atskaitų rinkinys). Standartas rengiant fondų finansinių ataskaitų rinkinį ar fondo ataskaitų rinkinį taikomas tiek, kiek nurodyta šiuose viešojo sektoriaus apskaitos ir finansinės atskaitomybės standartuose (toliau – VSAFAS): 26-ajame viešojo sektoriaus apskaitos ir finansinės atskaitomybės standarte „Fondų apskaita ir finansinių ataskaitų rinkinys“, patvirtintame Lietuvos Respublikos finansų ministro 2007 m. gruodžio 7 d. įsakymu Nr. 1K-357 „Dėl 26-ojo viešojo sektoriaus apskaitos ir finansinės atskaitomybės standarto patvirtinimo“, 29-ajame viešojo sektoriaus apskaitos ir finansinės atskaitomybės standarte „Pensijų anuitetų fondo apskaita ir ataskaitų rinkinys“, patvirtintame Lietuvos Respublikos finansų ministro 2020 m. gruodžio 8 d. įsakymu Nr. 1K-423 „Dėl viešojo sektoriaus apskaitos ir finansinės atskaitomybės 29-ojo standarto patvirtinimo“, (toliau – 29-asis VSAFAS „Pensijų anuitetų fondo apskaita ir ataskaitų rinkinys“) ir 32-ajame viešojo sektoriaus apskaitos ir finansinės atskaitomybės standarte „Valstybės socialinių fondų ataskaitų rinkiniai“, patvirtintame Lietuvos Respublikos finansų ministro 202... m. ......... d. įsakymu Nr. 1K- ... „Dėl 32-ojo viešojo sektoriaus apskaitos ir finansinės atskaitomybės standarto patvirtinimo“. </w:t>
                  </w:r>
                </w:p>
              </w:sdtContent>
            </w:sdt>
            <w:sdt>
              <w:sdtPr>
                <w:alias w:val="3 p."/>
                <w:tag w:val="part_19c6f18b460044c7891cec587b28f9d3"/>
                <w:lock w:val="sdtLocked"/>
                <w:richText/>
              </w:sdtPr>
              <w:sdtContent>
                <w:p>
                  <w:pPr>
                    <w:widowControl w:val="0"/>
                    <w:tabs>
                      <w:tab w:val="left" w:pos="851"/>
                      <w:tab w:val="left" w:pos="993"/>
                    </w:tabs>
                    <w:suppressAutoHyphens/>
                    <w:ind w:firstLine="567"/>
                    <w:jc w:val="both"/>
                    <w:rPr>
                      <w:color w:val="000000"/>
                    </w:rPr>
                  </w:pPr>
                  <w:sdt>
                    <w:sdtPr>
                      <w:alias w:val="Numeris"/>
                      <w:tag w:val="nr_19c6f18b460044c7891cec587b28f9d3"/>
                      <w:lock w:val="sdtLocked"/>
                      <w:richText/>
                    </w:sdtPr>
                    <w:sdtContent>
                      <w:r>
                        <w:rPr>
                          <w:color w:val="000000"/>
                        </w:rPr>
                        <w:t>3</w:t>
                      </w:r>
                    </w:sdtContent>
                  </w:sdt>
                  <w:r>
                    <w:rPr>
                      <w:color w:val="000000"/>
                    </w:rPr>
                    <w:t>.</w:t>
                    <w:tab/>
                  </w:r>
                  <w:r>
                    <w:rPr>
                      <w:szCs w:val="24"/>
                    </w:rPr>
                    <w:t xml:space="preserve">Kai </w:t>
                  </w:r>
                  <w:r>
                    <w:t xml:space="preserve">fondų </w:t>
                  </w:r>
                  <w:r>
                    <w:rPr>
                      <w:szCs w:val="24"/>
                    </w:rPr>
                    <w:t xml:space="preserve">finansinės ataskaitos įtraukiamos į viešojo sektoriaus subjektų grupės finansines ataskaitas, rengiant </w:t>
                  </w:r>
                  <w:r>
                    <w:rPr>
                      <w:color w:val="000000"/>
                      <w:szCs w:val="24"/>
                    </w:rPr>
                    <w:t>grupės finansinių ataskaitų rinkinį ar fondo ataskaitų rinkinį taikomas Standartas, jeigu kituose VSAFAS</w:t>
                  </w:r>
                  <w:r>
                    <w:rPr>
                      <w:color w:val="000000"/>
                    </w:rPr>
                    <w:t xml:space="preserve"> dėl sąnaudų pripažinimo, įvertinimo, registravimo apskaitoje, grupavimo ir pateikimo finansinėse ataskaitose nenustatyta kitaip.</w:t>
                  </w:r>
                </w:p>
              </w:sdtContent>
            </w:sdt>
            <w:sdt>
              <w:sdtPr>
                <w:alias w:val="4 p."/>
                <w:tag w:val="part_84c9b7beb4fe42b9ba4ac189c019b4e2"/>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84c9b7beb4fe42b9ba4ac189c019b4e2"/>
                      <w:lock w:val="sdtLocked"/>
                      <w:richText/>
                    </w:sdtPr>
                    <w:sdtContent>
                      <w:r>
                        <w:rPr>
                          <w:color w:val="000000"/>
                          <w:lang w:eastAsia="lt-LT"/>
                        </w:rPr>
                        <w:t>4</w:t>
                      </w:r>
                    </w:sdtContent>
                  </w:sdt>
                  <w:r>
                    <w:rPr>
                      <w:color w:val="000000"/>
                      <w:lang w:eastAsia="lt-LT"/>
                    </w:rPr>
                    <w:t>.</w:t>
                    <w:tab/>
                    <w:t xml:space="preserve">Standarto II skyrius netaikomas finansavimo sąnaudoms. Finansavimo sąnaudų pripažinimo nuostatos pateiktos 20-ajame </w:t>
                  </w:r>
                  <w:r>
                    <w:rPr>
                      <w:lang w:eastAsia="lt-LT"/>
                    </w:rPr>
                    <w:t>viešojo sektoriaus apskaitos ir finansinės atskaitomybės standarte</w:t>
                  </w:r>
                  <w:r>
                    <w:rPr>
                      <w:color w:val="000000"/>
                      <w:lang w:eastAsia="lt-LT"/>
                    </w:rPr>
                    <w:t xml:space="preserve"> „Finansavimo sumos“, </w:t>
                  </w:r>
                  <w:r>
                    <w:t>patvirtintame Lietuvos Respublikos finansų ministro 2008 m. birželio 9 d. įsakymu Nr. 1K-205 „Dėl 20-ojo viešojo sektoriaus apskaitos ir finansinės atskaitomybės standarto patvirtinimo“, (toliau – 20-asis VSAFAS „Finansavimo sumos“)</w:t>
                  </w:r>
                  <w:r>
                    <w:rPr>
                      <w:color w:val="000000"/>
                      <w:lang w:eastAsia="lt-LT"/>
                    </w:rPr>
                    <w:t>.</w:t>
                  </w:r>
                </w:p>
              </w:sdtContent>
            </w:sdt>
            <w:sdt>
              <w:sdtPr>
                <w:alias w:val="5 p."/>
                <w:tag w:val="part_b1d5cd09ac5a4a67ad1896b4c20b0c2c"/>
                <w:lock w:val="sdtLocked"/>
                <w:richText/>
              </w:sdtPr>
              <w:sdtContent>
                <w:p>
                  <w:pPr>
                    <w:tabs>
                      <w:tab w:val="left" w:pos="851"/>
                      <w:tab w:val="left" w:pos="993"/>
                    </w:tabs>
                    <w:ind w:firstLine="567"/>
                    <w:jc w:val="both"/>
                    <w:rPr>
                      <w:color w:val="000000"/>
                      <w:lang w:eastAsia="lt-LT"/>
                    </w:rPr>
                  </w:pPr>
                  <w:sdt>
                    <w:sdtPr>
                      <w:alias w:val="Numeris"/>
                      <w:tag w:val="nr_b1d5cd09ac5a4a67ad1896b4c20b0c2c"/>
                      <w:lock w:val="sdtLocked"/>
                      <w:richText/>
                    </w:sdtPr>
                    <w:sdtContent>
                      <w:r>
                        <w:rPr>
                          <w:color w:val="000000"/>
                          <w:lang w:eastAsia="lt-LT"/>
                        </w:rPr>
                        <w:t>5</w:t>
                      </w:r>
                    </w:sdtContent>
                  </w:sdt>
                  <w:r>
                    <w:rPr>
                      <w:color w:val="000000"/>
                      <w:lang w:eastAsia="lt-LT"/>
                    </w:rPr>
                    <w:t>.</w:t>
                    <w:tab/>
                  </w:r>
                  <w:r>
                    <w:rPr>
                      <w:lang w:eastAsia="lt-LT"/>
                    </w:rPr>
                    <w:t>Standarte vartojamos sąvokos suprantamos taip, kaip jos apibrėžtos Lietuvos Respublikos viešojo sektoriaus atskaitomybės įstatyme ir kituose VSAFAS.</w:t>
                  </w:r>
                </w:p>
                <w:p>
                  <w:pPr>
                    <w:widowControl w:val="0"/>
                    <w:tabs>
                      <w:tab w:val="left" w:pos="851"/>
                      <w:tab w:val="left" w:pos="993"/>
                    </w:tabs>
                    <w:suppressAutoHyphens/>
                    <w:ind w:firstLine="567"/>
                    <w:jc w:val="both"/>
                    <w:rPr>
                      <w:lang w:eastAsia="lt-LT"/>
                    </w:rPr>
                  </w:pPr>
                </w:p>
              </w:sdtContent>
            </w:sdt>
          </w:sdtContent>
        </w:sdt>
        <w:sdt>
          <w:sdtPr>
            <w:alias w:val="skyrius"/>
            <w:tag w:val="part_1ae8fb1ca2e1445b9b4cefcb51e10b01"/>
            <w:lock w:val="sdtLocked"/>
            <w:richText/>
          </w:sdtPr>
          <w:sdtContent>
            <w:p>
              <w:pPr>
                <w:widowControl w:val="0"/>
                <w:tabs>
                  <w:tab w:val="left" w:pos="851"/>
                  <w:tab w:val="left" w:pos="993"/>
                </w:tabs>
                <w:suppressAutoHyphens/>
                <w:jc w:val="center"/>
                <w:rPr>
                  <w:b/>
                  <w:bCs/>
                  <w:caps/>
                  <w:color w:val="000000"/>
                  <w:lang w:eastAsia="lt-LT"/>
                </w:rPr>
              </w:pPr>
              <w:sdt>
                <w:sdtPr>
                  <w:alias w:val="Numeris"/>
                  <w:tag w:val="nr_1ae8fb1ca2e1445b9b4cefcb51e10b01"/>
                  <w:lock w:val="sdtLocked"/>
                  <w:richText/>
                </w:sdtPr>
                <w:sdtContent>
                  <w:r>
                    <w:rPr>
                      <w:b/>
                      <w:bCs/>
                      <w:caps/>
                      <w:color w:val="000000"/>
                      <w:lang w:eastAsia="lt-LT"/>
                    </w:rPr>
                    <w:t>II</w:t>
                  </w:r>
                </w:sdtContent>
              </w:sdt>
              <w:r>
                <w:rPr>
                  <w:b/>
                  <w:bCs/>
                  <w:caps/>
                  <w:color w:val="000000"/>
                  <w:lang w:eastAsia="lt-LT"/>
                </w:rPr>
                <w:t xml:space="preserve"> SKYRIUS</w:t>
              </w:r>
            </w:p>
            <w:p>
              <w:pPr>
                <w:widowControl w:val="0"/>
                <w:tabs>
                  <w:tab w:val="left" w:pos="851"/>
                  <w:tab w:val="left" w:pos="993"/>
                </w:tabs>
                <w:suppressAutoHyphens/>
                <w:jc w:val="center"/>
                <w:rPr>
                  <w:b/>
                  <w:bCs/>
                  <w:caps/>
                  <w:color w:val="000000"/>
                  <w:lang w:eastAsia="lt-LT"/>
                </w:rPr>
              </w:pPr>
              <w:sdt>
                <w:sdtPr>
                  <w:alias w:val="Pavadinimas"/>
                  <w:tag w:val="title_1ae8fb1ca2e1445b9b4cefcb51e10b01"/>
                  <w:lock w:val="sdtLocked"/>
                  <w:richText/>
                </w:sdtPr>
                <w:sdtContent>
                  <w:r>
                    <w:rPr>
                      <w:b/>
                      <w:bCs/>
                      <w:caps/>
                      <w:color w:val="000000"/>
                      <w:lang w:eastAsia="lt-LT"/>
                    </w:rPr>
                    <w:t>SĄNAUDŲ PRIPAŽINIMAS IR ĮVERTINIMAS</w:t>
                  </w:r>
                </w:sdtContent>
              </w:sdt>
            </w:p>
            <w:p>
              <w:pPr>
                <w:widowControl w:val="0"/>
                <w:tabs>
                  <w:tab w:val="left" w:pos="851"/>
                  <w:tab w:val="left" w:pos="993"/>
                </w:tabs>
                <w:suppressAutoHyphens/>
                <w:ind w:firstLine="567"/>
                <w:jc w:val="both"/>
                <w:rPr>
                  <w:color w:val="000000"/>
                  <w:lang w:eastAsia="lt-LT"/>
                </w:rPr>
              </w:pPr>
            </w:p>
            <w:sdt>
              <w:sdtPr>
                <w:alias w:val="6 p."/>
                <w:tag w:val="part_7971b90462e6438ca9a0c96c825f837b"/>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7971b90462e6438ca9a0c96c825f837b"/>
                      <w:lock w:val="sdtLocked"/>
                      <w:richText/>
                    </w:sdtPr>
                    <w:sdtContent>
                      <w:r>
                        <w:rPr>
                          <w:color w:val="000000"/>
                          <w:lang w:eastAsia="lt-LT"/>
                        </w:rPr>
                        <w:t>6</w:t>
                      </w:r>
                    </w:sdtContent>
                  </w:sdt>
                  <w:r>
                    <w:rPr>
                      <w:color w:val="000000"/>
                      <w:lang w:eastAsia="lt-LT"/>
                    </w:rPr>
                    <w:t>.</w:t>
                    <w:tab/>
                    <w:t>Sąnaudos pripažįstamos ir registruojamos apskaitoje tą ataskaitinį laikotarpį, kurį jos buvo padarytos – kai uždirbamos su jomis susijusios pajamos, t. y. parduodamos prekės arba suteikiamos paslaugos, atliekami veiksmai vykdant priskirtas funkcijas, neatsižvelgiant į pinigų išleidimo laiką.</w:t>
                  </w:r>
                </w:p>
              </w:sdtContent>
            </w:sdt>
            <w:sdt>
              <w:sdtPr>
                <w:alias w:val="7 p."/>
                <w:tag w:val="part_5fe048b6579544dda0f26db1312e9c09"/>
                <w:lock w:val="sdtLocked"/>
                <w:richText/>
              </w:sdtPr>
              <w:sdtContent>
                <w:p>
                  <w:pPr>
                    <w:tabs>
                      <w:tab w:val="left" w:pos="851"/>
                      <w:tab w:val="left" w:pos="993"/>
                    </w:tabs>
                    <w:ind w:firstLine="567"/>
                    <w:jc w:val="both"/>
                    <w:rPr>
                      <w:lang w:eastAsia="lt-LT"/>
                    </w:rPr>
                  </w:pPr>
                  <w:sdt>
                    <w:sdtPr>
                      <w:alias w:val="Numeris"/>
                      <w:tag w:val="nr_5fe048b6579544dda0f26db1312e9c09"/>
                      <w:lock w:val="sdtLocked"/>
                      <w:richText/>
                    </w:sdtPr>
                    <w:sdtContent>
                      <w:r>
                        <w:rPr>
                          <w:lang w:eastAsia="lt-LT"/>
                        </w:rPr>
                        <w:t>7</w:t>
                      </w:r>
                    </w:sdtContent>
                  </w:sdt>
                  <w:r>
                    <w:rPr>
                      <w:lang w:eastAsia="lt-LT"/>
                    </w:rPr>
                    <w:t>.</w:t>
                    <w:tab/>
                    <w:t>Sąnaudomis pripažįstama tik ta ankstesniųjų ir ataskaitinio laikotarpių išlaidų dalis, kuri tenka per ataskaitinį laikotarpį uždirbtoms pajamoms (atliktiems veiksmams vykdant priskirtas funkcijas). Išlaidos, skirtos pajamoms uždirbti ir funkcijoms vykdyti būsimaisiais laikotarpiais, apskaitoje registruojamos ir pateikiamos finansinėse ataskaitose kaip turtas ir bus pripažįstamos sąnaudomis būsimaisiais laikotarpiais.</w:t>
                  </w:r>
                </w:p>
              </w:sdtContent>
            </w:sdt>
            <w:sdt>
              <w:sdtPr>
                <w:alias w:val="8 p."/>
                <w:tag w:val="part_f91a32d8c0a842f1bda75575329cca3b"/>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f91a32d8c0a842f1bda75575329cca3b"/>
                      <w:lock w:val="sdtLocked"/>
                      <w:richText/>
                    </w:sdtPr>
                    <w:sdtContent>
                      <w:r>
                        <w:rPr>
                          <w:color w:val="000000"/>
                          <w:lang w:eastAsia="lt-LT"/>
                        </w:rPr>
                        <w:t>8</w:t>
                      </w:r>
                    </w:sdtContent>
                  </w:sdt>
                  <w:r>
                    <w:rPr>
                      <w:color w:val="000000"/>
                      <w:lang w:eastAsia="lt-LT"/>
                    </w:rPr>
                    <w:t>.</w:t>
                    <w:tab/>
                    <w:t>Jeigu turto naudojimas leis viešojo sektoriaus subjektui vykdyti jam priskirtas funkcijas ar kitą veiklą ir (ar) uždirbti pajamų keletą ateinančių ataskaitinių laikotarpių ir dėl to pajamų ir sąnaudų ryšys gali būti nustatytas tik apytiksliai, sąnaudos apskaitoje pripažįstamos taikant netiesioginius pripažinimo būdus (pavyzdžiui, skaičiuojant nusidėvėjimą ar amortizaciją).</w:t>
                  </w:r>
                </w:p>
              </w:sdtContent>
            </w:sdt>
            <w:sdt>
              <w:sdtPr>
                <w:alias w:val="9 p."/>
                <w:tag w:val="part_03059b4cc6a24615885ad1ec124877f1"/>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03059b4cc6a24615885ad1ec124877f1"/>
                      <w:lock w:val="sdtLocked"/>
                      <w:richText/>
                    </w:sdtPr>
                    <w:sdtContent>
                      <w:r>
                        <w:rPr>
                          <w:color w:val="000000"/>
                          <w:lang w:eastAsia="lt-LT"/>
                        </w:rPr>
                        <w:t>9</w:t>
                      </w:r>
                    </w:sdtContent>
                  </w:sdt>
                  <w:r>
                    <w:rPr>
                      <w:color w:val="000000"/>
                      <w:lang w:eastAsia="lt-LT"/>
                    </w:rPr>
                    <w:t>.</w:t>
                    <w:tab/>
                    <w:t>Išlaidos, kurios neduos ekonominės naudos ateinančiais ataskaitiniais laikotarpiais, pripažįstamos sąnaudomis tą ataskaitinį laikotarpį, kada buvo padarytos.</w:t>
                  </w:r>
                </w:p>
              </w:sdtContent>
            </w:sdt>
            <w:sdt>
              <w:sdtPr>
                <w:alias w:val="10 p."/>
                <w:tag w:val="part_e2654c4b36cf465a891ca9e5398c4b52"/>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e2654c4b36cf465a891ca9e5398c4b52"/>
                      <w:lock w:val="sdtLocked"/>
                      <w:richText/>
                    </w:sdtPr>
                    <w:sdtContent>
                      <w:r>
                        <w:rPr>
                          <w:color w:val="000000"/>
                          <w:lang w:eastAsia="lt-LT"/>
                        </w:rPr>
                        <w:t>10</w:t>
                      </w:r>
                    </w:sdtContent>
                  </w:sdt>
                  <w:r>
                    <w:rPr>
                      <w:color w:val="000000"/>
                      <w:lang w:eastAsia="lt-LT"/>
                    </w:rPr>
                    <w:t>.</w:t>
                    <w:tab/>
                    <w:t>Jeigu dėl avarijos ar kitų priežasčių sugadinto turto remonto išlaidas kompensuoja draudimo įmonė ar kitas subjektas, remonto išlaidos turi būti sumažintos kompensuojama suma. Jeigu kompensuojama suma viršija remonto išlaidas, skirtumas pripažįstamas ataskaitinio laikotarpio pajamomis. Gali būti ir kitų atvejų, kai viešojo sektoriaus subjekto sąnaudas jo naudai kompensuoja kitas subjektas. Tokiu atveju vertinama, ar toks kompensavimas nėra laikytinas finansavimu arba parama, ir, jei nėra, gautų kompensacijų suma mažinamos pripažintos sąnaudos.</w:t>
                  </w:r>
                </w:p>
              </w:sdtContent>
            </w:sdt>
            <w:sdt>
              <w:sdtPr>
                <w:alias w:val="11 p."/>
                <w:tag w:val="part_d6cafcdb55f94a259ef206ec0d6e9717"/>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d6cafcdb55f94a259ef206ec0d6e9717"/>
                      <w:lock w:val="sdtLocked"/>
                      <w:richText/>
                    </w:sdtPr>
                    <w:sdtContent>
                      <w:r>
                        <w:rPr>
                          <w:color w:val="000000"/>
                          <w:lang w:eastAsia="lt-LT"/>
                        </w:rPr>
                        <w:t>11</w:t>
                      </w:r>
                    </w:sdtContent>
                  </w:sdt>
                  <w:r>
                    <w:rPr>
                      <w:color w:val="000000"/>
                      <w:lang w:eastAsia="lt-LT"/>
                    </w:rPr>
                    <w:t>.</w:t>
                    <w:tab/>
                    <w:t xml:space="preserve">Sąnaudos turi būti įvertintos tikrąja verte. Paprastai atsiskaitymai atliekami pinigais arba jų ekvivalentais, todėl sąnaudų dydis įvertinamas sumokėta arba mokėtina pinigų arba jų ekvivalentų suma (neįskaitant šios sumos atgautino pridėtinės vertės mokesčio). Kai numatytas ilgas atsiskaitymo laikotarpis ir palūkanos nėra išskirtos iš bendros mokėtinos sumos, palūkanų sąnaudų dydis įvertinamas diskontuojant atsiskaitymo sumą. Diskonto normos nustatymas ir diskontavimo formulė pateikti 17-ajame </w:t>
                  </w:r>
                  <w:r>
                    <w:t>viešojo sektoriaus apskaitos ir finansinės atskaitomybės standarte „Finansinis turtas ir finansiniai įsipareigojimai“, patvirtintame Lietuvos Respublikos finansų ministro 2008 m. birželio 27 d. įsakymu Nr. 1K-223 „Dėl viešojo sektoriaus apskaitos ir finansinės atskaitomybės 17-ojo standarto patvirtinimo“</w:t>
                  </w:r>
                  <w:r>
                    <w:rPr>
                      <w:color w:val="000000"/>
                      <w:lang w:eastAsia="lt-LT"/>
                    </w:rPr>
                    <w:t>.</w:t>
                  </w:r>
                </w:p>
              </w:sdtContent>
            </w:sdt>
            <w:sdt>
              <w:sdtPr>
                <w:alias w:val="12 p."/>
                <w:tag w:val="part_2fe7ba4aa3984822920ecb63ad9c968a"/>
                <w:lock w:val="sdtLocked"/>
                <w:richText/>
              </w:sdtPr>
              <w:sdtContent>
                <w:p>
                  <w:pPr>
                    <w:widowControl w:val="0"/>
                    <w:tabs>
                      <w:tab w:val="left" w:pos="851"/>
                      <w:tab w:val="left" w:pos="993"/>
                    </w:tabs>
                    <w:suppressAutoHyphens/>
                    <w:ind w:firstLine="567"/>
                    <w:jc w:val="both"/>
                    <w:rPr>
                      <w:lang w:eastAsia="lt-LT"/>
                    </w:rPr>
                  </w:pPr>
                  <w:sdt>
                    <w:sdtPr>
                      <w:alias w:val="Numeris"/>
                      <w:tag w:val="nr_2fe7ba4aa3984822920ecb63ad9c968a"/>
                      <w:lock w:val="sdtLocked"/>
                      <w:richText/>
                    </w:sdtPr>
                    <w:sdtContent>
                      <w:r>
                        <w:rPr>
                          <w:lang w:eastAsia="lt-LT"/>
                        </w:rPr>
                        <w:t>12</w:t>
                      </w:r>
                    </w:sdtContent>
                  </w:sdt>
                  <w:r>
                    <w:rPr>
                      <w:lang w:eastAsia="lt-LT"/>
                    </w:rPr>
                    <w:t>.</w:t>
                    <w:tab/>
                    <w:t>Tam tikrais atvejais, kai paslaugos ar prekės gaunamos mainais į kitą turtą negu pinigai ir jų ekvivalentai arba mainais į perimtus įsipareigojimus, sąnaudų suma nustatoma atsižvelgiant į gautų paslaugų ar prekių ir perduoto turto ar perimtų įsipareigojimų tikrąsias vertes. Ši nuostata taip pat taikoma sandoriams ar jų grupėms, kurių ekonominė prasmė ir turinys atitinka turto mainus, nors sandorio forma nėra mainai.</w:t>
                  </w:r>
                </w:p>
                <w:p>
                  <w:pPr>
                    <w:widowControl w:val="0"/>
                    <w:tabs>
                      <w:tab w:val="left" w:pos="851"/>
                      <w:tab w:val="left" w:pos="993"/>
                    </w:tabs>
                    <w:suppressAutoHyphens/>
                    <w:ind w:firstLine="567"/>
                    <w:jc w:val="both"/>
                    <w:rPr>
                      <w:color w:val="000000"/>
                      <w:lang w:eastAsia="lt-LT"/>
                    </w:rPr>
                  </w:pPr>
                </w:p>
              </w:sdtContent>
            </w:sdt>
          </w:sdtContent>
        </w:sdt>
        <w:sdt>
          <w:sdtPr>
            <w:alias w:val="skyrius"/>
            <w:tag w:val="part_787de0e0481b47c2a9bc1a0dc5fd3133"/>
            <w:lock w:val="sdtLocked"/>
            <w:richText/>
          </w:sdtPr>
          <w:sdtContent>
            <w:p>
              <w:pPr>
                <w:widowControl w:val="0"/>
                <w:tabs>
                  <w:tab w:val="left" w:pos="851"/>
                  <w:tab w:val="left" w:pos="993"/>
                </w:tabs>
                <w:suppressAutoHyphens/>
                <w:jc w:val="center"/>
                <w:rPr>
                  <w:b/>
                  <w:bCs/>
                  <w:caps/>
                  <w:color w:val="000000"/>
                  <w:lang w:eastAsia="lt-LT"/>
                </w:rPr>
              </w:pPr>
              <w:sdt>
                <w:sdtPr>
                  <w:alias w:val="Numeris"/>
                  <w:tag w:val="nr_787de0e0481b47c2a9bc1a0dc5fd3133"/>
                  <w:lock w:val="sdtLocked"/>
                  <w:richText/>
                </w:sdtPr>
                <w:sdtContent>
                  <w:r>
                    <w:rPr>
                      <w:b/>
                      <w:bCs/>
                      <w:caps/>
                      <w:color w:val="000000"/>
                      <w:lang w:eastAsia="lt-LT"/>
                    </w:rPr>
                    <w:t>III</w:t>
                  </w:r>
                </w:sdtContent>
              </w:sdt>
              <w:r>
                <w:rPr>
                  <w:b/>
                  <w:bCs/>
                  <w:caps/>
                  <w:color w:val="000000"/>
                  <w:lang w:eastAsia="lt-LT"/>
                </w:rPr>
                <w:t xml:space="preserve"> SKYRIUS</w:t>
              </w:r>
            </w:p>
            <w:p>
              <w:pPr>
                <w:widowControl w:val="0"/>
                <w:tabs>
                  <w:tab w:val="left" w:pos="851"/>
                  <w:tab w:val="left" w:pos="993"/>
                </w:tabs>
                <w:suppressAutoHyphens/>
                <w:jc w:val="center"/>
                <w:rPr>
                  <w:b/>
                  <w:lang w:eastAsia="lt-LT"/>
                </w:rPr>
              </w:pPr>
              <w:sdt>
                <w:sdtPr>
                  <w:alias w:val="Pavadinimas"/>
                  <w:tag w:val="title_787de0e0481b47c2a9bc1a0dc5fd3133"/>
                  <w:lock w:val="sdtLocked"/>
                  <w:richText/>
                </w:sdtPr>
                <w:sdtContent>
                  <w:r>
                    <w:rPr>
                      <w:b/>
                      <w:bCs/>
                      <w:caps/>
                      <w:color w:val="000000"/>
                      <w:lang w:eastAsia="lt-LT"/>
                    </w:rPr>
                    <w:t>SĄNAUDŲ GRUPAVIMAS</w:t>
                  </w:r>
                </w:sdtContent>
              </w:sdt>
            </w:p>
            <w:p>
              <w:pPr>
                <w:widowControl w:val="0"/>
                <w:tabs>
                  <w:tab w:val="left" w:pos="851"/>
                  <w:tab w:val="left" w:pos="993"/>
                </w:tabs>
                <w:suppressAutoHyphens/>
                <w:ind w:firstLine="567"/>
                <w:jc w:val="both"/>
                <w:rPr>
                  <w:color w:val="000000"/>
                  <w:lang w:eastAsia="lt-LT"/>
                </w:rPr>
              </w:pPr>
            </w:p>
            <w:sdt>
              <w:sdtPr>
                <w:alias w:val="13 p."/>
                <w:tag w:val="part_dcbec14fcf364b6591204f6ee3e2ad99"/>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dcbec14fcf364b6591204f6ee3e2ad99"/>
                      <w:lock w:val="sdtLocked"/>
                      <w:richText/>
                    </w:sdtPr>
                    <w:sdtContent>
                      <w:r>
                        <w:rPr>
                          <w:color w:val="000000"/>
                          <w:lang w:eastAsia="lt-LT"/>
                        </w:rPr>
                        <w:t>13</w:t>
                      </w:r>
                    </w:sdtContent>
                  </w:sdt>
                  <w:r>
                    <w:rPr>
                      <w:color w:val="000000"/>
                      <w:lang w:eastAsia="lt-LT"/>
                    </w:rPr>
                    <w:t>.</w:t>
                    <w:tab/>
                    <w:t>Viešojo sektoriaus subjektai, rengiantys viešojo sektoriaus subjekto ar viešojo sektoriaus subjektų grupės finansinių ataskaitų rinkinį, veiklos rezultatų ataskaitoje grupuoja sąnaudas ir informaciją apie jas pateikia šiuose sąnaudų straipsniuose:</w:t>
                  </w:r>
                </w:p>
                <w:sdt>
                  <w:sdtPr>
                    <w:alias w:val="13.1 pp."/>
                    <w:tag w:val="part_15271260295f4319a1f6aacd5713ab9b"/>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15271260295f4319a1f6aacd5713ab9b"/>
                          <w:lock w:val="sdtLocked"/>
                          <w:richText/>
                        </w:sdtPr>
                        <w:sdtContent>
                          <w:r>
                            <w:rPr>
                              <w:color w:val="000000"/>
                              <w:lang w:eastAsia="lt-LT"/>
                            </w:rPr>
                            <w:t>13.1</w:t>
                          </w:r>
                        </w:sdtContent>
                      </w:sdt>
                      <w:r>
                        <w:rPr>
                          <w:color w:val="000000"/>
                          <w:lang w:eastAsia="lt-LT"/>
                        </w:rPr>
                        <w:t>.</w:t>
                        <w:tab/>
                        <w:t xml:space="preserve">Straipsnyje „Su darbo santykiais susijusių išmokų sąnaudos“ sąnaudos grupuojamos į straipsnius „Darbo užmokesčio ir socialinio draudimo sąnaudos“ ir „Socialinių ir kitų išmokų darbuotojams sąnaudos“. Šios sąnaudos priskiriamos prie atitinkamos sąnaudų grupės vadovaujantis 24-uoju </w:t>
                      </w:r>
                      <w:r>
                        <w:rPr>
                          <w:szCs w:val="24"/>
                        </w:rPr>
                        <w:t xml:space="preserve">viešojo sektoriaus apskaitos ir finansinės atskaitomybės standartu </w:t>
                      </w:r>
                      <w:r>
                        <w:rPr>
                          <w:color w:val="000000"/>
                          <w:lang w:eastAsia="lt-LT"/>
                        </w:rPr>
                        <w:t xml:space="preserve">„Su darbo santykiais susijusios išmokos“, </w:t>
                      </w:r>
                      <w:r>
                        <w:t xml:space="preserve">patvirtintu Lietuvos Respublikos finansų ministro 2008 m. gruodžio 9 d. įsakymu Nr. 1K-432 „Dėl 24-ojo viešojo sektoriaus apskaitos ir finansinės atskaitomybės standarto patvirtinimo“, (toliau – 24-asis VSAFAS </w:t>
                      </w:r>
                      <w:r>
                        <w:rPr>
                          <w:color w:val="000000"/>
                          <w:lang w:eastAsia="lt-LT"/>
                        </w:rPr>
                        <w:t>„Su darbo santykiais susijusios išmokos“</w:t>
                      </w:r>
                      <w:r>
                        <w:t>)</w:t>
                      </w:r>
                      <w:r>
                        <w:rPr>
                          <w:color w:val="000000"/>
                          <w:lang w:eastAsia="lt-LT"/>
                        </w:rPr>
                        <w:t>.</w:t>
                      </w:r>
                    </w:p>
                  </w:sdtContent>
                </w:sdt>
                <w:sdt>
                  <w:sdtPr>
                    <w:alias w:val="13.2 pp."/>
                    <w:tag w:val="part_0bb21eac3089477cb8630985ee7832b9"/>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0bb21eac3089477cb8630985ee7832b9"/>
                          <w:lock w:val="sdtLocked"/>
                          <w:richText/>
                        </w:sdtPr>
                        <w:sdtContent>
                          <w:r>
                            <w:rPr>
                              <w:color w:val="000000"/>
                              <w:lang w:eastAsia="lt-LT"/>
                            </w:rPr>
                            <w:t>13.2</w:t>
                          </w:r>
                        </w:sdtContent>
                      </w:sdt>
                      <w:r>
                        <w:rPr>
                          <w:color w:val="000000"/>
                          <w:lang w:eastAsia="lt-LT"/>
                        </w:rPr>
                        <w:t>.</w:t>
                        <w:tab/>
                        <w:t>Straipsnyje „Prekių ir paslaugų sąnaudos“ sąnaudos grupuojamos į straipsnius:</w:t>
                      </w:r>
                    </w:p>
                    <w:sdt>
                      <w:sdtPr>
                        <w:alias w:val="13.2.1 pp."/>
                        <w:tag w:val="part_ac7bd3775b624012b2063843018e22be"/>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ac7bd3775b624012b2063843018e22be"/>
                              <w:lock w:val="sdtLocked"/>
                              <w:richText/>
                            </w:sdtPr>
                            <w:sdtContent>
                              <w:r>
                                <w:rPr>
                                  <w:color w:val="000000"/>
                                  <w:lang w:eastAsia="lt-LT"/>
                                </w:rPr>
                                <w:t>13.2.1</w:t>
                              </w:r>
                            </w:sdtContent>
                          </w:sdt>
                          <w:r>
                            <w:rPr>
                              <w:color w:val="000000"/>
                              <w:lang w:eastAsia="lt-LT"/>
                            </w:rPr>
                            <w:t>.</w:t>
                            <w:tab/>
                            <w:t xml:space="preserve">straipsnyje „Prekių ir paslaugų sąnaudos subjekto veiklai“ rodomos sąnaudos, kurias viešojo sektoriaus subjektas patiria vykdydamas savo veiklą: mitybos, medikamentų ir medicininių prekių bei paslaugų, ryšių įrangos ir ryšių paslaugų, transporto išlaikymo ir transporto paslaugų, aprangos ir avalynės sunaudojimo ir priežiūros, komandiruočių, materialiojo ir nematerialiojo turto nuomos, materialiojo turto paprastojo remonto, prekių ir paslaugų, kvalifikacijos kėlimo, ekspertų ir konsultantų paslaugų, komunalinių paslaugų, informacinių technologijų prekių ir paslaugų, reprezentacinės, viešinimo, kitų prekių ir paslaugų sąnaudos; </w:t>
                          </w:r>
                        </w:p>
                      </w:sdtContent>
                    </w:sdt>
                    <w:sdt>
                      <w:sdtPr>
                        <w:alias w:val="13.2.2 pp."/>
                        <w:tag w:val="part_48c447de8aaf4a3fa7d2bd0443142ada"/>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48c447de8aaf4a3fa7d2bd0443142ada"/>
                              <w:lock w:val="sdtLocked"/>
                              <w:richText/>
                            </w:sdtPr>
                            <w:sdtContent>
                              <w:r>
                                <w:rPr>
                                  <w:color w:val="000000"/>
                                  <w:lang w:eastAsia="lt-LT"/>
                                </w:rPr>
                                <w:t>13.2.2</w:t>
                              </w:r>
                            </w:sdtContent>
                          </w:sdt>
                          <w:r>
                            <w:rPr>
                              <w:color w:val="000000"/>
                              <w:lang w:eastAsia="lt-LT"/>
                            </w:rPr>
                            <w:t>.</w:t>
                            <w:tab/>
                            <w:t>straipsnyje „Prekių ir paslaugų sąnaudos viešajam ūkiui“ rodomos sąnaudos, kurias viešojo sektoriaus subjektas patiria teikdamas gyvenamųjų vietovių ir viešųjų objektų priežiūros paslaugas arba jų įsigydamas ir sunaudodamas šioms paslaugoms teikti reikalingas prekes, išskyrus parkų ir skverų želdinius. Šioms sąnaudoms nepriskiriamos sąnaudos, patirtos tvarkant viešojo sektoriaus subjektui priklausančią teritoriją, taip pat vandens telkinių ir paplūdimių valymo, pakrančių tvirtinimo, kitos smulkios viešųjų objektų priežiūros darbų sąnaudos ir šiems darbams atlikti reikalingų prekių sunaudojimo sąnaudos.</w:t>
                          </w:r>
                        </w:p>
                      </w:sdtContent>
                    </w:sdt>
                  </w:sdtContent>
                </w:sdt>
                <w:sdt>
                  <w:sdtPr>
                    <w:alias w:val="13.3 pp."/>
                    <w:tag w:val="part_8ccb72dc5ee14c32a24f362425bf08ff"/>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8ccb72dc5ee14c32a24f362425bf08ff"/>
                          <w:lock w:val="sdtLocked"/>
                          <w:richText/>
                        </w:sdtPr>
                        <w:sdtContent>
                          <w:r>
                            <w:rPr>
                              <w:color w:val="000000"/>
                              <w:lang w:eastAsia="lt-LT"/>
                            </w:rPr>
                            <w:t>13.3</w:t>
                          </w:r>
                        </w:sdtContent>
                      </w:sdt>
                      <w:r>
                        <w:rPr>
                          <w:color w:val="000000"/>
                          <w:lang w:eastAsia="lt-LT"/>
                        </w:rPr>
                        <w:t>.</w:t>
                        <w:tab/>
                        <w:t xml:space="preserve">Straipsnyje „Nusidėvėjimo ir amortizacijos sąnaudos“ rodomos viso ilgalaikio turto, naudojamo veikloje, kurio vadovaujantis 12-uoju viešojo sektoriaus apskaitos ir finansinės atskaitomybės standartu „Ilgalaikis materialusis turtas“, patvirtintu Lietuvos Respublikos finansų ministro 2008 m. gegužės 8 d. įsakymu Nr. 1K-174 „Dėl viešojo sektoriaus apskaitos ir finansinės atskaitomybės 12-ojo standarto patvirtinimo“, skaičiuojamas nusidėvėjimas, ar </w:t>
                      </w:r>
                      <w:r>
                        <w:t>13-uoju viešojo sektoriaus apskaitos ir finansinės atskaitomybės standartu „Nematerialusis turtas“, patvirtintu Lietuvos Respublikos finansų ministro 2008 m. liepos 16 d. įsakymu Nr. 1K-238 „Dėl viešojo sektoriaus apskaitos ir finansinės atskaitomybės 13-ojo standarto patvirtinimo</w:t>
                      </w:r>
                      <w:r>
                        <w:rPr>
                          <w:color w:val="000000"/>
                          <w:lang w:eastAsia="lt-LT"/>
                        </w:rPr>
                        <w:t>“, (toliau – 13 VSAFAS „</w:t>
                      </w:r>
                      <w:r>
                        <w:t>Nematerialusis turtas“)</w:t>
                      </w:r>
                      <w:r>
                        <w:rPr>
                          <w:color w:val="000000"/>
                          <w:lang w:eastAsia="lt-LT"/>
                        </w:rPr>
                        <w:t xml:space="preserve"> – amortizacija, nusidėvėjimo ir amortizacijos sąnaudos;</w:t>
                      </w:r>
                    </w:p>
                  </w:sdtContent>
                </w:sdt>
                <w:sdt>
                  <w:sdtPr>
                    <w:alias w:val="13.4 pp."/>
                    <w:tag w:val="part_f066ad9b98084bf9b061ba6283b0a30d"/>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f066ad9b98084bf9b061ba6283b0a30d"/>
                          <w:lock w:val="sdtLocked"/>
                          <w:richText/>
                        </w:sdtPr>
                        <w:sdtContent>
                          <w:r>
                            <w:rPr>
                              <w:color w:val="000000"/>
                              <w:lang w:eastAsia="lt-LT"/>
                            </w:rPr>
                            <w:t>13.4</w:t>
                          </w:r>
                        </w:sdtContent>
                      </w:sdt>
                      <w:r>
                        <w:rPr>
                          <w:color w:val="000000"/>
                          <w:lang w:eastAsia="lt-LT"/>
                        </w:rPr>
                        <w:t>.</w:t>
                        <w:tab/>
                        <w:t xml:space="preserve">Straipsnyje „Nuvertėjimo ir nurašytų sumų sąnaudos“ rodomos viešojo sektoriaus subjekto atsargų nuvertėjimo iki grynosios galimo realizavimo vertės, gautinų sumų, ilgalaikio materialiojo turto, nematerialiojo turto ir kito turto nurašymo ir nuvertėjimo sąnaudos, parduotos produkcijos, prekių ar kitų atsargų nurašymo sąnaudos, išskyrus Standarto 13.2 papunktyje nurodytas prekių sąnaudas. Ankstesniais ataskaitiniais laikotarpiais užregistruoto nuvertėjimo sumažėjimas, atsiradęs dėl pasikeitusių aplinkybių, registruojamas tose pačiose sąskaitose, kuriose ankstesniais ataskaitiniais laikotarpiais buvo registruotos nuvertėjimo sąnaudos. Šis papunktis netaikomas investicijų į nuosavybės ar ne nuosavybės vertybinius popierius nuvertėjimui, kuris rodomas kaip finansinės ir investicinės veiklos sąnaudos. Prie šių sąnaudų taip pat priskiriama mineralinių išteklių ir medynų sunaudoto ar netekto kiekio vertė, kaip nustatyta 30-jame </w:t>
                      </w:r>
                      <w:r>
                        <w:t>viešojo sektoriaus apskaitos ir finansinės atskaitomybės standarte</w:t>
                      </w:r>
                      <w:r>
                        <w:rPr>
                          <w:lang w:eastAsia="lt-LT"/>
                        </w:rPr>
                        <w:t xml:space="preserve"> „Mineraliniai ištekliai“,</w:t>
                      </w:r>
                      <w:r>
                        <w:t xml:space="preserve"> patvirtintame Lietuvos Respublikos finansų ministro 2022 m. birželio 14 d. įsakymu Nr. 1K-221 „Dėl viešojo sektoriaus apskaitos ir finansinės atskaitomybės 30-ojo standarto patvirtinimo“,</w:t>
                      </w:r>
                      <w:r>
                        <w:rPr>
                          <w:color w:val="000000"/>
                          <w:lang w:eastAsia="lt-LT"/>
                        </w:rPr>
                        <w:t xml:space="preserve"> ir 16-ajame </w:t>
                      </w:r>
                      <w:r>
                        <w:t>viešojo sektoriaus apskaitos ir finansinės atskaitomybės standarte</w:t>
                      </w:r>
                      <w:r>
                        <w:rPr>
                          <w:lang w:eastAsia="lt-LT"/>
                        </w:rPr>
                        <w:t xml:space="preserve"> „Biologinis turtas“,</w:t>
                      </w:r>
                      <w:r>
                        <w:t xml:space="preserve"> patvirtintame Lietuvos Respublikos finansų ministro 2008 m. liepos 10 d. įsakymu Nr. 1K-233 „Dėl viešojo sektoriaus apskaitos ir finansinės atskaitomybės 16-ojo standarto patvirtinimo“, (toliau – 16-asis VSAFAS „Biologinis turtas“)</w:t>
                      </w:r>
                      <w:r>
                        <w:rPr>
                          <w:color w:val="000000"/>
                          <w:lang w:eastAsia="lt-LT"/>
                        </w:rPr>
                        <w:t xml:space="preserve"> – tokios sąnaudos, kurioms padengti buvo sudarytas mineralinių išteklių ar medynų rezervas. </w:t>
                      </w:r>
                    </w:p>
                  </w:sdtContent>
                </w:sdt>
                <w:sdt>
                  <w:sdtPr>
                    <w:alias w:val="13.5 pp."/>
                    <w:tag w:val="part_66f80de9b35e4398b78441893c1817ad"/>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66f80de9b35e4398b78441893c1817ad"/>
                          <w:lock w:val="sdtLocked"/>
                          <w:richText/>
                        </w:sdtPr>
                        <w:sdtContent>
                          <w:r>
                            <w:rPr>
                              <w:color w:val="000000"/>
                              <w:lang w:eastAsia="lt-LT"/>
                            </w:rPr>
                            <w:t>13.5</w:t>
                          </w:r>
                        </w:sdtContent>
                      </w:sdt>
                      <w:r>
                        <w:rPr>
                          <w:color w:val="000000"/>
                          <w:lang w:eastAsia="lt-LT"/>
                        </w:rPr>
                        <w:t>.</w:t>
                        <w:tab/>
                        <w:t xml:space="preserve">Straipsnyje „Socialinių išmokų, stipendijų, prizų ir premijų sąnaudos“ rodomos socialinio draudimo išmokų iš valstybės biudžeto sąnaudos, socialinių išmokų iš savivaldybės biudžeto sąnaudos, Valstybinio socialinio draudimo fondo išmokų, Ilgalaikio darbo išmokų fondo išmokų, Garantinio fondo išmokų ir socialinės paramos išmokų fiziniams asmenims, nepriklausomai nuo finansavimo šaltinio, sąnaudos, taip pat stipendijų, prizų ir premijų sąnaudos, </w:t>
                      </w:r>
                      <w:r>
                        <w:rPr>
                          <w:lang w:eastAsia="lt-LT"/>
                        </w:rPr>
                        <w:t xml:space="preserve">apimančios stipendijas studentams, darbuotojams, </w:t>
                      </w:r>
                      <w:r>
                        <w:rPr>
                          <w:color w:val="000000"/>
                        </w:rPr>
                        <w:t xml:space="preserve">piniginių dovanų ir laimėjimų (prizų), išskyrus Standarto 15.1.13 papunktyje nurodytas reprezentacines sąnaudas, premijų ir valstybės stipendijų, skiriamų sportininkams, kultūros ir meno kūrėjams, mokslininkams </w:t>
                      </w:r>
                      <w:r>
                        <w:rPr>
                          <w:color w:val="000000"/>
                          <w:spacing w:val="-1"/>
                        </w:rPr>
                        <w:t>ir kitiems asmenims sąnaudas</w:t>
                      </w:r>
                      <w:r>
                        <w:rPr>
                          <w:lang w:eastAsia="lt-LT"/>
                        </w:rPr>
                        <w:t>;.</w:t>
                      </w:r>
                    </w:p>
                  </w:sdtContent>
                </w:sdt>
                <w:sdt>
                  <w:sdtPr>
                    <w:alias w:val="13.6 pp."/>
                    <w:tag w:val="part_e2b23adc31024c278b584cd73e4f7df6"/>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e2b23adc31024c278b584cd73e4f7df6"/>
                          <w:lock w:val="sdtLocked"/>
                          <w:richText/>
                        </w:sdtPr>
                        <w:sdtContent>
                          <w:r>
                            <w:rPr>
                              <w:color w:val="000000"/>
                              <w:lang w:eastAsia="lt-LT"/>
                            </w:rPr>
                            <w:t>13.6</w:t>
                          </w:r>
                        </w:sdtContent>
                      </w:sdt>
                      <w:r>
                        <w:rPr>
                          <w:color w:val="000000"/>
                          <w:lang w:eastAsia="lt-LT"/>
                        </w:rPr>
                        <w:t>.</w:t>
                        <w:tab/>
                        <w:t xml:space="preserve">Straipsnyje „Finansavimo sąnaudos“ rodomos valstybės, savivaldybės ar išteklių fondų per ataskaitinį laikotarpį kitiems ne viešojo sektoriaus subjektams suteiktos ar teiktinos finansavimo sumos, kaip nustatyta 20-ajame VSAFAS „Finansavimo sumos“, viešojo sektoriaus subjektų per tam tikrą laikotarpį suteiktos ar teiktinos finansavimo sumos ne viešojo sektoriaus subjektui arba suteiktos ar teiktinos finansavimo sumos kitam viešojo sektoriaus subjektui iš savo pajamų. Rengiant 3-iojo </w:t>
                      </w:r>
                      <w:r>
                        <w:t>viešojo sektoriaus apskaitos ir finansinės atskaitomybės standarto</w:t>
                      </w:r>
                      <w:r>
                        <w:rPr>
                          <w:color w:val="000000"/>
                          <w:lang w:eastAsia="lt-LT"/>
                        </w:rPr>
                        <w:t xml:space="preserve"> „Veiklos rezultatų ataskaita“, </w:t>
                      </w:r>
                      <w:r>
                        <w:t>patvirtinto Lietuvos Respublikos finansų ministro 2007 m. gruodžio 19 d. įsakymu Nr. 1K-379 „Dėl 3-iojo viešojo sektoriaus apskaitos ir finansinės atskaitomybės standarto patvirtinimo“,</w:t>
                      </w:r>
                      <w:r>
                        <w:rPr>
                          <w:color w:val="000000"/>
                          <w:lang w:eastAsia="lt-LT"/>
                        </w:rPr>
                        <w:t xml:space="preserve"> (toliau – 3-iasis VSAFAS „Veiklos rezultatų ataskaita“) 3 priede nustatytos formos valstybės veiklos rezultatų ataskaitą, šios sąnaudos detalizuojamos išskiriant straipsnius:</w:t>
                      </w:r>
                    </w:p>
                    <w:sdt>
                      <w:sdtPr>
                        <w:alias w:val="13.6.1 pp."/>
                        <w:tag w:val="part_ebd9fddbdcb846c5846cdda7612aa4ac"/>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ebd9fddbdcb846c5846cdda7612aa4ac"/>
                              <w:lock w:val="sdtLocked"/>
                              <w:richText/>
                            </w:sdtPr>
                            <w:sdtContent>
                              <w:r>
                                <w:rPr>
                                  <w:color w:val="000000"/>
                                  <w:lang w:eastAsia="lt-LT"/>
                                </w:rPr>
                                <w:t>13.6.1</w:t>
                              </w:r>
                            </w:sdtContent>
                          </w:sdt>
                          <w:r>
                            <w:rPr>
                              <w:color w:val="000000"/>
                              <w:lang w:eastAsia="lt-LT"/>
                            </w:rPr>
                            <w:t>.</w:t>
                            <w:tab/>
                            <w:t>straipsnį „Valstybės socialinių fondų finansavimo sąnaudos“;</w:t>
                          </w:r>
                        </w:p>
                      </w:sdtContent>
                    </w:sdt>
                    <w:sdt>
                      <w:sdtPr>
                        <w:alias w:val="13.6.2 pp."/>
                        <w:tag w:val="part_c8ec6061af164ba8888444cfde79858d"/>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c8ec6061af164ba8888444cfde79858d"/>
                              <w:lock w:val="sdtLocked"/>
                              <w:richText/>
                            </w:sdtPr>
                            <w:sdtContent>
                              <w:r>
                                <w:rPr>
                                  <w:color w:val="000000"/>
                                  <w:lang w:eastAsia="lt-LT"/>
                                </w:rPr>
                                <w:t>13.6.2</w:t>
                              </w:r>
                            </w:sdtContent>
                          </w:sdt>
                          <w:r>
                            <w:rPr>
                              <w:color w:val="000000"/>
                              <w:lang w:eastAsia="lt-LT"/>
                            </w:rPr>
                            <w:t>.</w:t>
                            <w:tab/>
                            <w:t>straipsnyje „Savivaldybių finansavimo sąnaudos“ prie sąnaudų priskiriamos dotacijos savivaldybėms;</w:t>
                          </w:r>
                        </w:p>
                      </w:sdtContent>
                    </w:sdt>
                    <w:sdt>
                      <w:sdtPr>
                        <w:alias w:val="13.6.3 pp."/>
                        <w:tag w:val="part_8ea37ff794f44daca71f72b02d4c6c5a"/>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8ea37ff794f44daca71f72b02d4c6c5a"/>
                              <w:lock w:val="sdtLocked"/>
                              <w:richText/>
                            </w:sdtPr>
                            <w:sdtContent>
                              <w:r>
                                <w:rPr>
                                  <w:color w:val="000000"/>
                                  <w:lang w:eastAsia="lt-LT"/>
                                </w:rPr>
                                <w:t>13.6.3</w:t>
                              </w:r>
                            </w:sdtContent>
                          </w:sdt>
                          <w:r>
                            <w:rPr>
                              <w:color w:val="000000"/>
                              <w:lang w:eastAsia="lt-LT"/>
                            </w:rPr>
                            <w:t>.</w:t>
                            <w:tab/>
                            <w:t>straipsnį „Kitos finansavimo sąnaudos“.</w:t>
                          </w:r>
                        </w:p>
                      </w:sdtContent>
                    </w:sdt>
                  </w:sdtContent>
                </w:sdt>
                <w:sdt>
                  <w:sdtPr>
                    <w:alias w:val="13.7 pp."/>
                    <w:tag w:val="part_dec2141c5d174fc1829eeeb143300d19"/>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dec2141c5d174fc1829eeeb143300d19"/>
                          <w:lock w:val="sdtLocked"/>
                          <w:richText/>
                        </w:sdtPr>
                        <w:sdtContent>
                          <w:r>
                            <w:rPr>
                              <w:color w:val="000000"/>
                              <w:lang w:eastAsia="lt-LT"/>
                            </w:rPr>
                            <w:t>13.7</w:t>
                          </w:r>
                        </w:sdtContent>
                      </w:sdt>
                      <w:r>
                        <w:rPr>
                          <w:color w:val="000000"/>
                          <w:lang w:eastAsia="lt-LT"/>
                        </w:rPr>
                        <w:t>.</w:t>
                        <w:tab/>
                        <w:t xml:space="preserve">Straipsnyje „Pensijų anuitetų fondo techninių atidėjinių vertės pasikeitimo sąnaudos“ </w:t>
                      </w:r>
                      <w:r>
                        <w:rPr>
                          <w:lang w:eastAsia="lt-LT"/>
                        </w:rPr>
                        <w:t xml:space="preserve">rodomos sąnaudos, nurodytos 29-ajame VSAFAS „Pensijų anuitetų fondo apskaita ir ataskaitų rinkinys“. Jos pateikiamos </w:t>
                      </w:r>
                      <w:r>
                        <w:rPr>
                          <w:color w:val="000000"/>
                          <w:lang w:eastAsia="lt-LT"/>
                        </w:rPr>
                        <w:t xml:space="preserve">3-iojo VSAFAS „Veiklos rezultatų ataskaita“ 5 priede nustatytos formos </w:t>
                      </w:r>
                      <w:r>
                        <w:rPr>
                          <w:lang w:eastAsia="lt-LT"/>
                        </w:rPr>
                        <w:t>nacionalinėje veiklos rezultatų ataskaitoje</w:t>
                      </w:r>
                      <w:r>
                        <w:rPr>
                          <w:color w:val="000000"/>
                          <w:lang w:eastAsia="lt-LT"/>
                        </w:rPr>
                        <w:t>.</w:t>
                      </w:r>
                    </w:p>
                  </w:sdtContent>
                </w:sdt>
                <w:sdt>
                  <w:sdtPr>
                    <w:alias w:val="13.8 pp."/>
                    <w:tag w:val="part_fb122995068b4d09bd30d3fcc2b9ec5b"/>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fb122995068b4d09bd30d3fcc2b9ec5b"/>
                          <w:lock w:val="sdtLocked"/>
                          <w:richText/>
                        </w:sdtPr>
                        <w:sdtContent>
                          <w:r>
                            <w:rPr>
                              <w:color w:val="000000"/>
                              <w:lang w:eastAsia="lt-LT"/>
                            </w:rPr>
                            <w:t>13.8</w:t>
                          </w:r>
                        </w:sdtContent>
                      </w:sdt>
                      <w:r>
                        <w:rPr>
                          <w:color w:val="000000"/>
                          <w:lang w:eastAsia="lt-LT"/>
                        </w:rPr>
                        <w:t>.</w:t>
                        <w:tab/>
                        <w:t>Straipsnyje „Finansinės ir investicinės veiklos sąnaudos“ rodomos sąnaudos, prie kurių priskiriamos tokios sąnaudos:</w:t>
                      </w:r>
                    </w:p>
                    <w:sdt>
                      <w:sdtPr>
                        <w:alias w:val="13.8.1 pp."/>
                        <w:tag w:val="part_5caecd24a98a4be1bbab2990aebdd1a8"/>
                        <w:lock w:val="sdtLocked"/>
                        <w:richText/>
                      </w:sdtPr>
                      <w:sdtContent>
                        <w:p>
                          <w:pPr>
                            <w:widowControl w:val="0"/>
                            <w:tabs>
                              <w:tab w:val="left" w:pos="851"/>
                              <w:tab w:val="left" w:pos="1134"/>
                            </w:tabs>
                            <w:suppressAutoHyphens/>
                            <w:ind w:firstLine="567"/>
                            <w:jc w:val="both"/>
                            <w:rPr>
                              <w:color w:val="000000"/>
                              <w:lang w:eastAsia="lt-LT"/>
                            </w:rPr>
                          </w:pPr>
                          <w:sdt>
                            <w:sdtPr>
                              <w:alias w:val="Numeris"/>
                              <w:tag w:val="nr_5caecd24a98a4be1bbab2990aebdd1a8"/>
                              <w:lock w:val="sdtLocked"/>
                              <w:richText/>
                            </w:sdtPr>
                            <w:sdtContent>
                              <w:r>
                                <w:rPr>
                                  <w:color w:val="000000"/>
                                  <w:lang w:eastAsia="lt-LT"/>
                                </w:rPr>
                                <w:t>13.8.1</w:t>
                              </w:r>
                            </w:sdtContent>
                          </w:sdt>
                          <w:r>
                            <w:rPr>
                              <w:color w:val="000000"/>
                              <w:lang w:eastAsia="lt-LT"/>
                            </w:rPr>
                            <w:t>.</w:t>
                            <w:tab/>
                            <w:t xml:space="preserve">nuostoliai dėl valiutų kursų pasikeitimo, atsirandantys dėl atliekamų pirkimų, pardavimų, skolinimo, skolinimosi, mokėjimų bei kitų ūkinių operacijų užsienio valiuta, taip pat piniginio turto ir piniginių įsipareigojimų valiutinių straipsnių likučių kita nei Lietuvos Respublikos piniginis vienetas valiuta perkainojimo. Detalesnė informacija apie nuostolius, patiriamus dėl valiutų kursų svyravimo, pateikiama 21-ajame </w:t>
                          </w:r>
                          <w:r>
                            <w:rPr>
                              <w:lang w:eastAsia="lt-LT"/>
                            </w:rPr>
                            <w:t>viešojo sektoriaus apskaitos ir finansinės atskaitomybės standarte</w:t>
                          </w:r>
                          <w:r>
                            <w:rPr>
                              <w:color w:val="000000"/>
                              <w:lang w:eastAsia="lt-LT"/>
                            </w:rPr>
                            <w:t xml:space="preserve"> „Sandoriai užsienio valiuta“, </w:t>
                          </w:r>
                          <w:r>
                            <w:t>patvirtintame Lietuvos Respublikos finansų ministro 2007 m. lapkričio 29 d. įsakymu Nr. 1K-348 „Dėl viešojo sektoriaus apskaitos ir finansinės atskaitomybės 21-ojo standarto patvirtinimo“</w:t>
                          </w:r>
                          <w:r>
                            <w:rPr>
                              <w:color w:val="000000"/>
                              <w:lang w:eastAsia="lt-LT"/>
                            </w:rPr>
                            <w:t>. Rengiant 3-iojo VSAFAS „Veiklos rezultatų ataskaita“ 3–5 prieduose nustatytų formų veiklos rezultatų ataskaitas, šios sąnaudos pateikiamos straipsnyje „Kitos finansinės ir investicinės veiklos sąnaudos“;</w:t>
                          </w:r>
                        </w:p>
                      </w:sdtContent>
                    </w:sdt>
                    <w:sdt>
                      <w:sdtPr>
                        <w:alias w:val="13.8.2 pp."/>
                        <w:tag w:val="part_40909de3cc134fbd84927a9318c260fd"/>
                        <w:lock w:val="sdtLocked"/>
                        <w:richText/>
                      </w:sdtPr>
                      <w:sdtContent>
                        <w:p>
                          <w:pPr>
                            <w:widowControl w:val="0"/>
                            <w:tabs>
                              <w:tab w:val="left" w:pos="851"/>
                              <w:tab w:val="left" w:pos="993"/>
                            </w:tabs>
                            <w:suppressAutoHyphens/>
                            <w:ind w:firstLine="568"/>
                            <w:jc w:val="both"/>
                            <w:rPr>
                              <w:color w:val="000000"/>
                              <w:lang w:eastAsia="lt-LT"/>
                            </w:rPr>
                          </w:pPr>
                          <w:sdt>
                            <w:sdtPr>
                              <w:alias w:val="Numeris"/>
                              <w:tag w:val="nr_40909de3cc134fbd84927a9318c260fd"/>
                              <w:lock w:val="sdtLocked"/>
                              <w:richText/>
                            </w:sdtPr>
                            <w:sdtContent>
                              <w:r>
                                <w:rPr>
                                  <w:color w:val="000000"/>
                                  <w:lang w:eastAsia="lt-LT"/>
                                </w:rPr>
                                <w:t>13.8.2</w:t>
                              </w:r>
                            </w:sdtContent>
                          </w:sdt>
                          <w:r>
                            <w:rPr>
                              <w:color w:val="000000"/>
                              <w:lang w:eastAsia="lt-LT"/>
                            </w:rPr>
                            <w:t>.</w:t>
                            <w:tab/>
                          </w:r>
                          <w:r>
                            <w:rPr>
                              <w:color w:val="000000"/>
                              <w:szCs w:val="24"/>
                              <w:lang w:eastAsia="lt-LT"/>
                            </w:rPr>
                            <w:t xml:space="preserve">baudos ir delspinigiai – viešojo sektoriaus subjektams už ataskaitinį laikotarpį apskaičiuoti delspinigiai ir baudos už pavėluotus atsiskaitymus, įskaitant </w:t>
                          </w:r>
                          <w:r>
                            <w:rPr>
                              <w:szCs w:val="24"/>
                              <w:lang w:eastAsia="lt-LT"/>
                            </w:rPr>
                            <w:t xml:space="preserve">delspinigius už išmokų, susijusių su darbo santykiais, pavėluotą mokėjimą. </w:t>
                          </w:r>
                          <w:r>
                            <w:rPr>
                              <w:color w:val="000000"/>
                              <w:lang w:eastAsia="lt-LT"/>
                            </w:rPr>
                            <w:t>Rengiant 3-iojo VSAFAS „Veiklos rezultatų ataskaita“ 3–5 prieduose nustatytų formų veiklos rezultatų ataskaitas, šios sąnaudos pateikiamos straipsnyje „Kitos finansinės ir investicinės veiklos sąnaudos“;</w:t>
                          </w:r>
                        </w:p>
                      </w:sdtContent>
                    </w:sdt>
                    <w:sdt>
                      <w:sdtPr>
                        <w:alias w:val="13.8.3 pp."/>
                        <w:tag w:val="part_b7ef8f8e03bb41c881b6ee65267da888"/>
                        <w:lock w:val="sdtLocked"/>
                        <w:richText/>
                      </w:sdtPr>
                      <w:sdtContent>
                        <w:p>
                          <w:pPr>
                            <w:widowControl w:val="0"/>
                            <w:tabs>
                              <w:tab w:val="left" w:pos="851"/>
                              <w:tab w:val="left" w:pos="993"/>
                            </w:tabs>
                            <w:suppressAutoHyphens/>
                            <w:ind w:firstLine="568"/>
                            <w:jc w:val="both"/>
                            <w:rPr>
                              <w:color w:val="000000"/>
                              <w:lang w:eastAsia="lt-LT"/>
                            </w:rPr>
                          </w:pPr>
                          <w:sdt>
                            <w:sdtPr>
                              <w:alias w:val="Numeris"/>
                              <w:tag w:val="nr_b7ef8f8e03bb41c881b6ee65267da888"/>
                              <w:lock w:val="sdtLocked"/>
                              <w:richText/>
                            </w:sdtPr>
                            <w:sdtContent>
                              <w:r>
                                <w:rPr>
                                  <w:color w:val="000000"/>
                                  <w:lang w:eastAsia="lt-LT"/>
                                </w:rPr>
                                <w:t>13.8.3</w:t>
                              </w:r>
                            </w:sdtContent>
                          </w:sdt>
                          <w:r>
                            <w:rPr>
                              <w:color w:val="000000"/>
                              <w:lang w:eastAsia="lt-LT"/>
                            </w:rPr>
                            <w:t>.</w:t>
                            <w:tab/>
                            <w:t>palūkanos už ilgalaikes ir trumpalaikes paskolas ir kitus skolinius, tarp jų finansinės nuomos (lizingo), įsipareigojimus. Prie palūkanų sąnaudų taip pat priskiriama atidėjinių ir kitų įsipareigojimų vertės pokyčio dėl jų įvertinimo amortizuota savikaina arba dabartine verte, tenkančio ataskaitiniam laikotarpiui, suma. Rengiant 3-iojo VSAFAS „Veiklos rezultatų ataskaita“ 3–5 prieduose nustatytų formų veiklos rezultatų ataskaitas, šios sąnaudos pateikiamos straipsnyje „Palūkanų sąnaudos“;</w:t>
                          </w:r>
                        </w:p>
                      </w:sdtContent>
                    </w:sdt>
                    <w:sdt>
                      <w:sdtPr>
                        <w:alias w:val="13.8.4 pp."/>
                        <w:tag w:val="part_ee847db3b1f44ceeb37aec564977b62a"/>
                        <w:lock w:val="sdtLocked"/>
                        <w:richText/>
                      </w:sdtPr>
                      <w:sdtContent>
                        <w:p>
                          <w:pPr>
                            <w:widowControl w:val="0"/>
                            <w:tabs>
                              <w:tab w:val="left" w:pos="851"/>
                              <w:tab w:val="left" w:pos="993"/>
                            </w:tabs>
                            <w:suppressAutoHyphens/>
                            <w:ind w:firstLine="568"/>
                            <w:jc w:val="both"/>
                            <w:rPr>
                              <w:color w:val="000000"/>
                              <w:lang w:eastAsia="lt-LT"/>
                            </w:rPr>
                          </w:pPr>
                          <w:sdt>
                            <w:sdtPr>
                              <w:alias w:val="Numeris"/>
                              <w:tag w:val="nr_ee847db3b1f44ceeb37aec564977b62a"/>
                              <w:lock w:val="sdtLocked"/>
                              <w:richText/>
                            </w:sdtPr>
                            <w:sdtContent>
                              <w:r>
                                <w:rPr>
                                  <w:color w:val="000000"/>
                                  <w:lang w:eastAsia="lt-LT"/>
                                </w:rPr>
                                <w:t>13.8.4</w:t>
                              </w:r>
                            </w:sdtContent>
                          </w:sdt>
                          <w:r>
                            <w:rPr>
                              <w:color w:val="000000"/>
                              <w:lang w:eastAsia="lt-LT"/>
                            </w:rPr>
                            <w:t>.</w:t>
                            <w:tab/>
                            <w:t>finansinio turto perleidimo ir perkainojimo nuostoliai. Rengiant 3-iojo VSAFAS „Veiklos rezultatų ataskaita“ 3–5 prieduose nustatytų formų veiklos rezultatų ataskaitas, šios sąnaudos pateikiamos straipsnyje „Finansinio turto tikrosios vertės sumažėjimas ir perleidimo nuostolis, nuvertėjimo ir nurašymo sąnaudos“;</w:t>
                          </w:r>
                        </w:p>
                      </w:sdtContent>
                    </w:sdt>
                    <w:sdt>
                      <w:sdtPr>
                        <w:alias w:val="13.8.5 pp."/>
                        <w:tag w:val="part_62607c86cb1143978813dad9b4d4381f"/>
                        <w:lock w:val="sdtLocked"/>
                        <w:richText/>
                      </w:sdtPr>
                      <w:sdtContent>
                        <w:p>
                          <w:pPr>
                            <w:widowControl w:val="0"/>
                            <w:tabs>
                              <w:tab w:val="left" w:pos="851"/>
                              <w:tab w:val="left" w:pos="993"/>
                            </w:tabs>
                            <w:suppressAutoHyphens/>
                            <w:ind w:firstLine="568"/>
                            <w:jc w:val="both"/>
                            <w:rPr>
                              <w:color w:val="000000"/>
                              <w:lang w:eastAsia="lt-LT"/>
                            </w:rPr>
                          </w:pPr>
                          <w:sdt>
                            <w:sdtPr>
                              <w:alias w:val="Numeris"/>
                              <w:tag w:val="nr_62607c86cb1143978813dad9b4d4381f"/>
                              <w:lock w:val="sdtLocked"/>
                              <w:richText/>
                            </w:sdtPr>
                            <w:sdtContent>
                              <w:r>
                                <w:rPr>
                                  <w:color w:val="000000"/>
                                  <w:lang w:eastAsia="lt-LT"/>
                                </w:rPr>
                                <w:t>13.8.5</w:t>
                              </w:r>
                            </w:sdtContent>
                          </w:sdt>
                          <w:r>
                            <w:rPr>
                              <w:color w:val="000000"/>
                              <w:lang w:eastAsia="lt-LT"/>
                            </w:rPr>
                            <w:t>.</w:t>
                            <w:tab/>
                            <w:t>prestižo nuvertėjimas. Rengiant 3-iojo VSAFAS „Veiklos rezultatų ataskaita“ 3–5 prieduose nustatytų formų veiklos rezultatų ataskaitas, šios sąnaudos pateikiamos straipsnyje „Kitos finansinės ir investicinės veiklos sąnaudos“;</w:t>
                          </w:r>
                        </w:p>
                      </w:sdtContent>
                    </w:sdt>
                    <w:sdt>
                      <w:sdtPr>
                        <w:alias w:val="13.8.6 pp."/>
                        <w:tag w:val="part_2739495b7d9d443b8fb230545b85c600"/>
                        <w:lock w:val="sdtLocked"/>
                        <w:richText/>
                      </w:sdtPr>
                      <w:sdtContent>
                        <w:p>
                          <w:pPr>
                            <w:widowControl w:val="0"/>
                            <w:tabs>
                              <w:tab w:val="left" w:pos="851"/>
                              <w:tab w:val="left" w:pos="993"/>
                            </w:tabs>
                            <w:suppressAutoHyphens/>
                            <w:ind w:firstLine="568"/>
                            <w:jc w:val="both"/>
                            <w:rPr>
                              <w:color w:val="000000"/>
                              <w:lang w:eastAsia="lt-LT"/>
                            </w:rPr>
                          </w:pPr>
                          <w:sdt>
                            <w:sdtPr>
                              <w:alias w:val="Numeris"/>
                              <w:tag w:val="nr_2739495b7d9d443b8fb230545b85c600"/>
                              <w:lock w:val="sdtLocked"/>
                              <w:richText/>
                            </w:sdtPr>
                            <w:sdtContent>
                              <w:r>
                                <w:rPr>
                                  <w:color w:val="000000"/>
                                  <w:lang w:eastAsia="lt-LT"/>
                                </w:rPr>
                                <w:t>13.8.6</w:t>
                              </w:r>
                            </w:sdtContent>
                          </w:sdt>
                          <w:r>
                            <w:rPr>
                              <w:color w:val="000000"/>
                              <w:lang w:eastAsia="lt-LT"/>
                            </w:rPr>
                            <w:t>.</w:t>
                            <w:tab/>
                            <w:t>investicijų į asocijuotuosius, konsoliduojamus ir kontroliuojamus ne viešojo sektoriaus subjektus nuvertėjimas. Rengiant 3-iojo VSAFAS „Veiklos rezultatų ataskaita“ 3–5 prieduose nustatytų formų veiklos rezultatų ataskaitas, šios sąnaudos pateikiamos straipsnyje „Finansinio turto tikrosios vertės sumažėjimas ir perleidimo nuostolis, nuvertėjimo ir nurašymo sąnaudos“;</w:t>
                          </w:r>
                        </w:p>
                      </w:sdtContent>
                    </w:sdt>
                    <w:sdt>
                      <w:sdtPr>
                        <w:alias w:val="13.8.7 pp."/>
                        <w:tag w:val="part_d5ca265b238f48d790b0e50f2a0ee210"/>
                        <w:lock w:val="sdtLocked"/>
                        <w:richText/>
                      </w:sdtPr>
                      <w:sdtContent>
                        <w:p>
                          <w:pPr>
                            <w:widowControl w:val="0"/>
                            <w:tabs>
                              <w:tab w:val="left" w:pos="851"/>
                              <w:tab w:val="left" w:pos="993"/>
                            </w:tabs>
                            <w:suppressAutoHyphens/>
                            <w:ind w:firstLine="568"/>
                            <w:jc w:val="both"/>
                            <w:rPr>
                              <w:lang w:eastAsia="lt-LT"/>
                            </w:rPr>
                          </w:pPr>
                          <w:sdt>
                            <w:sdtPr>
                              <w:alias w:val="Numeris"/>
                              <w:tag w:val="nr_d5ca265b238f48d790b0e50f2a0ee210"/>
                              <w:lock w:val="sdtLocked"/>
                              <w:richText/>
                            </w:sdtPr>
                            <w:sdtContent>
                              <w:r>
                                <w:rPr>
                                  <w:lang w:eastAsia="lt-LT"/>
                                </w:rPr>
                                <w:t>13.8.7</w:t>
                              </w:r>
                            </w:sdtContent>
                          </w:sdt>
                          <w:r>
                            <w:rPr>
                              <w:lang w:eastAsia="lt-LT"/>
                            </w:rPr>
                            <w:t>.</w:t>
                            <w:tab/>
                          </w:r>
                          <w:r>
                            <w:rPr>
                              <w:color w:val="000000"/>
                              <w:lang w:eastAsia="lt-LT"/>
                            </w:rPr>
                            <w:t>kitos finansinės ir investicinės veiklos sąnaudos, išskyrus nuostolius dėl nuosavybės metodo taikymo. Rengiant 3-iojo VSAFAS „Veiklos rezultatų ataskaita“ 3–5 prieduose nustatytų formų veiklos rezultatų ataskaitas, šios sąnaudos pateikiamos straipsnyje „Kitos finansinės ir investicinės veiklos sąnaudos“</w:t>
                          </w:r>
                          <w:r>
                            <w:rPr>
                              <w:lang w:eastAsia="lt-LT"/>
                            </w:rPr>
                            <w:t xml:space="preserve">. Nuostoliai dėl nuosavybės metodo taikymo, kaip to reikalaujama 14-ajame viešojo sektoriaus apskaitos ir finansinės atskaitomybės standarte „Jungimai ir investicijos į asocijuotuosius subjektus“, </w:t>
                          </w:r>
                          <w:r>
                            <w:t>patvirtintame Lietuvos Respublikos finansų ministro 2008 m. gruodžio 9 d. įsakymu Nr. 1K-430 „Dėl viešojo sektoriaus apskaitos ir finansinės atskaitomybės 14-ojo standarto patvirtinimo“,</w:t>
                          </w:r>
                          <w:r>
                            <w:rPr>
                              <w:lang w:eastAsia="lt-LT"/>
                            </w:rPr>
                            <w:t xml:space="preserve"> ir 15-ajame </w:t>
                          </w:r>
                          <w:r>
                            <w:t xml:space="preserve">viešojo sektoriaus apskaitos ir finansinės atskaitomybės standarte „Konsoliduotųjų finansinių ataskaitų rinkinys ir investicijos į kontroliuojamus subjektus“, patvirtintame Lietuvos Respublikos finansų ministro 2008 m. gruodžio 9 d. įsakymu Nr. 1K-433 „Dėl viešojo sektoriaus apskaitos ir finansinės atskaitomybės 15-ojo standarto patvirtinimo“, </w:t>
                          </w:r>
                          <w:r>
                            <w:rPr>
                              <w:lang w:eastAsia="lt-LT"/>
                            </w:rPr>
                            <w:t>taip pat priskiriami prie finansinės ir investicinės veiklos sąnaudų, tačiau veiklos rezultatų ataskaitoje rodomi atskirame straipsnyje „Nuosavybės metodo įtaka“.</w:t>
                          </w:r>
                        </w:p>
                      </w:sdtContent>
                    </w:sdt>
                  </w:sdtContent>
                </w:sdt>
                <w:sdt>
                  <w:sdtPr>
                    <w:alias w:val="13.9 pp."/>
                    <w:tag w:val="part_f7ff1e9415f04f41bfbfb6973ac42296"/>
                    <w:lock w:val="sdtLocked"/>
                    <w:richText/>
                  </w:sdtPr>
                  <w:sdtContent>
                    <w:p>
                      <w:pPr>
                        <w:widowControl w:val="0"/>
                        <w:tabs>
                          <w:tab w:val="left" w:pos="851"/>
                          <w:tab w:val="left" w:pos="993"/>
                        </w:tabs>
                        <w:suppressAutoHyphens/>
                        <w:ind w:firstLine="567"/>
                        <w:jc w:val="both"/>
                        <w:rPr>
                          <w:lang w:eastAsia="lt-LT"/>
                        </w:rPr>
                      </w:pPr>
                      <w:sdt>
                        <w:sdtPr>
                          <w:alias w:val="Numeris"/>
                          <w:tag w:val="nr_f7ff1e9415f04f41bfbfb6973ac42296"/>
                          <w:lock w:val="sdtLocked"/>
                          <w:richText/>
                        </w:sdtPr>
                        <w:sdtContent>
                          <w:r>
                            <w:rPr>
                              <w:lang w:eastAsia="lt-LT"/>
                            </w:rPr>
                            <w:t>13.9</w:t>
                          </w:r>
                        </w:sdtContent>
                      </w:sdt>
                      <w:r>
                        <w:rPr>
                          <w:lang w:eastAsia="lt-LT"/>
                        </w:rPr>
                        <w:t>.</w:t>
                        <w:tab/>
                      </w:r>
                      <w:r>
                        <w:rPr>
                          <w:color w:val="000000"/>
                          <w:lang w:eastAsia="lt-LT"/>
                        </w:rPr>
                        <w:t>kitos sąnaudos – sąnaudos, nenurodytos Standarto 13.1–13.8 papunkčiuose. Informacija apie šias sąnaudas kartu su Standarto 15.2 papunktyje nurodytomis sąnaudomis detalizuojama Standarto priede.</w:t>
                      </w:r>
                    </w:p>
                  </w:sdtContent>
                </w:sdt>
              </w:sdtContent>
            </w:sdt>
            <w:sdt>
              <w:sdtPr>
                <w:alias w:val="14 p."/>
                <w:tag w:val="part_9adcaa39acb74cabb64ca53714c94ac2"/>
                <w:lock w:val="sdtLocked"/>
                <w:richText/>
              </w:sdtPr>
              <w:sdtContent>
                <w:p>
                  <w:pPr>
                    <w:widowControl w:val="0"/>
                    <w:tabs>
                      <w:tab w:val="left" w:pos="851"/>
                      <w:tab w:val="left" w:pos="993"/>
                    </w:tabs>
                    <w:suppressAutoHyphens/>
                    <w:ind w:firstLine="567"/>
                    <w:jc w:val="both"/>
                    <w:rPr>
                      <w:lang w:eastAsia="lt-LT"/>
                    </w:rPr>
                  </w:pPr>
                  <w:sdt>
                    <w:sdtPr>
                      <w:alias w:val="Numeris"/>
                      <w:tag w:val="nr_9adcaa39acb74cabb64ca53714c94ac2"/>
                      <w:lock w:val="sdtLocked"/>
                      <w:richText/>
                    </w:sdtPr>
                    <w:sdtContent>
                      <w:r>
                        <w:rPr>
                          <w:lang w:eastAsia="lt-LT"/>
                        </w:rPr>
                        <w:t>14</w:t>
                      </w:r>
                    </w:sdtContent>
                  </w:sdt>
                  <w:r>
                    <w:rPr>
                      <w:lang w:eastAsia="lt-LT"/>
                    </w:rPr>
                    <w:t>.</w:t>
                    <w:tab/>
                  </w:r>
                  <w:r>
                    <w:rPr>
                      <w:color w:val="000000"/>
                      <w:lang w:eastAsia="lt-LT"/>
                    </w:rPr>
                    <w:t>Rengiant</w:t>
                  </w:r>
                  <w:r>
                    <w:rPr>
                      <w:lang w:eastAsia="lt-LT"/>
                    </w:rPr>
                    <w:t xml:space="preserve"> </w:t>
                  </w:r>
                  <w:r>
                    <w:rPr>
                      <w:color w:val="000000"/>
                      <w:lang w:eastAsia="lt-LT"/>
                    </w:rPr>
                    <w:t>3-iojo VSAFAS „Veiklos rezultatų ataskaita“ 2–5 prieduose nustatytų formų veiklos rezultatų ataskaitas</w:t>
                  </w:r>
                  <w:r>
                    <w:rPr>
                      <w:lang w:eastAsia="lt-LT"/>
                    </w:rPr>
                    <w:t>, prie viešojo sektoriaus subjektų grupės priskiriamų valstybės ir savivaldybės kontroliuojamų pelno siekiančių subjektų sąnaudos pateikiamos straipsnyje „Valdžios sektoriui priskiriamų įmonių sąnaudos“.</w:t>
                  </w:r>
                </w:p>
                <w:p>
                  <w:pPr>
                    <w:widowControl w:val="0"/>
                    <w:tabs>
                      <w:tab w:val="left" w:pos="1701"/>
                    </w:tabs>
                    <w:suppressAutoHyphens/>
                    <w:ind w:firstLine="491"/>
                    <w:jc w:val="both"/>
                    <w:rPr>
                      <w:lang w:eastAsia="lt-LT"/>
                    </w:rPr>
                  </w:pPr>
                </w:p>
              </w:sdtContent>
            </w:sdt>
          </w:sdtContent>
        </w:sdt>
        <w:sdt>
          <w:sdtPr>
            <w:alias w:val="skyrius"/>
            <w:tag w:val="part_7c368be585d84e73a8cfa3de03e6dde3"/>
            <w:lock w:val="sdtLocked"/>
            <w:richText/>
          </w:sdtPr>
          <w:sdtContent>
            <w:p>
              <w:pPr>
                <w:widowControl w:val="0"/>
                <w:suppressAutoHyphens/>
                <w:jc w:val="center"/>
                <w:rPr>
                  <w:b/>
                  <w:bCs/>
                  <w:caps/>
                  <w:color w:val="000000"/>
                  <w:lang w:eastAsia="lt-LT"/>
                </w:rPr>
              </w:pPr>
              <w:sdt>
                <w:sdtPr>
                  <w:alias w:val="Numeris"/>
                  <w:tag w:val="nr_7c368be585d84e73a8cfa3de03e6dde3"/>
                  <w:lock w:val="sdtLocked"/>
                  <w:richText/>
                </w:sdtPr>
                <w:sdtContent>
                  <w:r>
                    <w:rPr>
                      <w:b/>
                      <w:bCs/>
                      <w:caps/>
                      <w:color w:val="000000"/>
                      <w:lang w:eastAsia="lt-LT"/>
                    </w:rPr>
                    <w:t>IV</w:t>
                  </w:r>
                </w:sdtContent>
              </w:sdt>
              <w:r>
                <w:rPr>
                  <w:b/>
                  <w:bCs/>
                  <w:caps/>
                  <w:color w:val="000000"/>
                  <w:lang w:eastAsia="lt-LT"/>
                </w:rPr>
                <w:t xml:space="preserve"> SKYRIUS</w:t>
              </w:r>
            </w:p>
            <w:p>
              <w:pPr>
                <w:widowControl w:val="0"/>
                <w:suppressAutoHyphens/>
                <w:jc w:val="center"/>
                <w:rPr>
                  <w:b/>
                  <w:bCs/>
                  <w:caps/>
                  <w:color w:val="000000"/>
                  <w:lang w:eastAsia="lt-LT"/>
                </w:rPr>
              </w:pPr>
              <w:sdt>
                <w:sdtPr>
                  <w:alias w:val="Pavadinimas"/>
                  <w:tag w:val="title_7c368be585d84e73a8cfa3de03e6dde3"/>
                  <w:lock w:val="sdtLocked"/>
                  <w:richText/>
                </w:sdtPr>
                <w:sdtContent>
                  <w:r>
                    <w:rPr>
                      <w:b/>
                      <w:bCs/>
                      <w:caps/>
                      <w:color w:val="000000"/>
                      <w:lang w:eastAsia="lt-LT"/>
                    </w:rPr>
                    <w:t>INFORMACIJOS PATEIKIMAS FINANSINIŲ ATASKAITŲ RINKINIO AIŠKINAMAJAME RAŠTE</w:t>
                  </w:r>
                </w:sdtContent>
              </w:sdt>
            </w:p>
            <w:p>
              <w:pPr>
                <w:widowControl w:val="0"/>
                <w:suppressAutoHyphens/>
                <w:ind w:firstLine="567"/>
                <w:jc w:val="both"/>
                <w:rPr>
                  <w:color w:val="000000"/>
                  <w:lang w:eastAsia="lt-LT"/>
                </w:rPr>
              </w:pPr>
            </w:p>
            <w:sdt>
              <w:sdtPr>
                <w:alias w:val="15 p."/>
                <w:tag w:val="part_4ceeb0265a7b4b069660eb75639b0876"/>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4ceeb0265a7b4b069660eb75639b0876"/>
                      <w:lock w:val="sdtLocked"/>
                      <w:richText/>
                    </w:sdtPr>
                    <w:sdtContent>
                      <w:r>
                        <w:rPr>
                          <w:color w:val="000000"/>
                          <w:spacing w:val="-1"/>
                          <w:lang w:eastAsia="lt-LT"/>
                        </w:rPr>
                        <w:t>15</w:t>
                      </w:r>
                    </w:sdtContent>
                  </w:sdt>
                  <w:r>
                    <w:rPr>
                      <w:color w:val="000000"/>
                      <w:spacing w:val="-1"/>
                      <w:lang w:eastAsia="lt-LT"/>
                    </w:rPr>
                    <w:t>.</w:t>
                    <w:tab/>
                  </w:r>
                  <w:r>
                    <w:rPr>
                      <w:lang w:eastAsia="lt-LT"/>
                    </w:rPr>
                    <w:t>Viešojo sektoriaus subjektų finansinių ataskaitų rinkinio aiškinamajame rašte (toliau – aiškinamasis raštas) pagal Standarto priede nustatytą formą pateikiama informacija apie:</w:t>
                  </w:r>
                </w:p>
                <w:sdt>
                  <w:sdtPr>
                    <w:alias w:val="15.1 pp."/>
                    <w:tag w:val="part_0a27bd312add4d67900576382f5b5487"/>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0a27bd312add4d67900576382f5b5487"/>
                          <w:lock w:val="sdtLocked"/>
                          <w:richText/>
                        </w:sdtPr>
                        <w:sdtContent>
                          <w:r>
                            <w:rPr>
                              <w:color w:val="000000"/>
                              <w:spacing w:val="-1"/>
                              <w:lang w:eastAsia="lt-LT"/>
                            </w:rPr>
                            <w:t>15.1</w:t>
                          </w:r>
                        </w:sdtContent>
                      </w:sdt>
                      <w:r>
                        <w:rPr>
                          <w:color w:val="000000"/>
                          <w:spacing w:val="-1"/>
                          <w:lang w:eastAsia="lt-LT"/>
                        </w:rPr>
                        <w:t>.</w:t>
                        <w:tab/>
                      </w:r>
                      <w:r>
                        <w:rPr>
                          <w:lang w:eastAsia="lt-LT"/>
                        </w:rPr>
                        <w:t>veiklos rezultatų ataskaitos straipsnyje „Prekių ir paslaugų sąnaudos veiklai“ nurodytas sąnaudas išskiriant pagal jų pobūdį į:</w:t>
                      </w:r>
                    </w:p>
                    <w:sdt>
                      <w:sdtPr>
                        <w:alias w:val="15.1.1 pp."/>
                        <w:tag w:val="part_35cc791a71824c78b7cbcc881e0153da"/>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35cc791a71824c78b7cbcc881e0153da"/>
                              <w:lock w:val="sdtLocked"/>
                              <w:richText/>
                            </w:sdtPr>
                            <w:sdtContent>
                              <w:r>
                                <w:rPr>
                                  <w:color w:val="000000"/>
                                  <w:lang w:eastAsia="lt-LT"/>
                                </w:rPr>
                                <w:t>15.1.1</w:t>
                              </w:r>
                            </w:sdtContent>
                          </w:sdt>
                          <w:r>
                            <w:rPr>
                              <w:color w:val="000000"/>
                              <w:lang w:eastAsia="lt-LT"/>
                            </w:rPr>
                            <w:t>.</w:t>
                            <w:tab/>
                            <w:t>mitybos sąnaudas – darbuotojų maitinimo išlaidų kompensavimo, maisto produktų sunaudojimo ir maitinimo paslaugų sąnaudas, išskyrus reprezentacines sąnaudas. Šių sąnaudų suma pateikiama Standarto priedo 1.1 papunktyje „Mitybos sąnaudos“;</w:t>
                          </w:r>
                        </w:p>
                      </w:sdtContent>
                    </w:sdt>
                    <w:sdt>
                      <w:sdtPr>
                        <w:alias w:val="15.1.2 pp."/>
                        <w:tag w:val="part_23dcfc87c90446779d8d2c5532dea852"/>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23dcfc87c90446779d8d2c5532dea852"/>
                              <w:lock w:val="sdtLocked"/>
                              <w:richText/>
                            </w:sdtPr>
                            <w:sdtContent>
                              <w:r>
                                <w:rPr>
                                  <w:color w:val="000000"/>
                                  <w:lang w:eastAsia="lt-LT"/>
                                </w:rPr>
                                <w:t>15.1.2</w:t>
                              </w:r>
                            </w:sdtContent>
                          </w:sdt>
                          <w:r>
                            <w:rPr>
                              <w:color w:val="000000"/>
                              <w:lang w:eastAsia="lt-LT"/>
                            </w:rPr>
                            <w:t>.</w:t>
                            <w:tab/>
                            <w:t>medikamentų ir medicininių prekių bei paslaugų sąnaudas – atiduotų naudoti medikamentų, medicininių prekių nurašymo sąnaudas ir medicininių paslaugų sąnaudas. Šių sąnaudų suma pateikiama Standarto priedo 1.2 papunktyje „Medikamentų ir medicininių prekių bei paslaugų sąnaudos“;</w:t>
                          </w:r>
                        </w:p>
                      </w:sdtContent>
                    </w:sdt>
                    <w:sdt>
                      <w:sdtPr>
                        <w:alias w:val="15.1.3 pp."/>
                        <w:tag w:val="part_b880f894419144f8af2619a24532b977"/>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b880f894419144f8af2619a24532b977"/>
                              <w:lock w:val="sdtLocked"/>
                              <w:richText/>
                            </w:sdtPr>
                            <w:sdtContent>
                              <w:r>
                                <w:rPr>
                                  <w:color w:val="000000"/>
                                  <w:lang w:eastAsia="lt-LT"/>
                                </w:rPr>
                                <w:t>15.1.3</w:t>
                              </w:r>
                            </w:sdtContent>
                          </w:sdt>
                          <w:r>
                            <w:rPr>
                              <w:color w:val="000000"/>
                              <w:lang w:eastAsia="lt-LT"/>
                            </w:rPr>
                            <w:t>.</w:t>
                            <w:tab/>
                            <w:t>ryšių įrangos ir ryšių paslaugų sąnaudas – ryšių paslaugų (interneto, telefono, fakso, pašto siuntimo ir kitų ryšių paslaugų), ryšio linijos įrengimo, telefonų (išskyrus išmaniuosius telefonus) ir kitos ryšio įrangos nurašymo, remonto ir nuomos sąnaudas ir panašias ryšio prekių ir paslaugų sąnaudas. Šių sąnaudų suma pateikiama Standarto priedo 1.3 papunktyje „Ryšių įrangos ir ryšių paslaugų sąnaudos“;</w:t>
                          </w:r>
                        </w:p>
                      </w:sdtContent>
                    </w:sdt>
                    <w:sdt>
                      <w:sdtPr>
                        <w:alias w:val="15.1.4 pp."/>
                        <w:tag w:val="part_87e427429d8a4ee3befc7ddb6d4c48de"/>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87e427429d8a4ee3befc7ddb6d4c48de"/>
                              <w:lock w:val="sdtLocked"/>
                              <w:richText/>
                            </w:sdtPr>
                            <w:sdtContent>
                              <w:r>
                                <w:rPr>
                                  <w:color w:val="000000"/>
                                  <w:lang w:eastAsia="lt-LT"/>
                                </w:rPr>
                                <w:t>15.1.4</w:t>
                              </w:r>
                            </w:sdtContent>
                          </w:sdt>
                          <w:r>
                            <w:rPr>
                              <w:color w:val="000000"/>
                              <w:lang w:eastAsia="lt-LT"/>
                            </w:rPr>
                            <w:t>.</w:t>
                            <w:tab/>
                            <w:t xml:space="preserve">transporto išlaikymo ir transporto paslaugų sąnaudas – nuosavybės, patikėjimo teise valdomų, naudojamų pagal nuomos arba panaudos sutartis automobilių ir kitų transporto priemonių degalų sunaudojimo, nuomos, eksploatavimo, remonto bei atiduotų naudoti prekių, susijusių su transporto priemonių remontu, nurašymo, transporto draudimo, parkavimo, apsaugos sistemos (signalizacijos) įrengimo, technikos transportavimo, krovinių pervežimo, transporto priemonės perkėlimo keltu, kitas panašias sąnaudas, viešojo sektoriaus subjekto darbuotojų, kaip jie įvardyti </w:t>
                          </w:r>
                          <w:r>
                            <w:t xml:space="preserve">24-ajame VSAFAS </w:t>
                          </w:r>
                          <w:r>
                            <w:rPr>
                              <w:color w:val="000000"/>
                              <w:lang w:eastAsia="lt-LT"/>
                            </w:rPr>
                            <w:t>„Su darbo santykiais susijusios išmokos“, (toliau – darbuotojai) netarnybinių automobilių naudojimo tarnybos reikmėms išlaidų kompensavimo sąnaudas, trečiųjų šalių suteiktų transporto paslaugų sąnaudas (įskaitant taksi paslaugas), išskyrus sąnaudas, patirtas komandiruotės metu, ir paslaugų, susijusių su užsienio valstybių asmenų, delegacijų, svečių ir juos lydinčių asmenų vežimu, sąnaudas. Šių sąnaudų suma pateikiama Standarto priedo 1.4 papunktyje „Transporto išlaikymo ir transporto paslaugų sąnaudos“;</w:t>
                          </w:r>
                        </w:p>
                      </w:sdtContent>
                    </w:sdt>
                    <w:sdt>
                      <w:sdtPr>
                        <w:alias w:val="15.1.5 pp."/>
                        <w:tag w:val="part_40ce337915bb4f13ba925e445a0a79bc"/>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40ce337915bb4f13ba925e445a0a79bc"/>
                              <w:lock w:val="sdtLocked"/>
                              <w:richText/>
                            </w:sdtPr>
                            <w:sdtContent>
                              <w:r>
                                <w:rPr>
                                  <w:color w:val="000000"/>
                                  <w:lang w:eastAsia="lt-LT"/>
                                </w:rPr>
                                <w:t>15.1.5</w:t>
                              </w:r>
                            </w:sdtContent>
                          </w:sdt>
                          <w:r>
                            <w:rPr>
                              <w:color w:val="000000"/>
                              <w:lang w:eastAsia="lt-LT"/>
                            </w:rPr>
                            <w:t>.</w:t>
                            <w:tab/>
                            <w:t>aprangos ir patalynės sunaudojimo ir priežiūros sąnaudas – atiduotų naudoti patalynės, specialių drabužių, uniformų ir kitos aprangos bei nurašymo, skalbimo, tvarkymo ir nuomos sąnaudas, neįskaitant priskiriamų prie socialinių išmokų sąnaudų. Šių sąnaudų suma pateikiama Standarto priedo 1.5 papunktyje „Aprangos ir patalynės sunaudojimo ir priežiūros sąnaudos“;</w:t>
                          </w:r>
                        </w:p>
                      </w:sdtContent>
                    </w:sdt>
                    <w:sdt>
                      <w:sdtPr>
                        <w:alias w:val="15.1.6 pp."/>
                        <w:tag w:val="part_7ba847c6c9dc45a6a09508559938f741"/>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7ba847c6c9dc45a6a09508559938f741"/>
                              <w:lock w:val="sdtLocked"/>
                              <w:richText/>
                            </w:sdtPr>
                            <w:sdtContent>
                              <w:r>
                                <w:rPr>
                                  <w:color w:val="000000"/>
                                  <w:lang w:eastAsia="lt-LT"/>
                                </w:rPr>
                                <w:t>15.1.6</w:t>
                              </w:r>
                            </w:sdtContent>
                          </w:sdt>
                          <w:r>
                            <w:rPr>
                              <w:color w:val="000000"/>
                              <w:lang w:eastAsia="lt-LT"/>
                            </w:rPr>
                            <w:t>.</w:t>
                            <w:tab/>
                            <w:t>komandiruočių sąnaudas – darbuotojų komandiruočių šalies viduje ir užsienyje sąnaudas ir su jomis susijusias apgyvendinimo, maitinimo, dienpinigių sąnaudas, įskaitant transporto paslaugų pirkimo iš trečiųjų šalių sąnaudas. Šioms sąnaudoms taip pat priskiriamos šios komandiruočių sąnaudos: tarnybinio transporto degalų sunaudojimo sąnaudos, kompensacijų degalams įsigyti ir automobilio nusidėvėjimo išlaidoms padengti naudojant netarnybinį transportą sąnaudos, ryšio ir kitų su komandiruote susijusių paslaugų sąnaudos. Šių sąnaudų suma pateikiama Standarto priedo 1.6 papunktyje „Komandiruočių sąnaudos“;</w:t>
                          </w:r>
                        </w:p>
                      </w:sdtContent>
                    </w:sdt>
                    <w:sdt>
                      <w:sdtPr>
                        <w:alias w:val="15.1.7 pp."/>
                        <w:tag w:val="part_f1547542a9384a72856c39cc8a977dda"/>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f1547542a9384a72856c39cc8a977dda"/>
                              <w:lock w:val="sdtLocked"/>
                              <w:richText/>
                            </w:sdtPr>
                            <w:sdtContent>
                              <w:r>
                                <w:rPr>
                                  <w:color w:val="000000"/>
                                  <w:lang w:eastAsia="lt-LT"/>
                                </w:rPr>
                                <w:t>15.1.7</w:t>
                              </w:r>
                            </w:sdtContent>
                          </w:sdt>
                          <w:r>
                            <w:rPr>
                              <w:color w:val="000000"/>
                              <w:lang w:eastAsia="lt-LT"/>
                            </w:rPr>
                            <w:t>.</w:t>
                            <w:tab/>
                            <w:t>materialiojo ir nematerialiojo turto nuomos sąnaudas – turto nuomos sąnaudas, išskyrus ryšių įrangos, transporto priemonių, aprangos ir informacinių technologijų prekių nuomos sąnaudas. Prie šių sąnaudų taip pat priskiriamos institucijų ir įstaigų, sudariusių administracinės paskirties valstybės nekilnojamojo turto valdymo ir priežiūros paslaugų sutartis su centralizuotai valdomo valstybės turto valdytoju, atlygis centralizuotai valdomo valstybės turto valdytojui už administracinės paskirties valstybės nekilnojamojo turto valdymo ir priežiūros paslaugas, apimantis ir nuo jo apskaičiuotą pridėtinės vertės mokestį, ir turto nusidėvėjimo sąnaudas. Šių sąnaudų suma pateikiama Standarto priedo 1.7 papunktyje „Materialiojo ir nematerialiojo turto nuomos sąnaudos“;</w:t>
                          </w:r>
                        </w:p>
                      </w:sdtContent>
                    </w:sdt>
                    <w:sdt>
                      <w:sdtPr>
                        <w:alias w:val="15.1.8 pp."/>
                        <w:tag w:val="part_8b29bcbc69fd47f78776b9a2433ea7da"/>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8b29bcbc69fd47f78776b9a2433ea7da"/>
                              <w:lock w:val="sdtLocked"/>
                              <w:richText/>
                            </w:sdtPr>
                            <w:sdtContent>
                              <w:r>
                                <w:rPr>
                                  <w:color w:val="000000"/>
                                  <w:lang w:eastAsia="lt-LT"/>
                                </w:rPr>
                                <w:t>15.1.8</w:t>
                              </w:r>
                            </w:sdtContent>
                          </w:sdt>
                          <w:r>
                            <w:rPr>
                              <w:color w:val="000000"/>
                              <w:lang w:eastAsia="lt-LT"/>
                            </w:rPr>
                            <w:t>.</w:t>
                            <w:tab/>
                            <w:t xml:space="preserve">materialiojo turto paprastojo remonto prekių ir paslaugų sąnaudas – materialiojo turto ir ūkinio inventoriaus paprastojo remonto darbų, išskyrus ryšių įrangos, transporto priemonių ir </w:t>
                          </w:r>
                          <w:r>
                            <w:rPr>
                              <w:color w:val="000000"/>
                            </w:rPr>
                            <w:t xml:space="preserve">kompiuterinės technikos remonto darbus, </w:t>
                          </w:r>
                          <w:r>
                            <w:rPr>
                              <w:color w:val="000000"/>
                              <w:lang w:eastAsia="lt-LT"/>
                            </w:rPr>
                            <w:t>taip pat techninės priežiūros sąnaudas ir atiduotų remontui naudoti įrankių bei remontui sunaudotų medžiagų sąnaudas ir kitas panašias sąnaudas. Taip pat prie šių sąnaudų priskiriamos priežiūros ir paprastojo remonto darbų, kurie atliekami siekiant naudoti materialųjį turtą jo numatyto tarnavimo laikotarpiu ir kurie nekeičia turto vertės ir jo funkcinių galimybių, bet palaiko jo gerą arba atkuria ankstesnę būklę, sąnaudos. Šių sąnaudų suma pateikiama Standarto priedo 1.8 papunktyje „Materialiojo turto paprastojo remonto prekių ir paslaugų sąnaudos“;</w:t>
                          </w:r>
                        </w:p>
                      </w:sdtContent>
                    </w:sdt>
                    <w:sdt>
                      <w:sdtPr>
                        <w:alias w:val="15.1.9 pp."/>
                        <w:tag w:val="part_775ea334f6704df2989bf815c642ff03"/>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775ea334f6704df2989bf815c642ff03"/>
                              <w:lock w:val="sdtLocked"/>
                              <w:richText/>
                            </w:sdtPr>
                            <w:sdtContent>
                              <w:r>
                                <w:rPr>
                                  <w:color w:val="000000"/>
                                  <w:lang w:eastAsia="lt-LT"/>
                                </w:rPr>
                                <w:t>15.1.9</w:t>
                              </w:r>
                            </w:sdtContent>
                          </w:sdt>
                          <w:r>
                            <w:rPr>
                              <w:color w:val="000000"/>
                              <w:lang w:eastAsia="lt-LT"/>
                            </w:rPr>
                            <w:t>.</w:t>
                            <w:tab/>
                            <w:t>kvalifikacijos kėlimo sąnaudas – sąnaudas darbuotojų profesinei kvalifikacijai, įgūdžiams, žinioms tobulinti, taip pat jų stažuotėms organizuoti, seminarams, konferencijoms, kursams, pratyboms, paskaitoms rengti ir pan. Šių sąnaudų suma pateikiama Standarto priedo 1.9 papunktyje „Kvalifikacijos kėlimo sąnaudos“;</w:t>
                          </w:r>
                        </w:p>
                      </w:sdtContent>
                    </w:sdt>
                    <w:sdt>
                      <w:sdtPr>
                        <w:alias w:val="15.1.10 pp."/>
                        <w:tag w:val="part_6350e6403ba94e22b8081aee877ea6d5"/>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6350e6403ba94e22b8081aee877ea6d5"/>
                              <w:lock w:val="sdtLocked"/>
                              <w:richText/>
                            </w:sdtPr>
                            <w:sdtContent>
                              <w:r>
                                <w:rPr>
                                  <w:color w:val="000000"/>
                                  <w:lang w:eastAsia="lt-LT"/>
                                </w:rPr>
                                <w:t>15.1.10</w:t>
                              </w:r>
                            </w:sdtContent>
                          </w:sdt>
                          <w:r>
                            <w:rPr>
                              <w:color w:val="000000"/>
                              <w:lang w:eastAsia="lt-LT"/>
                            </w:rPr>
                            <w:t>.</w:t>
                            <w:tab/>
                            <w:t>ekspertų ir konsultantų paslaugų sąnaudas – ekspertų ir konsultantų intelektinių paslaugų sąnaudas už atliktas galimybių studijas, mokslinius, statistinius, ekonominius, sociologinius, laboratorinius ir kitus tyrimus, studijas, analizes, vertinimus, audito įmonių atliekamus auditus, teisines paslaugas, finansų konsultacines paslaugas ir pan. Šių sąnaudų suma pateikiama Standarto priedo 1.10 papunktyje „Ekspertų ir konsultantų paslaugų sąnaudos“;</w:t>
                          </w:r>
                        </w:p>
                      </w:sdtContent>
                    </w:sdt>
                    <w:sdt>
                      <w:sdtPr>
                        <w:alias w:val="15.1.11 pp."/>
                        <w:tag w:val="part_e2aecbfeb47341a2a06de5aad79dae64"/>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e2aecbfeb47341a2a06de5aad79dae64"/>
                              <w:lock w:val="sdtLocked"/>
                              <w:richText/>
                            </w:sdtPr>
                            <w:sdtContent>
                              <w:r>
                                <w:rPr>
                                  <w:color w:val="000000"/>
                                  <w:lang w:eastAsia="lt-LT"/>
                                </w:rPr>
                                <w:t>15.1.11</w:t>
                              </w:r>
                            </w:sdtContent>
                          </w:sdt>
                          <w:r>
                            <w:rPr>
                              <w:color w:val="000000"/>
                              <w:lang w:eastAsia="lt-LT"/>
                            </w:rPr>
                            <w:t>.</w:t>
                            <w:tab/>
                            <w:t>komunalinių paslaugų sąnaudas – šildymo sąnaudas, įskaitant šildymui skirto skystojo ir kietojo kuro atvežimo, paruošimo ir sunaudojimo sąnaudas, elektros energijos, vandentiekio, kanalizacijos, nuotekų valymo, šiukšlių išvežimo paslaugų ir panašias paslaugų sąnaudas. Šių sąnaudų suma pateikiama Standarto priedo 1.11 papunktyje „Komunalinių paslaugų sąnaudos“;</w:t>
                          </w:r>
                        </w:p>
                      </w:sdtContent>
                    </w:sdt>
                    <w:sdt>
                      <w:sdtPr>
                        <w:alias w:val="15.1.12 pp."/>
                        <w:tag w:val="part_ff9a2db629a046d199f6eb602069abe8"/>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ff9a2db629a046d199f6eb602069abe8"/>
                              <w:lock w:val="sdtLocked"/>
                              <w:richText/>
                            </w:sdtPr>
                            <w:sdtContent>
                              <w:r>
                                <w:rPr>
                                  <w:color w:val="000000"/>
                                  <w:lang w:eastAsia="lt-LT"/>
                                </w:rPr>
                                <w:t>15.1.12</w:t>
                              </w:r>
                            </w:sdtContent>
                          </w:sdt>
                          <w:r>
                            <w:rPr>
                              <w:color w:val="000000"/>
                              <w:lang w:eastAsia="lt-LT"/>
                            </w:rPr>
                            <w:t>.</w:t>
                            <w:tab/>
                            <w:t>informacinių technologijų prekių ir paslaugų sąnaudas – atiduotų naudoti informacinių technologijų prekių, nepriskiriamų ilgalaikiam materialiajam turtui, (kompiuterinės technikos, jos dalių, monitorių, spausdintuvų, kopijavimo ir daugiafunkcių aparatų, spausdintuvų dažų, USB laikmenų, išmaniųjų telefonų ir kitų informacinių technologijų prekių) nurašymo sąnaudas ir informacinių technologijų paslaugų (</w:t>
                          </w:r>
                          <w:r>
                            <w:rPr>
                              <w:color w:val="000000"/>
                            </w:rPr>
                            <w:t xml:space="preserve">taikomosios ir sisteminės programinės įrangos administravimo, priežiūros, palaikymo ir modifikavimo, informacinių technologijų prekių nuomos ir remonto bei kitų informacinių technologijų paslaugų) sąnaudas. </w:t>
                          </w:r>
                          <w:r>
                            <w:rPr>
                              <w:color w:val="000000"/>
                              <w:lang w:eastAsia="lt-LT"/>
                            </w:rPr>
                            <w:t xml:space="preserve">Šių sąnaudų suma pateikiama Standarto priedo 1.12 papunktyje „Informacinių technologijų prekių ir paslaugų sąnaudos“. </w:t>
                          </w:r>
                          <w:r>
                            <w:rPr>
                              <w:color w:val="000000"/>
                            </w:rPr>
                            <w:t xml:space="preserve">Šioms sąnaudoms nepriskiriama programinės įrangos licencijų priežiūra, palaikymas ir nuoma, kurie, vadovaujantis 13-uoju VSAFAS „Nematerialusis turtas“ ir 19-uoju </w:t>
                          </w:r>
                          <w:r>
                            <w:t>viešojo sektoriaus apskaitos ir finansinės atskaitomybės standartu</w:t>
                          </w:r>
                          <w:r>
                            <w:rPr>
                              <w:color w:val="000000"/>
                            </w:rPr>
                            <w:t xml:space="preserve"> „Nuoma, finansinė nuoma (lizingas) ir kitos turto perdavimo sutartys“, </w:t>
                          </w:r>
                          <w:r>
                            <w:t>patvirtintu Lietuvos Respublikos finansų ministro 2008 m. gegužės 14 d. įsakymu Nr. 1K-176 „Dėl viešojo sektoriaus apskaitos ir finansinės atskaitomybės 19-ojo standarto patvirtinimo“,</w:t>
                          </w:r>
                          <w:r>
                            <w:rPr>
                              <w:color w:val="000000"/>
                            </w:rPr>
                            <w:t xml:space="preserve"> priskiriami nematerialiajam turtui;</w:t>
                          </w:r>
                        </w:p>
                      </w:sdtContent>
                    </w:sdt>
                    <w:sdt>
                      <w:sdtPr>
                        <w:alias w:val="15.1.13 pp."/>
                        <w:tag w:val="part_317303389e2c409bbdc2295abf14f4b8"/>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317303389e2c409bbdc2295abf14f4b8"/>
                              <w:lock w:val="sdtLocked"/>
                              <w:richText/>
                            </w:sdtPr>
                            <w:sdtContent>
                              <w:r>
                                <w:rPr>
                                  <w:color w:val="000000"/>
                                  <w:lang w:eastAsia="lt-LT"/>
                                </w:rPr>
                                <w:t>15.1.13</w:t>
                              </w:r>
                            </w:sdtContent>
                          </w:sdt>
                          <w:r>
                            <w:rPr>
                              <w:color w:val="000000"/>
                              <w:lang w:eastAsia="lt-LT"/>
                            </w:rPr>
                            <w:t>.</w:t>
                            <w:tab/>
                          </w:r>
                          <w:r>
                            <w:rPr>
                              <w:color w:val="000000"/>
                            </w:rPr>
                            <w:t xml:space="preserve">reprezentacines sąnaudas – sąnaudas, turėtas pagal teisės aktų, reglamentuojančių šių išlaidų naudojimą reprezentacijai, nuostatas. </w:t>
                          </w:r>
                          <w:r>
                            <w:rPr>
                              <w:color w:val="000000"/>
                              <w:lang w:eastAsia="lt-LT"/>
                            </w:rPr>
                            <w:t>Šių sąnaudų suma pateikiama Standarto priedo 1.13 papunktyje „</w:t>
                          </w:r>
                          <w:r>
                            <w:rPr>
                              <w:color w:val="000000"/>
                            </w:rPr>
                            <w:t>Reprezentacinės sąnaudos“;</w:t>
                          </w:r>
                        </w:p>
                      </w:sdtContent>
                    </w:sdt>
                    <w:sdt>
                      <w:sdtPr>
                        <w:alias w:val="15.1.14 pp."/>
                        <w:tag w:val="part_e7387aa90621445dbc3b68227e12d5a1"/>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e7387aa90621445dbc3b68227e12d5a1"/>
                              <w:lock w:val="sdtLocked"/>
                              <w:richText/>
                            </w:sdtPr>
                            <w:sdtContent>
                              <w:r>
                                <w:rPr>
                                  <w:color w:val="000000"/>
                                  <w:lang w:eastAsia="lt-LT"/>
                                </w:rPr>
                                <w:t>15.1.14</w:t>
                              </w:r>
                            </w:sdtContent>
                          </w:sdt>
                          <w:r>
                            <w:rPr>
                              <w:color w:val="000000"/>
                              <w:lang w:eastAsia="lt-LT"/>
                            </w:rPr>
                            <w:t>.</w:t>
                            <w:tab/>
                          </w:r>
                          <w:r>
                            <w:rPr>
                              <w:color w:val="000000"/>
                            </w:rPr>
                            <w:t xml:space="preserve">viešinimo sąnaudas – visuomenės informavimo apie įstaigos vykdomą veiklą, kurios yra suteiktos viešosios informacijos rengėjų, skleidėjų, paslaugų sąnaudas, taip pat lauko reklamų, stendų, vaizdo klipų, brošiūrų, lankstinukų, plakatų ir panašių leidinių sunaudojimo, jų gamybos ir (ar) platinimo paslaugų, straipsnių publikavimo, programų transliavimo, konferencijų ir panašių renginių organizavimo sąnaudas bei kitas visuomenės informavimo prekių sunaudojimo ir paslaugų sąnaudas, išskyrus reprezentacines sąnaudas. </w:t>
                          </w:r>
                          <w:r>
                            <w:rPr>
                              <w:color w:val="000000"/>
                              <w:lang w:eastAsia="lt-LT"/>
                            </w:rPr>
                            <w:t>Šių sąnaudų suma pateikiama Standarto priedo 1.14 papunktyje „</w:t>
                          </w:r>
                          <w:r>
                            <w:rPr>
                              <w:color w:val="000000"/>
                            </w:rPr>
                            <w:t>Viešinimo sąnaudos“;</w:t>
                          </w:r>
                        </w:p>
                      </w:sdtContent>
                    </w:sdt>
                    <w:sdt>
                      <w:sdtPr>
                        <w:alias w:val="15.1.15 pp."/>
                        <w:tag w:val="part_3bcf3272320c493184af4eaaaa882604"/>
                        <w:lock w:val="sdtLocked"/>
                        <w:richText/>
                      </w:sdtPr>
                      <w:sdtContent>
                        <w:p>
                          <w:pPr>
                            <w:widowControl w:val="0"/>
                            <w:tabs>
                              <w:tab w:val="left" w:pos="851"/>
                              <w:tab w:val="left" w:pos="993"/>
                              <w:tab w:val="left" w:pos="1276"/>
                              <w:tab w:val="left" w:pos="1560"/>
                            </w:tabs>
                            <w:suppressAutoHyphens/>
                            <w:ind w:firstLine="567"/>
                            <w:jc w:val="both"/>
                            <w:rPr>
                              <w:color w:val="000000"/>
                              <w:lang w:eastAsia="lt-LT"/>
                            </w:rPr>
                          </w:pPr>
                          <w:sdt>
                            <w:sdtPr>
                              <w:alias w:val="Numeris"/>
                              <w:tag w:val="nr_3bcf3272320c493184af4eaaaa882604"/>
                              <w:lock w:val="sdtLocked"/>
                              <w:richText/>
                            </w:sdtPr>
                            <w:sdtContent>
                              <w:r>
                                <w:rPr>
                                  <w:color w:val="000000"/>
                                  <w:lang w:eastAsia="lt-LT"/>
                                </w:rPr>
                                <w:t>15.1.15</w:t>
                              </w:r>
                            </w:sdtContent>
                          </w:sdt>
                          <w:r>
                            <w:rPr>
                              <w:color w:val="000000"/>
                              <w:lang w:eastAsia="lt-LT"/>
                            </w:rPr>
                            <w:t>.</w:t>
                            <w:tab/>
                            <w:t>kitų prekių ir paslaugų sąnaudas subjekto veiklai – Standarto 15.1.1–15.1.14 papunkčiuose nenurodytas prekių ir paslaugų sąnaudas. Šių sąnaudų suma pateikiama Standarto priedo 1.15 papunktyje „Kitų prekių ir paslaugų sąnaudos subjekto veiklai“;</w:t>
                          </w:r>
                        </w:p>
                      </w:sdtContent>
                    </w:sdt>
                  </w:sdtContent>
                </w:sdt>
                <w:sdt>
                  <w:sdtPr>
                    <w:alias w:val="15.2 pp."/>
                    <w:tag w:val="part_987bc36d0a594fdea1c2c6641bf48a96"/>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987bc36d0a594fdea1c2c6641bf48a96"/>
                          <w:lock w:val="sdtLocked"/>
                          <w:richText/>
                        </w:sdtPr>
                        <w:sdtContent>
                          <w:r>
                            <w:rPr>
                              <w:color w:val="000000"/>
                              <w:spacing w:val="-1"/>
                              <w:lang w:eastAsia="lt-LT"/>
                            </w:rPr>
                            <w:t>15.2</w:t>
                          </w:r>
                        </w:sdtContent>
                      </w:sdt>
                      <w:r>
                        <w:rPr>
                          <w:color w:val="000000"/>
                          <w:spacing w:val="-1"/>
                          <w:lang w:eastAsia="lt-LT"/>
                        </w:rPr>
                        <w:t>.</w:t>
                        <w:tab/>
                      </w:r>
                      <w:r>
                        <w:rPr>
                          <w:lang w:eastAsia="lt-LT"/>
                        </w:rPr>
                        <w:t>veiklos rezultatų ataskaitos straipsnyje „Kitos sąnaudos“ nurodytas sąnaudas išskiriant pagal jų pobūdį į:</w:t>
                      </w:r>
                    </w:p>
                    <w:sdt>
                      <w:sdtPr>
                        <w:alias w:val="15.2.1 pp."/>
                        <w:tag w:val="part_911060fcda464276a171600f85324519"/>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911060fcda464276a171600f85324519"/>
                              <w:lock w:val="sdtLocked"/>
                              <w:richText/>
                            </w:sdtPr>
                            <w:sdtContent>
                              <w:r>
                                <w:rPr>
                                  <w:color w:val="000000"/>
                                  <w:spacing w:val="-1"/>
                                  <w:lang w:eastAsia="lt-LT"/>
                                </w:rPr>
                                <w:t>15.2.1</w:t>
                              </w:r>
                            </w:sdtContent>
                          </w:sdt>
                          <w:r>
                            <w:rPr>
                              <w:color w:val="000000"/>
                              <w:spacing w:val="-1"/>
                              <w:lang w:eastAsia="lt-LT"/>
                            </w:rPr>
                            <w:t>.</w:t>
                            <w:tab/>
                            <w:t xml:space="preserve">mokesčių Europos Sąjungai ir kitoms tarptautinėms organizacijoms sąnaudas. </w:t>
                          </w:r>
                          <w:r>
                            <w:rPr>
                              <w:color w:val="000000"/>
                              <w:lang w:eastAsia="lt-LT"/>
                            </w:rPr>
                            <w:t>Šių sąnaudų suma pateikiama Standarto priedo 2.1 papunktyje „</w:t>
                          </w:r>
                          <w:r>
                            <w:rPr>
                              <w:color w:val="000000"/>
                              <w:spacing w:val="-1"/>
                              <w:lang w:eastAsia="lt-LT"/>
                            </w:rPr>
                            <w:t>Mokesčiai Europos Sąjungai ir kitoms tarptautinėms organizacijoms</w:t>
                          </w:r>
                          <w:r>
                            <w:rPr>
                              <w:color w:val="000000"/>
                              <w:lang w:eastAsia="lt-LT"/>
                            </w:rPr>
                            <w:t>“</w:t>
                          </w:r>
                          <w:r>
                            <w:rPr>
                              <w:color w:val="000000"/>
                              <w:spacing w:val="-1"/>
                              <w:lang w:eastAsia="lt-LT"/>
                            </w:rPr>
                            <w:t>;</w:t>
                          </w:r>
                        </w:p>
                      </w:sdtContent>
                    </w:sdt>
                    <w:sdt>
                      <w:sdtPr>
                        <w:alias w:val="15.2.2 pp."/>
                        <w:tag w:val="part_8e6c568489da464092087f2937efed43"/>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8e6c568489da464092087f2937efed43"/>
                              <w:lock w:val="sdtLocked"/>
                              <w:richText/>
                            </w:sdtPr>
                            <w:sdtContent>
                              <w:r>
                                <w:rPr>
                                  <w:color w:val="000000"/>
                                  <w:spacing w:val="-1"/>
                                  <w:lang w:eastAsia="lt-LT"/>
                                </w:rPr>
                                <w:t>15.2.2</w:t>
                              </w:r>
                            </w:sdtContent>
                          </w:sdt>
                          <w:r>
                            <w:rPr>
                              <w:color w:val="000000"/>
                              <w:spacing w:val="-1"/>
                              <w:lang w:eastAsia="lt-LT"/>
                            </w:rPr>
                            <w:t>.</w:t>
                            <w:tab/>
                            <w:t xml:space="preserve">narystės mokesčių sąnaudas. </w:t>
                          </w:r>
                          <w:r>
                            <w:rPr>
                              <w:color w:val="000000"/>
                              <w:lang w:eastAsia="lt-LT"/>
                            </w:rPr>
                            <w:t>Šių sąnaudų suma pateikiama Standarto priedo 2.2 papunktyje „Narystės mokesčiai“</w:t>
                          </w:r>
                          <w:r>
                            <w:rPr>
                              <w:color w:val="000000"/>
                              <w:spacing w:val="-1"/>
                              <w:lang w:eastAsia="lt-LT"/>
                            </w:rPr>
                            <w:t>;</w:t>
                          </w:r>
                        </w:p>
                      </w:sdtContent>
                    </w:sdt>
                    <w:sdt>
                      <w:sdtPr>
                        <w:alias w:val="15.2.3 pp."/>
                        <w:tag w:val="part_9d396a928b8f496ab16bb604231285ba"/>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9d396a928b8f496ab16bb604231285ba"/>
                              <w:lock w:val="sdtLocked"/>
                              <w:richText/>
                            </w:sdtPr>
                            <w:sdtContent>
                              <w:r>
                                <w:rPr>
                                  <w:color w:val="000000"/>
                                  <w:spacing w:val="-1"/>
                                  <w:lang w:eastAsia="lt-LT"/>
                                </w:rPr>
                                <w:t>15.2.3</w:t>
                              </w:r>
                            </w:sdtContent>
                          </w:sdt>
                          <w:r>
                            <w:rPr>
                              <w:color w:val="000000"/>
                              <w:spacing w:val="-1"/>
                              <w:lang w:eastAsia="lt-LT"/>
                            </w:rPr>
                            <w:t>.</w:t>
                            <w:tab/>
                            <w:t xml:space="preserve">veiklos mokesčių sąnaudas (pridėtinės vertės mokesčio, žemės mokesčio sąnaudos ir pan.). </w:t>
                          </w:r>
                          <w:r>
                            <w:rPr>
                              <w:color w:val="000000"/>
                              <w:lang w:eastAsia="lt-LT"/>
                            </w:rPr>
                            <w:t>Šių sąnaudų suma pateikiama Standarto priedo 2.3 papunktyje „Veiklos mokesčiai“</w:t>
                          </w:r>
                          <w:r>
                            <w:rPr>
                              <w:color w:val="000000"/>
                              <w:spacing w:val="-1"/>
                              <w:lang w:eastAsia="lt-LT"/>
                            </w:rPr>
                            <w:t>;</w:t>
                          </w:r>
                        </w:p>
                      </w:sdtContent>
                    </w:sdt>
                    <w:sdt>
                      <w:sdtPr>
                        <w:alias w:val="15.2.4 pp."/>
                        <w:tag w:val="part_4d40c6089d324e7ab6b6126e76d3f899"/>
                        <w:lock w:val="sdtLocked"/>
                        <w:richText/>
                      </w:sdtPr>
                      <w:sdtContent>
                        <w:p>
                          <w:pPr>
                            <w:widowControl w:val="0"/>
                            <w:tabs>
                              <w:tab w:val="left" w:pos="851"/>
                              <w:tab w:val="left" w:pos="993"/>
                            </w:tabs>
                            <w:suppressAutoHyphens/>
                            <w:ind w:firstLine="567"/>
                            <w:jc w:val="both"/>
                            <w:rPr>
                              <w:color w:val="000000"/>
                              <w:spacing w:val="-1"/>
                              <w:lang w:eastAsia="lt-LT"/>
                            </w:rPr>
                          </w:pPr>
                          <w:sdt>
                            <w:sdtPr>
                              <w:alias w:val="Numeris"/>
                              <w:tag w:val="nr_4d40c6089d324e7ab6b6126e76d3f899"/>
                              <w:lock w:val="sdtLocked"/>
                              <w:richText/>
                            </w:sdtPr>
                            <w:sdtContent>
                              <w:r>
                                <w:rPr>
                                  <w:color w:val="000000"/>
                                  <w:spacing w:val="-1"/>
                                  <w:lang w:eastAsia="lt-LT"/>
                                </w:rPr>
                                <w:t>15.2.4</w:t>
                              </w:r>
                            </w:sdtContent>
                          </w:sdt>
                          <w:r>
                            <w:rPr>
                              <w:color w:val="000000"/>
                              <w:spacing w:val="-1"/>
                              <w:lang w:eastAsia="lt-LT"/>
                            </w:rPr>
                            <w:t>.</w:t>
                            <w:tab/>
                            <w:t xml:space="preserve">kitas sąnaudas, prie kurių priskiriamos kitos, negu nurodyta Standarto 15.2.1–15.2.3 papunkčiuose, sąnaudos. </w:t>
                          </w:r>
                          <w:r>
                            <w:rPr>
                              <w:color w:val="000000"/>
                              <w:lang w:eastAsia="lt-LT"/>
                            </w:rPr>
                            <w:t>Šių sąnaudų suma pateikiama Standarto priedo 2.4 papunktyje „Kitos“.</w:t>
                          </w:r>
                        </w:p>
                      </w:sdtContent>
                    </w:sdt>
                  </w:sdtContent>
                </w:sdt>
              </w:sdtContent>
            </w:sdt>
            <w:sdt>
              <w:sdtPr>
                <w:alias w:val="16 p."/>
                <w:tag w:val="part_e0a954dc57d74b6394f5a48075b3ff15"/>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e0a954dc57d74b6394f5a48075b3ff15"/>
                      <w:lock w:val="sdtLocked"/>
                      <w:richText/>
                    </w:sdtPr>
                    <w:sdtContent>
                      <w:r>
                        <w:rPr>
                          <w:color w:val="000000"/>
                          <w:lang w:eastAsia="lt-LT"/>
                        </w:rPr>
                        <w:t>16</w:t>
                      </w:r>
                    </w:sdtContent>
                  </w:sdt>
                  <w:r>
                    <w:rPr>
                      <w:color w:val="000000"/>
                      <w:lang w:eastAsia="lt-LT"/>
                    </w:rPr>
                    <w:t>.</w:t>
                    <w:tab/>
                    <w:t xml:space="preserve">Kiti informacijos apie viešojo sektoriaus subjekto ir viešojo sektoriaus subjektų grupės sąnaudas pateikimo aiškinamajame rašte reikalavimai nustatomi 6-ajame </w:t>
                  </w:r>
                  <w:r>
                    <w:t>viešojo sektoriaus apskaitos ir finansinės atskaitomybės standarte</w:t>
                  </w:r>
                  <w:r>
                    <w:rPr>
                      <w:szCs w:val="24"/>
                      <w:lang w:eastAsia="lt-LT"/>
                    </w:rPr>
                    <w:t xml:space="preserve"> „Finansinių ataskaitų aiškinamasis raštas“</w:t>
                  </w:r>
                  <w:r>
                    <w:rPr>
                      <w:lang w:eastAsia="lt-LT"/>
                    </w:rPr>
                    <w:t>,</w:t>
                  </w:r>
                  <w:r>
                    <w:t xml:space="preserve"> patvirtintame Lietuvos Respublikos finansų ministro 2008 m. rugpjūčio 18 d. įsakymu Nr. 1K-247 „Dėl viešojo sektoriaus apskaitos ir finansinės atskaitomybės 6-ojo standarto patvirtinimo“</w:t>
                  </w:r>
                  <w:r>
                    <w:rPr>
                      <w:color w:val="000000"/>
                      <w:lang w:eastAsia="lt-LT"/>
                    </w:rPr>
                    <w:t xml:space="preserve">, 16-ajame </w:t>
                  </w:r>
                  <w:r>
                    <w:rPr>
                      <w:lang w:eastAsia="lt-LT"/>
                    </w:rPr>
                    <w:t>VSAFAS „Biologinis turtas“</w:t>
                  </w:r>
                  <w:r>
                    <w:rPr>
                      <w:color w:val="000000"/>
                      <w:lang w:eastAsia="lt-LT"/>
                    </w:rPr>
                    <w:t xml:space="preserve"> ir 24-ajame VSAFAS „Su darbo santykiais susijusios išmokos“.</w:t>
                  </w:r>
                </w:p>
                <w:p>
                  <w:pPr>
                    <w:ind w:firstLine="720"/>
                    <w:jc w:val="center"/>
                  </w:pPr>
                  <w:r>
                    <w:rPr>
                      <w:lang w:eastAsia="lt-LT"/>
                    </w:rPr>
                    <w:t>_____________________________________________</w:t>
                  </w:r>
                </w:p>
                <w:p>
                  <w:pPr>
                    <w:rPr>
                      <w:sz w:val="20"/>
                      <w:lang w:eastAsia="lt-LT"/>
                    </w:rPr>
                  </w:pPr>
                </w:p>
                <w:p>
                  <w:pPr>
                    <w:rPr>
                      <w:sz w:val="20"/>
                      <w:lang w:eastAsia="lt-LT"/>
                    </w:rPr>
                    <w:sectPr>
                      <w:pgSz w:w="11906" w:h="16838" w:code="9"/>
                      <w:pgMar w:top="993" w:right="567" w:bottom="993" w:left="1701" w:header="560" w:footer="686" w:gutter="0"/>
                      <w:pgNumType w:start="2"/>
                      <w:cols w:space="1296"/>
                      <w:formProt w:val="0"/>
                      <w:docGrid w:linePitch="326"/>
                    </w:sectPr>
                  </w:pPr>
                </w:p>
                <w:p>
                  <w:pPr>
                    <w:tabs>
                      <w:tab w:val="center" w:pos="4819"/>
                      <w:tab w:val="right" w:pos="9638"/>
                    </w:tabs>
                  </w:pPr>
                </w:p>
              </w:sdtContent>
            </w:sdt>
          </w:sdtContent>
        </w:sdt>
      </w:sdtContent>
    </w:sdt>
    <w:sdt>
      <w:sdtPr>
        <w:alias w:val="pr."/>
        <w:tag w:val="part_8506a1ff04c946e28f67050ef5ddd6a0"/>
        <w:lock w:val="sdtLocked"/>
        <w:richText/>
      </w:sdtPr>
      <w:sdtContent>
        <w:p>
          <w:pPr>
            <w:tabs>
              <w:tab w:val="left" w:pos="5387"/>
            </w:tabs>
            <w:ind w:left="5387"/>
            <w:rPr>
              <w:szCs w:val="24"/>
              <w:lang w:eastAsia="lt-LT"/>
            </w:rPr>
          </w:pPr>
          <w:r>
            <w:rPr>
              <w:szCs w:val="24"/>
              <w:lang w:eastAsia="lt-LT"/>
            </w:rPr>
            <w:t xml:space="preserve">11-ojo viešojo sektoriaus apskaitos ir </w:t>
          </w:r>
        </w:p>
        <w:p>
          <w:pPr>
            <w:tabs>
              <w:tab w:val="left" w:pos="5387"/>
            </w:tabs>
            <w:ind w:left="5387"/>
            <w:rPr>
              <w:szCs w:val="24"/>
              <w:lang w:eastAsia="lt-LT"/>
            </w:rPr>
          </w:pPr>
          <w:r>
            <w:rPr>
              <w:szCs w:val="24"/>
              <w:lang w:eastAsia="lt-LT"/>
            </w:rPr>
            <w:t>finansinės atskaitomybės standarto „Sąnaudos“</w:t>
          </w:r>
        </w:p>
        <w:p>
          <w:pPr>
            <w:tabs>
              <w:tab w:val="left" w:pos="5387"/>
            </w:tabs>
            <w:ind w:left="5387"/>
            <w:rPr>
              <w:szCs w:val="24"/>
              <w:lang w:eastAsia="lt-LT"/>
            </w:rPr>
          </w:pPr>
          <w:r>
            <w:rPr>
              <w:szCs w:val="24"/>
              <w:lang w:eastAsia="lt-LT"/>
            </w:rPr>
            <w:t>priedas</w:t>
          </w:r>
        </w:p>
        <w:p>
          <w:pPr>
            <w:ind w:right="1700"/>
            <w:jc w:val="right"/>
            <w:rPr>
              <w:sz w:val="20"/>
              <w:lang w:eastAsia="lt-LT"/>
            </w:rPr>
          </w:pPr>
        </w:p>
        <w:p>
          <w:pPr>
            <w:jc w:val="center"/>
            <w:rPr>
              <w:b/>
              <w:bCs/>
              <w:sz w:val="22"/>
              <w:szCs w:val="22"/>
              <w:lang w:eastAsia="lt-LT"/>
            </w:rPr>
          </w:pPr>
          <w:sdt>
            <w:sdtPr>
              <w:alias w:val="Pavadinimas"/>
              <w:tag w:val="title_8506a1ff04c946e28f67050ef5ddd6a0"/>
              <w:lock w:val="sdtLocked"/>
              <w:richText/>
            </w:sdtPr>
            <w:sdtContent>
              <w:r>
                <w:rPr>
                  <w:b/>
                  <w:bCs/>
                  <w:sz w:val="22"/>
                  <w:szCs w:val="22"/>
                  <w:lang w:eastAsia="lt-LT"/>
                </w:rPr>
                <w:t>(Informacijos apie prekių, paslaugų ir kitas sąnaudas pagal pobūdį forma)</w:t>
              </w:r>
            </w:sdtContent>
          </w:sdt>
        </w:p>
        <w:p>
          <w:pPr>
            <w:jc w:val="center"/>
            <w:rPr>
              <w:b/>
              <w:bCs/>
              <w:sz w:val="22"/>
              <w:szCs w:val="22"/>
              <w:lang w:eastAsia="lt-LT"/>
            </w:rPr>
          </w:pPr>
        </w:p>
        <w:sdt>
          <w:sdtPr>
            <w:alias w:val="lentele"/>
            <w:tag w:val="part_bcb3ae038ae8481ca8ec67bfef3adddd"/>
            <w:lock w:val="sdtLocked"/>
            <w:richText/>
          </w:sdtPr>
          <w:sdtContent>
            <w:p>
              <w:pPr>
                <w:jc w:val="center"/>
                <w:rPr>
                  <w:b/>
                  <w:bCs/>
                  <w:sz w:val="22"/>
                  <w:szCs w:val="22"/>
                  <w:lang w:eastAsia="lt-LT"/>
                </w:rPr>
              </w:pPr>
              <w:sdt>
                <w:sdtPr>
                  <w:alias w:val="Pavadinimas"/>
                  <w:tag w:val="title_bcb3ae038ae8481ca8ec67bfef3adddd"/>
                  <w:lock w:val="sdtLocked"/>
                  <w:richText/>
                </w:sdtPr>
                <w:sdtContent>
                  <w:r>
                    <w:rPr>
                      <w:b/>
                      <w:bCs/>
                      <w:sz w:val="22"/>
                      <w:szCs w:val="22"/>
                      <w:lang w:eastAsia="lt-LT"/>
                    </w:rPr>
                    <w:t xml:space="preserve">INFORMACIJA APIE PREKIŲ, PASLAUGŲ IR KITAS SĄNAUDAS PAGAL POBŪDĮ </w:t>
                  </w:r>
                </w:sdtContent>
              </w:sdt>
            </w:p>
            <w:p>
              <w:pPr>
                <w:jc w:val="center"/>
                <w:rPr>
                  <w:sz w:val="20"/>
                  <w:lang w:eastAsia="lt-LT"/>
                </w:rPr>
              </w:pPr>
            </w:p>
            <w:tbl>
              <w:tblPr>
                <w:tblW w:w="9610" w:type="dxa"/>
                <w:tblInd w:w="93" w:type="dxa"/>
                <w:tblLook w:val="04A0" w:firstRow="1" w:lastRow="0" w:firstColumn="1" w:lastColumn="0" w:noHBand="0" w:noVBand="1"/>
              </w:tblPr>
              <w:tblGrid>
                <w:gridCol w:w="656"/>
                <w:gridCol w:w="4194"/>
                <w:gridCol w:w="2380"/>
                <w:gridCol w:w="2380"/>
              </w:tblGrid>
              <w:tr>
                <w:trPr>
                  <w:trHeight w:val="630"/>
                </w:trPr>
                <w:tc>
                  <w:tcPr>
                    <w:tcW w:w="656"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bCs/>
                        <w:sz w:val="22"/>
                        <w:szCs w:val="22"/>
                        <w:lang w:eastAsia="lt-LT"/>
                      </w:rPr>
                    </w:pPr>
                    <w:r>
                      <w:rPr>
                        <w:b/>
                        <w:bCs/>
                        <w:sz w:val="22"/>
                        <w:szCs w:val="22"/>
                        <w:lang w:eastAsia="lt-LT"/>
                      </w:rPr>
                      <w:t>Eil. Nr.</w:t>
                    </w:r>
                  </w:p>
                </w:tc>
                <w:tc>
                  <w:tcPr>
                    <w:tcW w:w="4194" w:type="dxa"/>
                    <w:tcBorders>
                      <w:top w:val="single" w:sz="4" w:space="0" w:color="auto"/>
                      <w:left w:val="nil"/>
                      <w:bottom w:val="single" w:sz="4" w:space="0" w:color="auto"/>
                      <w:right w:val="single" w:sz="4" w:space="0" w:color="auto"/>
                    </w:tcBorders>
                    <w:shd w:val="clear" w:color="auto" w:fill="auto"/>
                    <w:vAlign w:val="center"/>
                    <w:hideMark/>
                  </w:tcPr>
                  <w:p>
                    <w:pPr>
                      <w:jc w:val="center"/>
                      <w:rPr>
                        <w:b/>
                        <w:bCs/>
                        <w:sz w:val="22"/>
                        <w:szCs w:val="22"/>
                        <w:lang w:eastAsia="lt-LT"/>
                      </w:rPr>
                    </w:pPr>
                    <w:r>
                      <w:rPr>
                        <w:b/>
                        <w:bCs/>
                        <w:sz w:val="22"/>
                        <w:szCs w:val="22"/>
                        <w:lang w:eastAsia="lt-LT"/>
                      </w:rPr>
                      <w:t>Straipsnio pavadinimas</w:t>
                    </w:r>
                  </w:p>
                </w:tc>
                <w:tc>
                  <w:tcPr>
                    <w:tcW w:w="238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sz w:val="22"/>
                        <w:szCs w:val="22"/>
                        <w:lang w:eastAsia="lt-LT"/>
                      </w:rPr>
                    </w:pPr>
                    <w:r>
                      <w:rPr>
                        <w:b/>
                        <w:bCs/>
                        <w:sz w:val="22"/>
                        <w:szCs w:val="22"/>
                        <w:lang w:eastAsia="lt-LT"/>
                      </w:rPr>
                      <w:t>Ataskaitinis laikotarpis</w:t>
                    </w:r>
                  </w:p>
                </w:tc>
                <w:tc>
                  <w:tcPr>
                    <w:tcW w:w="2380" w:type="dxa"/>
                    <w:tcBorders>
                      <w:top w:val="single" w:sz="4" w:space="0" w:color="auto"/>
                      <w:left w:val="nil"/>
                      <w:bottom w:val="single" w:sz="4" w:space="0" w:color="auto"/>
                      <w:right w:val="single" w:sz="4" w:space="0" w:color="auto"/>
                    </w:tcBorders>
                    <w:shd w:val="clear" w:color="auto" w:fill="auto"/>
                    <w:vAlign w:val="center"/>
                    <w:hideMark/>
                  </w:tcPr>
                  <w:p>
                    <w:pPr>
                      <w:jc w:val="center"/>
                      <w:rPr>
                        <w:b/>
                        <w:bCs/>
                        <w:sz w:val="22"/>
                        <w:szCs w:val="22"/>
                        <w:lang w:eastAsia="lt-LT"/>
                      </w:rPr>
                    </w:pPr>
                    <w:r>
                      <w:rPr>
                        <w:b/>
                        <w:bCs/>
                        <w:sz w:val="22"/>
                        <w:szCs w:val="22"/>
                        <w:lang w:eastAsia="lt-LT"/>
                      </w:rPr>
                      <w:t>Praėjęs ataskaitinis laikotarpis</w:t>
                    </w:r>
                  </w:p>
                </w:tc>
              </w:tr>
              <w:tr>
                <w:trPr>
                  <w:trHeight w:val="255"/>
                </w:trPr>
                <w:tc>
                  <w:tcPr>
                    <w:tcW w:w="656" w:type="dxa"/>
                    <w:tcBorders>
                      <w:top w:val="nil"/>
                      <w:left w:val="single" w:sz="4" w:space="0" w:color="auto"/>
                      <w:bottom w:val="nil"/>
                      <w:right w:val="single" w:sz="4" w:space="0" w:color="auto"/>
                    </w:tcBorders>
                    <w:shd w:val="clear" w:color="auto" w:fill="auto"/>
                    <w:vAlign w:val="center"/>
                    <w:hideMark/>
                  </w:tcPr>
                  <w:p>
                    <w:pPr>
                      <w:jc w:val="center"/>
                      <w:rPr>
                        <w:sz w:val="22"/>
                        <w:szCs w:val="22"/>
                        <w:lang w:eastAsia="lt-LT"/>
                      </w:rPr>
                    </w:pPr>
                    <w:r>
                      <w:rPr>
                        <w:sz w:val="22"/>
                        <w:szCs w:val="22"/>
                        <w:lang w:eastAsia="lt-LT"/>
                      </w:rPr>
                      <w:t>1</w:t>
                    </w:r>
                  </w:p>
                </w:tc>
                <w:tc>
                  <w:tcPr>
                    <w:tcW w:w="4194" w:type="dxa"/>
                    <w:tcBorders>
                      <w:top w:val="nil"/>
                      <w:left w:val="nil"/>
                      <w:bottom w:val="nil"/>
                      <w:right w:val="single" w:sz="4" w:space="0" w:color="auto"/>
                    </w:tcBorders>
                    <w:shd w:val="clear" w:color="auto" w:fill="auto"/>
                    <w:vAlign w:val="center"/>
                    <w:hideMark/>
                  </w:tcPr>
                  <w:p>
                    <w:pPr>
                      <w:jc w:val="center"/>
                      <w:rPr>
                        <w:sz w:val="22"/>
                        <w:szCs w:val="22"/>
                        <w:lang w:eastAsia="lt-LT"/>
                      </w:rPr>
                    </w:pPr>
                    <w:r>
                      <w:rPr>
                        <w:sz w:val="22"/>
                        <w:szCs w:val="22"/>
                        <w:lang w:eastAsia="lt-LT"/>
                      </w:rPr>
                      <w:t>2</w:t>
                    </w:r>
                  </w:p>
                </w:tc>
                <w:tc>
                  <w:tcPr>
                    <w:tcW w:w="2380" w:type="dxa"/>
                    <w:tcBorders>
                      <w:top w:val="nil"/>
                      <w:left w:val="nil"/>
                      <w:bottom w:val="nil"/>
                      <w:right w:val="single" w:sz="4" w:space="0" w:color="auto"/>
                    </w:tcBorders>
                    <w:shd w:val="clear" w:color="auto" w:fill="auto"/>
                    <w:vAlign w:val="center"/>
                    <w:hideMark/>
                  </w:tcPr>
                  <w:p>
                    <w:pPr>
                      <w:jc w:val="center"/>
                      <w:rPr>
                        <w:sz w:val="22"/>
                        <w:szCs w:val="22"/>
                        <w:lang w:eastAsia="lt-LT"/>
                      </w:rPr>
                    </w:pPr>
                    <w:r>
                      <w:rPr>
                        <w:sz w:val="22"/>
                        <w:szCs w:val="22"/>
                        <w:lang w:eastAsia="lt-LT"/>
                      </w:rPr>
                      <w:t>3</w:t>
                    </w:r>
                  </w:p>
                </w:tc>
                <w:tc>
                  <w:tcPr>
                    <w:tcW w:w="2380" w:type="dxa"/>
                    <w:tcBorders>
                      <w:top w:val="nil"/>
                      <w:left w:val="nil"/>
                      <w:bottom w:val="nil"/>
                      <w:right w:val="single" w:sz="4" w:space="0" w:color="auto"/>
                    </w:tcBorders>
                    <w:shd w:val="clear" w:color="auto" w:fill="auto"/>
                    <w:vAlign w:val="center"/>
                    <w:hideMark/>
                  </w:tcPr>
                  <w:p>
                    <w:pPr>
                      <w:jc w:val="center"/>
                      <w:rPr>
                        <w:sz w:val="22"/>
                        <w:szCs w:val="22"/>
                        <w:lang w:eastAsia="lt-LT"/>
                      </w:rPr>
                    </w:pPr>
                    <w:r>
                      <w:rPr>
                        <w:sz w:val="22"/>
                        <w:szCs w:val="22"/>
                        <w:lang w:eastAsia="lt-LT"/>
                      </w:rPr>
                      <w:t>4</w:t>
                    </w:r>
                  </w:p>
                </w:tc>
              </w:tr>
              <w:tr>
                <w:trPr>
                  <w:trHeight w:val="367"/>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1.</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b/>
                        <w:bCs/>
                        <w:sz w:val="22"/>
                        <w:szCs w:val="22"/>
                        <w:lang w:eastAsia="lt-LT"/>
                      </w:rPr>
                    </w:pPr>
                    <w:r>
                      <w:rPr>
                        <w:b/>
                        <w:bCs/>
                        <w:sz w:val="22"/>
                        <w:szCs w:val="22"/>
                        <w:lang w:eastAsia="lt-LT"/>
                      </w:rPr>
                      <w:t>Prekių ir paslaugų sąnaudos subjekto veiklai</w:t>
                    </w: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r>
              <w:tr>
                <w:trPr>
                  <w:trHeight w:val="333"/>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Mitybos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60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1.2.</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Medikamentų ir medicininių prekių bei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22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1.3.</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Ryšių įrangos ir ryšių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379"/>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1.4.</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Transporto išlaikymo ir transporto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60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1.5.</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Aprangos ir patalynės sunaudojimo ir priežiūros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253"/>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1.6.</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Komandiruočių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253"/>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1.7.</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Materialiojo ir nematerialiojo turto nuomos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60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1.8.</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Materialiojo turto paprastojo remonto prekių ir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366"/>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1.9.</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Kvalifikacijos kėlimo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366"/>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1.10.</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Ekspertų ir konsultantų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13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1.11.</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Komunalinių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130"/>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1.12.</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color w:val="000000"/>
                        <w:sz w:val="22"/>
                        <w:szCs w:val="22"/>
                      </w:rPr>
                      <w:t>Informacinių technologijų prekių ir paslaugų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148"/>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1.13.</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Reprezentacinės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179"/>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1.14.</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Viešinimo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198"/>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1.15.</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Kitų prekių ir paslaugų sąnaudos subjekto veiklai</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77"/>
                </w:trPr>
                <w:tc>
                  <w:tcPr>
                    <w:tcW w:w="656"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b/>
                        <w:bCs/>
                        <w:sz w:val="22"/>
                        <w:szCs w:val="22"/>
                        <w:lang w:eastAsia="lt-LT"/>
                      </w:rPr>
                    </w:pPr>
                    <w:r>
                      <w:rPr>
                        <w:b/>
                        <w:bCs/>
                        <w:sz w:val="22"/>
                        <w:szCs w:val="22"/>
                        <w:lang w:eastAsia="lt-LT"/>
                      </w:rPr>
                      <w:t>2.</w:t>
                    </w:r>
                  </w:p>
                </w:tc>
                <w:tc>
                  <w:tcPr>
                    <w:tcW w:w="4194" w:type="dxa"/>
                    <w:tcBorders>
                      <w:top w:val="single" w:sz="4" w:space="0" w:color="auto"/>
                      <w:left w:val="nil"/>
                      <w:bottom w:val="single" w:sz="4" w:space="0" w:color="auto"/>
                      <w:right w:val="single" w:sz="4" w:space="0" w:color="auto"/>
                    </w:tcBorders>
                    <w:shd w:val="clear" w:color="auto" w:fill="auto"/>
                    <w:vAlign w:val="center"/>
                  </w:tcPr>
                  <w:p>
                    <w:pPr>
                      <w:rPr>
                        <w:b/>
                        <w:bCs/>
                        <w:sz w:val="22"/>
                        <w:szCs w:val="22"/>
                        <w:lang w:eastAsia="lt-LT"/>
                      </w:rPr>
                    </w:pPr>
                    <w:r>
                      <w:rPr>
                        <w:b/>
                        <w:bCs/>
                        <w:sz w:val="22"/>
                        <w:szCs w:val="22"/>
                        <w:lang w:eastAsia="lt-LT"/>
                      </w:rPr>
                      <w:t>Kitos sąnaudos</w:t>
                    </w: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c>
                  <w:tcPr>
                    <w:tcW w:w="2380" w:type="dxa"/>
                    <w:tcBorders>
                      <w:top w:val="single" w:sz="4" w:space="0" w:color="auto"/>
                      <w:left w:val="nil"/>
                      <w:bottom w:val="single" w:sz="4" w:space="0" w:color="auto"/>
                      <w:right w:val="single" w:sz="4" w:space="0" w:color="auto"/>
                    </w:tcBorders>
                    <w:shd w:val="clear" w:color="auto" w:fill="auto"/>
                    <w:noWrap/>
                    <w:vAlign w:val="bottom"/>
                  </w:tcPr>
                  <w:p>
                    <w:pPr>
                      <w:ind w:firstLine="57"/>
                      <w:rPr>
                        <w:rFonts w:ascii="Arial" w:hAnsi="Arial" w:cs="Arial"/>
                        <w:sz w:val="22"/>
                        <w:szCs w:val="22"/>
                        <w:lang w:eastAsia="lt-LT"/>
                      </w:rPr>
                    </w:pPr>
                  </w:p>
                </w:tc>
              </w:tr>
              <w:tr>
                <w:trPr>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pPr>
                      <w:rPr>
                        <w:bCs/>
                        <w:sz w:val="22"/>
                        <w:szCs w:val="22"/>
                        <w:lang w:eastAsia="lt-LT"/>
                      </w:rPr>
                    </w:pPr>
                    <w:r>
                      <w:rPr>
                        <w:bCs/>
                        <w:sz w:val="22"/>
                        <w:szCs w:val="22"/>
                        <w:lang w:eastAsia="lt-LT"/>
                      </w:rPr>
                      <w:t>2.1.</w:t>
                    </w:r>
                  </w:p>
                </w:tc>
                <w:tc>
                  <w:tcPr>
                    <w:tcW w:w="4194" w:type="dxa"/>
                    <w:tcBorders>
                      <w:top w:val="nil"/>
                      <w:left w:val="nil"/>
                      <w:bottom w:val="single" w:sz="4" w:space="0" w:color="auto"/>
                      <w:right w:val="single" w:sz="4" w:space="0" w:color="auto"/>
                    </w:tcBorders>
                    <w:shd w:val="clear" w:color="auto" w:fill="auto"/>
                  </w:tcPr>
                  <w:p>
                    <w:pPr>
                      <w:rPr>
                        <w:bCs/>
                        <w:sz w:val="22"/>
                        <w:szCs w:val="22"/>
                        <w:lang w:eastAsia="lt-LT"/>
                      </w:rPr>
                    </w:pPr>
                    <w:r>
                      <w:rPr>
                        <w:bCs/>
                        <w:sz w:val="22"/>
                        <w:szCs w:val="22"/>
                        <w:lang w:eastAsia="lt-LT"/>
                      </w:rPr>
                      <w:t>Mokesčiai Europos Sąjungai ir kitoms tarptautinėms organizacijoms</w:t>
                    </w:r>
                  </w:p>
                </w:tc>
                <w:tc>
                  <w:tcPr>
                    <w:tcW w:w="2380" w:type="dxa"/>
                    <w:tcBorders>
                      <w:top w:val="nil"/>
                      <w:left w:val="nil"/>
                      <w:bottom w:val="single" w:sz="4" w:space="0" w:color="auto"/>
                      <w:right w:val="single" w:sz="4" w:space="0" w:color="auto"/>
                    </w:tcBorders>
                    <w:shd w:val="clear" w:color="auto" w:fill="auto"/>
                    <w:noWrap/>
                    <w:vAlign w:val="bottom"/>
                  </w:tcPr>
                  <w:p>
                    <w:pPr>
                      <w:rPr>
                        <w:rFonts w:ascii="Arial" w:hAnsi="Arial" w:cs="Arial"/>
                        <w:sz w:val="22"/>
                        <w:szCs w:val="22"/>
                        <w:lang w:eastAsia="lt-LT"/>
                      </w:rPr>
                    </w:pPr>
                  </w:p>
                </w:tc>
                <w:tc>
                  <w:tcPr>
                    <w:tcW w:w="2380" w:type="dxa"/>
                    <w:tcBorders>
                      <w:top w:val="nil"/>
                      <w:left w:val="nil"/>
                      <w:bottom w:val="single" w:sz="4" w:space="0" w:color="auto"/>
                      <w:right w:val="single" w:sz="4" w:space="0" w:color="auto"/>
                    </w:tcBorders>
                    <w:shd w:val="clear" w:color="auto" w:fill="auto"/>
                    <w:noWrap/>
                    <w:vAlign w:val="bottom"/>
                  </w:tcPr>
                  <w:p>
                    <w:pPr>
                      <w:rPr>
                        <w:rFonts w:ascii="Arial" w:hAnsi="Arial" w:cs="Arial"/>
                        <w:sz w:val="22"/>
                        <w:szCs w:val="22"/>
                        <w:lang w:eastAsia="lt-LT"/>
                      </w:rPr>
                    </w:pPr>
                  </w:p>
                </w:tc>
              </w:tr>
              <w:tr>
                <w:trPr>
                  <w:trHeight w:val="142"/>
                </w:trPr>
                <w:tc>
                  <w:tcPr>
                    <w:tcW w:w="656" w:type="dxa"/>
                    <w:tcBorders>
                      <w:top w:val="nil"/>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2.2.</w:t>
                    </w:r>
                  </w:p>
                </w:tc>
                <w:tc>
                  <w:tcPr>
                    <w:tcW w:w="4194" w:type="dxa"/>
                    <w:tcBorders>
                      <w:top w:val="nil"/>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Narystės mokesčiai</w:t>
                    </w: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r>
              <w:tr>
                <w:trPr>
                  <w:trHeight w:val="239"/>
                </w:trPr>
                <w:tc>
                  <w:tcPr>
                    <w:tcW w:w="656" w:type="dxa"/>
                    <w:tcBorders>
                      <w:top w:val="nil"/>
                      <w:left w:val="single" w:sz="4" w:space="0" w:color="auto"/>
                      <w:bottom w:val="single" w:sz="4" w:space="0" w:color="auto"/>
                      <w:right w:val="single" w:sz="4" w:space="0" w:color="auto"/>
                    </w:tcBorders>
                    <w:shd w:val="clear" w:color="auto" w:fill="auto"/>
                    <w:noWrap/>
                    <w:vAlign w:val="center"/>
                  </w:tcPr>
                  <w:p>
                    <w:pPr>
                      <w:rPr>
                        <w:sz w:val="22"/>
                        <w:szCs w:val="22"/>
                        <w:lang w:eastAsia="lt-LT"/>
                      </w:rPr>
                    </w:pPr>
                    <w:r>
                      <w:rPr>
                        <w:sz w:val="22"/>
                        <w:szCs w:val="22"/>
                        <w:lang w:eastAsia="lt-LT"/>
                      </w:rPr>
                      <w:t>2.3.</w:t>
                    </w:r>
                  </w:p>
                </w:tc>
                <w:tc>
                  <w:tcPr>
                    <w:tcW w:w="4194" w:type="dxa"/>
                    <w:tcBorders>
                      <w:top w:val="nil"/>
                      <w:left w:val="nil"/>
                      <w:bottom w:val="single" w:sz="4" w:space="0" w:color="auto"/>
                      <w:right w:val="single" w:sz="4" w:space="0" w:color="auto"/>
                    </w:tcBorders>
                    <w:shd w:val="clear" w:color="auto" w:fill="auto"/>
                    <w:vAlign w:val="center"/>
                  </w:tcPr>
                  <w:p>
                    <w:pPr>
                      <w:rPr>
                        <w:sz w:val="22"/>
                        <w:szCs w:val="22"/>
                        <w:lang w:eastAsia="lt-LT"/>
                      </w:rPr>
                    </w:pPr>
                    <w:r>
                      <w:rPr>
                        <w:sz w:val="22"/>
                        <w:szCs w:val="22"/>
                        <w:lang w:eastAsia="lt-LT"/>
                      </w:rPr>
                      <w:t>Veiklos mokesčiai</w:t>
                    </w: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r>
              <w:tr>
                <w:trPr>
                  <w:trHeight w:val="300"/>
                </w:trPr>
                <w:tc>
                  <w:tcPr>
                    <w:tcW w:w="656" w:type="dxa"/>
                    <w:tcBorders>
                      <w:top w:val="nil"/>
                      <w:left w:val="single" w:sz="4" w:space="0" w:color="auto"/>
                      <w:bottom w:val="single" w:sz="4" w:space="0" w:color="auto"/>
                      <w:right w:val="single" w:sz="4" w:space="0" w:color="auto"/>
                    </w:tcBorders>
                    <w:shd w:val="clear" w:color="auto" w:fill="auto"/>
                    <w:noWrap/>
                    <w:vAlign w:val="center"/>
                  </w:tcPr>
                  <w:p>
                    <w:pPr>
                      <w:rPr>
                        <w:bCs/>
                        <w:sz w:val="22"/>
                        <w:szCs w:val="22"/>
                        <w:lang w:eastAsia="lt-LT"/>
                      </w:rPr>
                    </w:pPr>
                    <w:r>
                      <w:rPr>
                        <w:bCs/>
                        <w:sz w:val="22"/>
                        <w:szCs w:val="22"/>
                        <w:lang w:eastAsia="lt-LT"/>
                      </w:rPr>
                      <w:t>2.4.</w:t>
                    </w:r>
                  </w:p>
                </w:tc>
                <w:tc>
                  <w:tcPr>
                    <w:tcW w:w="4194" w:type="dxa"/>
                    <w:tcBorders>
                      <w:top w:val="nil"/>
                      <w:left w:val="nil"/>
                      <w:bottom w:val="single" w:sz="4" w:space="0" w:color="auto"/>
                      <w:right w:val="single" w:sz="4" w:space="0" w:color="auto"/>
                    </w:tcBorders>
                    <w:shd w:val="clear" w:color="auto" w:fill="auto"/>
                  </w:tcPr>
                  <w:p>
                    <w:pPr>
                      <w:rPr>
                        <w:bCs/>
                        <w:sz w:val="22"/>
                        <w:szCs w:val="22"/>
                        <w:lang w:eastAsia="lt-LT"/>
                      </w:rPr>
                    </w:pPr>
                    <w:r>
                      <w:rPr>
                        <w:bCs/>
                        <w:sz w:val="22"/>
                        <w:szCs w:val="22"/>
                        <w:lang w:eastAsia="lt-LT"/>
                      </w:rPr>
                      <w:t>Kitos</w:t>
                    </w: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c>
                  <w:tcPr>
                    <w:tcW w:w="2380" w:type="dxa"/>
                    <w:tcBorders>
                      <w:top w:val="nil"/>
                      <w:left w:val="nil"/>
                      <w:bottom w:val="single" w:sz="4" w:space="0" w:color="auto"/>
                      <w:right w:val="single" w:sz="4" w:space="0" w:color="auto"/>
                    </w:tcBorders>
                    <w:shd w:val="clear" w:color="auto" w:fill="auto"/>
                    <w:noWrap/>
                    <w:vAlign w:val="bottom"/>
                    <w:hideMark/>
                  </w:tcPr>
                  <w:p>
                    <w:pPr>
                      <w:ind w:firstLine="57"/>
                      <w:rPr>
                        <w:rFonts w:ascii="Arial" w:hAnsi="Arial" w:cs="Arial"/>
                        <w:sz w:val="22"/>
                        <w:szCs w:val="22"/>
                        <w:lang w:eastAsia="lt-LT"/>
                      </w:rPr>
                    </w:pPr>
                  </w:p>
                </w:tc>
              </w:tr>
            </w:tbl>
            <w:p/>
          </w:sdtContent>
        </w:sdt>
        <w:sdt>
          <w:sdtPr>
            <w:alias w:val="pastraipa"/>
            <w:tag w:val="part_3ee253c04f9b4649ab7a6be5bd2498d7"/>
            <w:lock w:val="sdtLocked"/>
            <w:richText/>
          </w:sdtPr>
          <w:sdtContent>
            <w:p>
              <w:pPr>
                <w:jc w:val="both"/>
                <w:rPr>
                  <w:sz w:val="20"/>
                  <w:lang w:eastAsia="lt-LT"/>
                </w:rPr>
              </w:pPr>
              <w:r>
                <w:rPr>
                  <w:b/>
                  <w:bCs/>
                  <w:sz w:val="20"/>
                  <w:lang w:eastAsia="lt-LT"/>
                </w:rPr>
                <w:t>Pastaba</w:t>
              </w:r>
              <w:r>
                <w:rPr>
                  <w:sz w:val="20"/>
                  <w:lang w:eastAsia="lt-LT"/>
                </w:rPr>
                <w:t>. Reikšmingos kitų prekių ir paslaugų sąnaudų subjekto veiklai, nurodytų šio priedo 1.15 papunktyje, ir kitų sąnaudų, nurodytų šio priedo 2.4 papunktyje, sumos paaiškinamos finansinių ataskaitų aiškinamojo rašto pastabose.</w:t>
              </w:r>
            </w:p>
            <w:p>
              <w:pPr>
                <w:jc w:val="center"/>
                <w:rPr>
                  <w:sz w:val="20"/>
                  <w:lang w:eastAsia="lt-LT"/>
                </w:rPr>
              </w:pPr>
            </w:p>
          </w:sdtContent>
        </w:sdt>
        <w:sdt>
          <w:sdtPr>
            <w:alias w:val="pastraipa"/>
            <w:tag w:val="part_9066ce07e0ab4338adf0544ec6f9ea8d"/>
            <w:lock w:val="sdtLocked"/>
            <w:richText/>
          </w:sdtPr>
          <w:sdtContent>
            <w:p>
              <w:pPr>
                <w:jc w:val="center"/>
                <w:rPr>
                  <w:sz w:val="20"/>
                  <w:lang w:eastAsia="lt-LT"/>
                </w:rPr>
              </w:pPr>
              <w:r>
                <w:rPr>
                  <w:sz w:val="20"/>
                  <w:lang w:eastAsia="lt-LT"/>
                </w:rPr>
                <w:t>______________________________________</w:t>
              </w:r>
            </w:p>
            <w:p>
              <w:pPr>
                <w:widowControl w:val="0"/>
              </w:pPr>
            </w:p>
          </w:sdtContent>
        </w:sdt>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A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61CA48-20CF-4ED7-B7FB-EFC2ECDC9C2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7709529">
      <w:bodyDiv w:val="1"/>
      <w:marLeft w:val="0"/>
      <w:marRight w:val="0"/>
      <w:marTop w:val="0"/>
      <w:marBottom w:val="0"/>
      <w:divBdr>
        <w:top w:val="none" w:sz="0" w:space="0" w:color="auto"/>
        <w:left w:val="none" w:sz="0" w:space="0" w:color="auto"/>
        <w:bottom w:val="none" w:sz="0" w:space="0" w:color="auto"/>
        <w:right w:val="none" w:sz="0" w:space="0" w:color="auto"/>
      </w:divBdr>
    </w:div>
    <w:div w:id="688028351">
      <w:bodyDiv w:val="1"/>
      <w:marLeft w:val="0"/>
      <w:marRight w:val="0"/>
      <w:marTop w:val="0"/>
      <w:marBottom w:val="0"/>
      <w:divBdr>
        <w:top w:val="none" w:sz="0" w:space="0" w:color="auto"/>
        <w:left w:val="none" w:sz="0" w:space="0" w:color="auto"/>
        <w:bottom w:val="none" w:sz="0" w:space="0" w:color="auto"/>
        <w:right w:val="none" w:sz="0" w:space="0" w:color="auto"/>
      </w:divBdr>
    </w:div>
    <w:div w:id="916860702">
      <w:bodyDiv w:val="1"/>
      <w:marLeft w:val="0"/>
      <w:marRight w:val="0"/>
      <w:marTop w:val="0"/>
      <w:marBottom w:val="0"/>
      <w:divBdr>
        <w:top w:val="none" w:sz="0" w:space="0" w:color="auto"/>
        <w:left w:val="none" w:sz="0" w:space="0" w:color="auto"/>
        <w:bottom w:val="none" w:sz="0" w:space="0" w:color="auto"/>
        <w:right w:val="none" w:sz="0" w:space="0" w:color="auto"/>
      </w:divBdr>
    </w:div>
    <w:div w:id="1645621509">
      <w:bodyDiv w:val="1"/>
      <w:marLeft w:val="0"/>
      <w:marRight w:val="0"/>
      <w:marTop w:val="0"/>
      <w:marBottom w:val="0"/>
      <w:divBdr>
        <w:top w:val="none" w:sz="0" w:space="0" w:color="auto"/>
        <w:left w:val="none" w:sz="0" w:space="0" w:color="auto"/>
        <w:bottom w:val="none" w:sz="0" w:space="0" w:color="auto"/>
        <w:right w:val="none" w:sz="0" w:space="0" w:color="auto"/>
      </w:divBdr>
    </w:div>
    <w:div w:id="19288779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931c402682344a5b9aa9ca9277895f5" PartId="33a6b73d17084e3e898ecdde0e439cb2">
    <Part Type="punktas" Nr="1" Abbr="1 p." DocPartId="53cad128a4a747c78ed54392fe077fa5" PartId="34af513752f8469dbed6d9db22324df3">
      <Part Type="citata" DocPartId="d651aaeaf2f3475da9cd094485817027" PartId="9ef0a9fbbb294e0784069b5f2af425c1">
        <Part Type="pagrindine" DocPartId="3347472b173846c2aed89050df40fa9e" PartId="faaee745de4444928ee84e23d7bf879f">
          <Part Type="preambule" DocPartId="9ccab01ec0e3467684431f263306bbce" PartId="f527ae7ea7f54fbfbd621b4ada737547"/>
          <Part Type="pastraipa" DocPartId="7ed52149f9554d35bc96e1d272981dfa" PartId="d288d8790da345d6802d01eb7a10ed1a"/>
        </Part>
      </Part>
    </Part>
    <Part Type="punktas" Nr="2" Abbr="2 p." DocPartId="99433de2fb7d4ddf906630e6f325c041" PartId="9d496d0b57de422a8627cd41634d3b03"/>
    <Part Type="signatura" DocPartId="366622e739754bcb8fe6f1ab6eeaabc6" PartId="5bf3a4137c414a24a490e59dc4a0b2bd"/>
  </Part>
  <Part Type="patvirtinta" Title="11-ASIS VIEŠOJO SEKTORIAUS APSKAITOS IR FINANSINĖS ATSKAITOMYBĖS STANDARTAS „SĄNAUDOS“" DocPartId="d617ce28b7f0403182b5e1180cd72572" PartId="8ee6d2878b3b4ee9ab20af87c5e991db">
    <Part Type="skyrius" Nr="1" Title="BENDROSIOS NUOSTATOS" DocPartId="22d16f8eb51a450abdfadf6eabf27a83" PartId="8febc298262d4ae6903918651606bf70">
      <Part Type="punktas" Nr="1" Abbr="1 p." DocPartId="df771b4c0614493d9bad5a23488f5e56" PartId="e8a5178d0ee8408195a4a3e326b1c42e"/>
      <Part Type="punktas" Nr="2" Abbr="2 p." DocPartId="fc3e77ffddb44482b6190284556da1c5" PartId="8e77607b72114b14b37bd56f89db8899"/>
      <Part Type="punktas" Nr="3" Abbr="3 p." DocPartId="68196799d9e746be8380f2470dd96133" PartId="19c6f18b460044c7891cec587b28f9d3"/>
      <Part Type="punktas" Nr="4" Abbr="4 p." DocPartId="434e840e4add43f7af4f240751844b56" PartId="84c9b7beb4fe42b9ba4ac189c019b4e2"/>
      <Part Type="punktas" Nr="5" Abbr="5 p." DocPartId="0af6ebe1ee3349f1a6f3aa7341bd16b5" PartId="b1d5cd09ac5a4a67ad1896b4c20b0c2c"/>
    </Part>
    <Part Type="skyrius" Nr="2" Title="SĄNAUDŲ PRIPAŽINIMAS IR ĮVERTINIMAS" DocPartId="b3e24283bc244b81aca212966e216953" PartId="1ae8fb1ca2e1445b9b4cefcb51e10b01">
      <Part Type="punktas" Nr="6" Abbr="6 p." DocPartId="b67a43f3d6f249549e5f74d5ca51a6d7" PartId="7971b90462e6438ca9a0c96c825f837b"/>
      <Part Type="punktas" Nr="7" Abbr="7 p." DocPartId="e81ff82d1a3d47bc8c9cffd4ebbb0f74" PartId="5fe048b6579544dda0f26db1312e9c09"/>
      <Part Type="punktas" Nr="8" Abbr="8 p." DocPartId="811ae7ef5faa49478a3baf6bff2fa9df" PartId="f91a32d8c0a842f1bda75575329cca3b"/>
      <Part Type="punktas" Nr="9" Abbr="9 p." DocPartId="5ffae55671e94b9788ccc1f53daa29ba" PartId="03059b4cc6a24615885ad1ec124877f1"/>
      <Part Type="punktas" Nr="10" Abbr="10 p." DocPartId="e05e74d827bb4341b1da55b2e455fe71" PartId="e2654c4b36cf465a891ca9e5398c4b52"/>
      <Part Type="punktas" Nr="11" Abbr="11 p." DocPartId="5f872e80495849ada186c0d977a0e7fc" PartId="d6cafcdb55f94a259ef206ec0d6e9717"/>
      <Part Type="punktas" Nr="12" Abbr="12 p." DocPartId="c8b34e6c043b4b1ab90859c9ab5cfe59" PartId="2fe7ba4aa3984822920ecb63ad9c968a"/>
    </Part>
    <Part Type="skyrius" Nr="3" Title="SĄNAUDŲ GRUPAVIMAS" DocPartId="7e6e93b9b76948f5a49a3c73fffc847d" PartId="787de0e0481b47c2a9bc1a0dc5fd3133">
      <Part Type="punktas" Nr="13" Abbr="13 p." DocPartId="48389c9ca3ab4397b914466f1b823f79" PartId="dcbec14fcf364b6591204f6ee3e2ad99">
        <Part Type="papunktis" Nr="13.1" Abbr="13.1 pp." DocPartId="3b8b8496a1194f5da11dba92058200a1" PartId="15271260295f4319a1f6aacd5713ab9b"/>
        <Part Type="papunktis" Nr="13.2" Abbr="13.2 pp." DocPartId="a250e281bc274002a4a3b67e629d3e5e" PartId="0bb21eac3089477cb8630985ee7832b9">
          <Part Type="papunktis" Nr="13.2.1" Abbr="13.2.1 pp." DocPartId="f85a86652368418c9790a1d5d1057258" PartId="ac7bd3775b624012b2063843018e22be"/>
          <Part Type="papunktis" Nr="13.2.2" Abbr="13.2.2 pp." DocPartId="3bb610b176b748c597be68c8ea85cc1a" PartId="48c447de8aaf4a3fa7d2bd0443142ada"/>
        </Part>
        <Part Type="papunktis" Nr="13.3" Abbr="13.3 pp." DocPartId="03a236209dd64dd8ae19a0d095897867" PartId="8ccb72dc5ee14c32a24f362425bf08ff"/>
        <Part Type="papunktis" Nr="13.4" Abbr="13.4 pp." DocPartId="bed0f70604c44ae0a5ca4463cf5cc81f" PartId="f066ad9b98084bf9b061ba6283b0a30d"/>
        <Part Type="papunktis" Nr="13.5" Abbr="13.5 pp." DocPartId="88019487bb854cd4bd85a2ad5489580a" PartId="66f80de9b35e4398b78441893c1817ad"/>
        <Part Type="papunktis" Nr="13.6" Abbr="13.6 pp." DocPartId="54b6afdf2cd1432fa3efe8ad1f18c79c" PartId="e2b23adc31024c278b584cd73e4f7df6">
          <Part Type="papunktis" Nr="13.6.1" Abbr="13.6.1 pp." DocPartId="fb2ddf5c56744756b1932aded7d7e219" PartId="ebd9fddbdcb846c5846cdda7612aa4ac"/>
          <Part Type="papunktis" Nr="13.6.2" Abbr="13.6.2 pp." DocPartId="8d9817cb4fe94c1fb4edbc433cf496f7" PartId="c8ec6061af164ba8888444cfde79858d"/>
          <Part Type="papunktis" Nr="13.6.3" Abbr="13.6.3 pp." DocPartId="b478bd271a544eceb085298695d878b8" PartId="8ea37ff794f44daca71f72b02d4c6c5a"/>
        </Part>
        <Part Type="papunktis" Nr="13.7" Abbr="13.7 pp." DocPartId="efb3cf98da5e4d1180fa8a4799ae4812" PartId="dec2141c5d174fc1829eeeb143300d19"/>
        <Part Type="papunktis" Nr="13.8" Abbr="13.8 pp." DocPartId="b24b14a28f84470dabf469d2fa18ac76" PartId="fb122995068b4d09bd30d3fcc2b9ec5b">
          <Part Type="papunktis" Nr="13.8.1" Abbr="13.8.1 pp." DocPartId="d1bf69fce7044f299ccf2c7ace6bfc27" PartId="5caecd24a98a4be1bbab2990aebdd1a8"/>
          <Part Type="papunktis" Nr="13.8.2" Abbr="13.8.2 pp." DocPartId="c8a43ea5861d4e6fa1fa7a4598cc9413" PartId="40909de3cc134fbd84927a9318c260fd"/>
          <Part Type="papunktis" Nr="13.8.3" Abbr="13.8.3 pp." DocPartId="6d66692be1a14a379f3ae1908cd608d2" PartId="b7ef8f8e03bb41c881b6ee65267da888"/>
          <Part Type="papunktis" Nr="13.8.4" Abbr="13.8.4 pp." DocPartId="8c9f10ea54da4997bfab8f672577a501" PartId="ee847db3b1f44ceeb37aec564977b62a"/>
          <Part Type="papunktis" Nr="13.8.5" Abbr="13.8.5 pp." DocPartId="c8633f4f465846b88a006ea16c73ee2f" PartId="62607c86cb1143978813dad9b4d4381f"/>
          <Part Type="papunktis" Nr="13.8.6" Abbr="13.8.6 pp." DocPartId="62ad1c19ae1c41a79532039d364ed0f9" PartId="2739495b7d9d443b8fb230545b85c600"/>
          <Part Type="papunktis" Nr="13.8.7" Abbr="13.8.7 pp." DocPartId="9cfc08411a1742afac404f8dbd1e05e0" PartId="d5ca265b238f48d790b0e50f2a0ee210"/>
        </Part>
        <Part Type="papunktis" Nr="13.9" Abbr="13.9 pp." DocPartId="2dbd397f444d46f6a2bd703d8c116d62" PartId="f7ff1e9415f04f41bfbfb6973ac42296"/>
      </Part>
      <Part Type="punktas" Nr="14" Abbr="14 p." DocPartId="773641351af74e51be50d8d4b2497fc6" PartId="9adcaa39acb74cabb64ca53714c94ac2"/>
    </Part>
    <Part Type="skyrius" Nr="4" Title="INFORMACIJOS PATEIKIMAS FINANSINIŲ ATASKAITŲ RINKINIO AIŠKINAMAJAME RAŠTE" DocPartId="7327722eca274fd797b886b06459be9e" PartId="7c368be585d84e73a8cfa3de03e6dde3">
      <Part Type="punktas" Nr="15" Abbr="15 p." DocPartId="1fb3190111b1444a953286d70ee1fafa" PartId="4ceeb0265a7b4b069660eb75639b0876">
        <Part Type="papunktis" Nr="15.1" Abbr="15.1 pp." DocPartId="366de0e487984d60a15a29555cfcd27c" PartId="0a27bd312add4d67900576382f5b5487">
          <Part Type="papunktis" Nr="15.1.1" Abbr="15.1.1 pp." DocPartId="0300a99fd7774c9db76cf9f82b919a08" PartId="35cc791a71824c78b7cbcc881e0153da"/>
          <Part Type="papunktis" Nr="15.1.2" Abbr="15.1.2 pp." DocPartId="f338fecbac6e4013947ac35478358608" PartId="23dcfc87c90446779d8d2c5532dea852"/>
          <Part Type="papunktis" Nr="15.1.3" Abbr="15.1.3 pp." DocPartId="4b849f7943414086aeeb38dde9ff38e0" PartId="b880f894419144f8af2619a24532b977"/>
          <Part Type="papunktis" Nr="15.1.4" Abbr="15.1.4 pp." DocPartId="ec90b28b6a4f43f1ae2c8a387ff53c80" PartId="87e427429d8a4ee3befc7ddb6d4c48de"/>
          <Part Type="papunktis" Nr="15.1.5" Abbr="15.1.5 pp." DocPartId="961b396044a74297876fce41ec81dfb7" PartId="40ce337915bb4f13ba925e445a0a79bc"/>
          <Part Type="papunktis" Nr="15.1.6" Abbr="15.1.6 pp." DocPartId="a1dff10ee06b4c639a2baebea0849aec" PartId="7ba847c6c9dc45a6a09508559938f741"/>
          <Part Type="papunktis" Nr="15.1.7" Abbr="15.1.7 pp." DocPartId="781714b12a794d9f9a9f45937c3ad3ba" PartId="f1547542a9384a72856c39cc8a977dda"/>
          <Part Type="papunktis" Nr="15.1.8" Abbr="15.1.8 pp." DocPartId="ed3dbee2001d4c21b088be959613d6f2" PartId="8b29bcbc69fd47f78776b9a2433ea7da"/>
          <Part Type="papunktis" Nr="15.1.9" Abbr="15.1.9 pp." DocPartId="e5133728821c4a8a885cacad903bbbc2" PartId="775ea334f6704df2989bf815c642ff03"/>
          <Part Type="papunktis" Nr="15.1.10" Abbr="15.1.10 pp." DocPartId="1889625ca1d24173937e526aee46ec3f" PartId="6350e6403ba94e22b8081aee877ea6d5"/>
          <Part Type="papunktis" Nr="15.1.11" Abbr="15.1.11 pp." DocPartId="83791c243d1b476eb4d0061016d2fc34" PartId="e2aecbfeb47341a2a06de5aad79dae64"/>
          <Part Type="papunktis" Nr="15.1.12" Abbr="15.1.12 pp." DocPartId="594b69a71d0c44acb81f937564a603e7" PartId="ff9a2db629a046d199f6eb602069abe8"/>
          <Part Type="papunktis" Nr="15.1.13" Abbr="15.1.13 pp." DocPartId="367dc506f771442b8b6f5c954d45babc" PartId="317303389e2c409bbdc2295abf14f4b8"/>
          <Part Type="papunktis" Nr="15.1.14" Abbr="15.1.14 pp." DocPartId="2ee7a232c9de4d52bfa710c71e1fae29" PartId="e7387aa90621445dbc3b68227e12d5a1"/>
          <Part Type="papunktis" Nr="15.1.15" Abbr="15.1.15 pp." DocPartId="c5de9e386b094aba943c7c4e3e4c1993" PartId="3bcf3272320c493184af4eaaaa882604"/>
        </Part>
        <Part Type="papunktis" Nr="15.2" Abbr="15.2 pp." DocPartId="091fcc7bfbf44b2491ffecb6a9fd11f7" PartId="987bc36d0a594fdea1c2c6641bf48a96">
          <Part Type="papunktis" Nr="15.2.1" Abbr="15.2.1 pp." DocPartId="21bb8a10408645018d41916885f80628" PartId="911060fcda464276a171600f85324519"/>
          <Part Type="papunktis" Nr="15.2.2" Abbr="15.2.2 pp." DocPartId="b2807560112540129f8422939b008d25" PartId="8e6c568489da464092087f2937efed43"/>
          <Part Type="papunktis" Nr="15.2.3" Abbr="15.2.3 pp." DocPartId="1dc0ed5d3027459583ad1703e2b0ceb8" PartId="9d396a928b8f496ab16bb604231285ba"/>
          <Part Type="papunktis" Nr="15.2.4" Abbr="15.2.4 pp." DocPartId="8854b1c189c542e288e3214c0aef0420" PartId="4d40c6089d324e7ab6b6126e76d3f899"/>
        </Part>
      </Part>
      <Part Type="punktas" Nr="16" Abbr="16 p." DocPartId="d3f5a3fd71c54727be2fabf0c5338acc" PartId="e0a954dc57d74b6394f5a48075b3ff15"/>
    </Part>
  </Part>
  <Part Type="priedas" Abbr="pr." Title="(Informacijos apie prekių, paslaugų ir kitas sąnaudas pagal pobūdį forma)" DocPartId="379777141868417b833d4c3f5c7e1812" PartId="8506a1ff04c946e28f67050ef5ddd6a0">
    <Part Type="lentele" Title="INFORMACIJA APIE PREKIŲ, PASLAUGŲ IR KITAS SĄNAUDAS PAGAL POBŪDĮ" DocPartId="d85df7eb319441d281d227bad73602e9" PartId="bcb3ae038ae8481ca8ec67bfef3adddd"/>
    <Part Type="pastraipa" DocPartId="039d3eb710834e60b4914e3b452e822f" PartId="3ee253c04f9b4649ab7a6be5bd2498d7"/>
    <Part Type="pastraipa" DocPartId="1c9c77b019ee4643ab28509c6d84804f" PartId="9066ce07e0ab4338adf0544ec6f9ea8d"/>
  </Part>
</Parts>
</file>

<file path=customXml/itemProps1.xml><?xml version="1.0" encoding="utf-8"?>
<ds:datastoreItem xmlns:ds="http://schemas.openxmlformats.org/officeDocument/2006/customXml" ds:itemID="{8A0BA55B-B1FC-4BA9-AC91-BE6110224265}">
  <ds:schemaRefs>
    <ds:schemaRef ds:uri="http://schemas.openxmlformats.org/officeDocument/2006/bibliography"/>
  </ds:schemaRefs>
</ds:datastoreItem>
</file>

<file path=customXml/itemProps2.xml><?xml version="1.0" encoding="utf-8"?>
<ds:datastoreItem xmlns:ds="http://schemas.openxmlformats.org/officeDocument/2006/customXml" ds:itemID="{9833118C-F9A3-4FD9-8912-45321ECFEB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3608</Words>
  <Characters>27030</Characters>
  <Application>Microsoft Office Word</Application>
  <DocSecurity>4</DocSecurity>
  <Lines>500</Lines>
  <Paragraphs>164</Paragraphs>
  <ScaleCrop>false</ScaleCrop>
  <HeadingPairs>
    <vt:vector size="2" baseType="variant">
      <vt:variant>
        <vt:lpstr>Pavadinimas</vt:lpstr>
      </vt:variant>
      <vt:variant>
        <vt:i4>1</vt:i4>
      </vt:variant>
    </vt:vector>
  </HeadingPairs>
  <TitlesOfParts>
    <vt:vector size="1" baseType="lpstr">
      <vt:lpstr>LIETUVOS RESPUBLIKOS FINANSŲ MINISTRO</vt:lpstr>
    </vt:vector>
  </TitlesOfParts>
  <Company/>
  <LinksUpToDate>false</LinksUpToDate>
  <CharactersWithSpaces>30474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2024-11-28T06:42:00Z</dcterms:created>
  <dc:creator>Rima</dc:creator>
  <lastModifiedBy>adlibuser</lastModifiedBy>
  <dcterms:modified xsi:type="dcterms:W3CDTF">2024-11-28T06:42:00Z</dcterms:modified>
  <revision>2</revision>
  <dc:title>LIETUVOS RESPUBLIKOS FINANSŲ MINISTRO</dc:title>
</coreProperties>
</file>