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fab867aa57f4fc8b0972f102d41d063"/>
        <w:lock w:val="sdtLocked"/>
        <w:richText/>
      </w:sdtPr>
      <w:sdtContent>
        <w:p>
          <w:pPr>
            <w:tabs>
              <w:tab w:val="center" w:pos="4153"/>
              <w:tab w:val="right" w:pos="8306"/>
            </w:tabs>
          </w:pPr>
        </w:p>
        <w:p>
          <w:pPr>
            <w:tabs>
              <w:tab w:val="center" w:pos="4153"/>
              <w:tab w:val="right" w:pos="8306"/>
            </w:tabs>
            <w:jc w:val="right"/>
          </w:pPr>
          <w:r>
            <w:rPr>
              <w:b/>
              <w:bCs/>
            </w:rPr>
            <w:t>Projektas</w:t>
          </w:r>
        </w:p>
        <w:p>
          <w:pPr>
            <w:tabs>
              <w:tab w:val="center" w:pos="4153"/>
              <w:tab w:val="right" w:pos="8306"/>
            </w:tabs>
            <w:jc w:val="right"/>
            <w:rPr>
              <w:rFonts w:ascii="TimesLT" w:hAnsi="TimesLT"/>
            </w:rPr>
          </w:pPr>
        </w:p>
        <w:p>
          <w:pPr>
            <w:jc w:val="center"/>
            <w:rPr>
              <w:b/>
              <w:bCs/>
              <w:caps/>
              <w:szCs w:val="24"/>
            </w:rPr>
          </w:pPr>
          <w:r>
            <w:rPr>
              <w:b/>
              <w:bCs/>
              <w:caps/>
              <w:szCs w:val="24"/>
            </w:rPr>
            <w:t>LIETUVOS RESPUBLIKOS</w:t>
          </w:r>
        </w:p>
        <w:p>
          <w:pPr>
            <w:jc w:val="center"/>
            <w:rPr>
              <w:b/>
              <w:caps/>
              <w:szCs w:val="24"/>
            </w:rPr>
          </w:pPr>
          <w:r>
            <w:rPr>
              <w:b/>
              <w:caps/>
              <w:szCs w:val="24"/>
            </w:rPr>
            <w:t>2025</w:t>
          </w:r>
          <w:r>
            <w:rPr>
              <w:color w:val="000000"/>
              <w:szCs w:val="24"/>
            </w:rPr>
            <w:t>–</w:t>
          </w:r>
          <w:r>
            <w:rPr>
              <w:b/>
              <w:caps/>
              <w:szCs w:val="24"/>
            </w:rPr>
            <w:t>2027 METŲ BIUDŽETO PATVIRTINIMO</w:t>
          </w:r>
        </w:p>
        <w:p>
          <w:pPr>
            <w:jc w:val="center"/>
            <w:rPr>
              <w:caps/>
              <w:szCs w:val="24"/>
            </w:rPr>
          </w:pPr>
          <w:r>
            <w:rPr>
              <w:b/>
              <w:caps/>
              <w:szCs w:val="24"/>
            </w:rPr>
            <w:t>ĮSTATYMAS</w:t>
          </w:r>
        </w:p>
        <w:p>
          <w:pPr>
            <w:jc w:val="center"/>
            <w:rPr>
              <w:b/>
              <w:caps/>
              <w:szCs w:val="24"/>
            </w:rPr>
          </w:pPr>
        </w:p>
        <w:p>
          <w:pPr>
            <w:jc w:val="center"/>
            <w:rPr>
              <w:szCs w:val="24"/>
            </w:rPr>
          </w:pPr>
          <w:r>
            <w:rPr>
              <w:szCs w:val="24"/>
            </w:rPr>
            <w:t xml:space="preserve">2024 m.                   d. Nr. </w:t>
          </w:r>
        </w:p>
        <w:p>
          <w:pPr>
            <w:jc w:val="center"/>
            <w:rPr>
              <w:szCs w:val="24"/>
            </w:rPr>
          </w:pPr>
          <w:r>
            <w:rPr>
              <w:szCs w:val="24"/>
            </w:rPr>
            <w:t>Vilnius</w:t>
          </w:r>
        </w:p>
        <w:p>
          <w:pPr>
            <w:jc w:val="center"/>
            <w:rPr>
              <w:szCs w:val="24"/>
            </w:rPr>
          </w:pPr>
        </w:p>
        <w:p>
          <w:pPr>
            <w:spacing w:line="360" w:lineRule="auto"/>
            <w:ind w:firstLine="720"/>
            <w:jc w:val="both"/>
            <w:rPr>
              <w:szCs w:val="24"/>
            </w:rPr>
          </w:pPr>
        </w:p>
        <w:p>
          <w:pPr>
            <w:spacing w:line="360" w:lineRule="auto"/>
            <w:jc w:val="center"/>
            <w:rPr>
              <w:rFonts w:eastAsia="Calibri"/>
              <w:b/>
              <w:szCs w:val="24"/>
              <w:lang w:eastAsia="lt-LT"/>
            </w:rPr>
          </w:pPr>
          <w:r>
            <w:rPr>
              <w:rFonts w:eastAsia="Calibri"/>
              <w:b/>
              <w:szCs w:val="24"/>
              <w:lang w:eastAsia="lt-LT"/>
            </w:rPr>
            <w:t>PREAMBULĖ</w:t>
          </w:r>
        </w:p>
        <w:p>
          <w:pPr>
            <w:spacing w:line="360" w:lineRule="auto"/>
            <w:ind w:firstLine="720"/>
            <w:jc w:val="both"/>
            <w:rPr>
              <w:rFonts w:eastAsia="Calibri"/>
              <w:szCs w:val="24"/>
              <w:lang w:eastAsia="lt-LT"/>
            </w:rPr>
          </w:pPr>
        </w:p>
        <w:sdt>
          <w:sdtPr>
            <w:alias w:val="preambule"/>
            <w:tag w:val="part_bf167a31f31242ae805f18e235648c28"/>
            <w:lock w:val="sdtLocked"/>
            <w:richText/>
          </w:sdtPr>
          <w:sdtContent>
            <w:p>
              <w:pPr>
                <w:spacing w:line="360" w:lineRule="auto"/>
                <w:ind w:firstLine="720"/>
                <w:rPr>
                  <w:color w:val="000000"/>
                  <w:szCs w:val="24"/>
                </w:rPr>
              </w:pPr>
              <w:r>
                <w:rPr>
                  <w:color w:val="000000"/>
                  <w:szCs w:val="24"/>
                </w:rPr>
                <w:t>Lietuvos Respublikos Seimas,</w:t>
              </w:r>
            </w:p>
          </w:sdtContent>
        </w:sdt>
        <w:sdt>
          <w:sdtPr>
            <w:alias w:val="pastraipa"/>
            <w:tag w:val="part_37347bf139b7401ca5adf41acaf5d9cf"/>
            <w:lock w:val="sdtLocked"/>
            <w:richText/>
          </w:sdtPr>
          <w:sdtContent>
            <w:p>
              <w:pPr>
                <w:spacing w:line="360" w:lineRule="auto"/>
                <w:ind w:firstLine="720"/>
                <w:jc w:val="both"/>
                <w:rPr>
                  <w:szCs w:val="24"/>
                </w:rPr>
              </w:pPr>
              <w:r>
                <w:rPr>
                  <w:color w:val="000000"/>
                  <w:szCs w:val="24"/>
                </w:rPr>
                <w:t xml:space="preserve">atsižvelgdamas į tai, kad dėl 2022 m. vasario 24 d. pradėtos atviros Rusijos Federacijos karinės agresijos prieš Ukrainą ir jos žmones poveikio pasaulio ekonomikai, išaugusios geopolitinės įtampos lieka poreikis toliau stiprinti Lietuvos Respublikos saugumą, padėti Ukrainos gyventojams, nukentėjusiems dėl Rusijos Federacijos karinės agresijos prieš Ukrainą, </w:t>
              </w:r>
              <w:r>
                <w:rPr>
                  <w:szCs w:val="24"/>
                </w:rPr>
                <w:t>taip pat įvertindamas tai, kad Lietuvos Respublikai gali kilti papildomų ir biudžeto sudarymo metu neapibrėžtų finansinių įsipareigojimų dalyvaujant Europos Sąjungos ir tarptautinėse pagalbos Ukrainai iniciatyvose, įskaitant iniciatyvas, kuriomis prisidedama prie Tarptautiniam valiutos fondui suteikto finansinio užtikrinimo dėl Ukrainos įsipareigojimų Tarptautiniam valiutos fondui vykdymo ir pagalbos Ukrainai teikimo, kaip nurodyta 2023 m. liepos 12 d. Didžiojo septyneto (G7) jungtinėje deklaracijoje dėl pagalbos Ukrainai, prie kurios yra prisijungusi ir Lietuvos Respublika;</w:t>
              </w:r>
            </w:p>
            <w:p>
              <w:pPr>
                <w:spacing w:line="360" w:lineRule="auto"/>
                <w:ind w:firstLine="720"/>
                <w:jc w:val="both"/>
                <w:rPr>
                  <w:color w:val="000000"/>
                  <w:szCs w:val="24"/>
                </w:rPr>
              </w:pPr>
              <w:r>
                <w:rPr>
                  <w:color w:val="000000"/>
                  <w:szCs w:val="24"/>
                </w:rPr>
                <w:t xml:space="preserve">atsižvelgdamas į tai, kad 2025 metais visoms Europos Sąjungos valstybėms narėms bus taikomas Stabilumo ir augimo paktas – 2024 m. balandžio 29 d. Europos Parlamento ir Tarybos reglamentas </w:t>
              </w:r>
              <w:fldSimple w:instr="HYPERLINK http://eur-lex.europa.eu/legal-content/LIT/TXT/?uri=CELEX:32024R1263&amp;locale=lt \t _blank">
                <w:r>
                  <w:rPr>
                    <w:color w:val="0000FF" w:themeColor="hyperlink"/>
                    <w:szCs w:val="24"/>
                    <w:u w:val="single"/>
                  </w:rPr>
                  <w:t>(ES) 2024/1263</w:t>
                </w:r>
              </w:fldSimple>
              <w:r>
                <w:rPr>
                  <w:color w:val="000000"/>
                  <w:szCs w:val="24"/>
                </w:rPr>
                <w:t xml:space="preserve"> dėl veiksmingo ekonominės politikos koordinavimo ir daugiašalės biudžeto priežiūros, kuriuo panaikinamas Tarybos reglamentas </w:t>
              </w:r>
              <w:fldSimple w:instr="HYPERLINK http://eur-lex.europa.eu/legal-content/LIT/TXT/?uri=CELEX:31997R1466&amp;locale=lt \t _blank">
                <w:r>
                  <w:rPr>
                    <w:color w:val="0000FF" w:themeColor="hyperlink"/>
                    <w:szCs w:val="24"/>
                    <w:u w:val="single"/>
                  </w:rPr>
                  <w:t>(EB) Nr. 1466/97</w:t>
                </w:r>
              </w:fldSimple>
              <w:r>
                <w:rPr>
                  <w:color w:val="000000"/>
                  <w:szCs w:val="24"/>
                </w:rPr>
                <w:t>;</w:t>
              </w:r>
            </w:p>
            <w:p>
              <w:pPr>
                <w:spacing w:line="360" w:lineRule="auto"/>
                <w:ind w:firstLine="720"/>
                <w:jc w:val="both"/>
                <w:rPr>
                  <w:szCs w:val="24"/>
                </w:rPr>
              </w:pPr>
              <w:r>
                <w:rPr>
                  <w:color w:val="000000"/>
                  <w:szCs w:val="24"/>
                </w:rPr>
                <w:t>įvertindamas poreikį valdžios sektoriaus skolą vidutiniu laikotarpiu išlaikyti apdairaus lygio, o valdžios sektoriaus deficitą žemiau 3 procentų bendrojo vidaus produkto ribos, kaip nustatyta 2024 m. birželio 19 d. Tarybos rekomendacijoje dėl Lietuvos ekonominės, socialinės, užimtumo, struktūrinės ir biudžeto politikos</w:t>
              </w:r>
              <w:r>
                <w:rPr>
                  <w:szCs w:val="24"/>
                </w:rPr>
                <w:t>,</w:t>
              </w:r>
            </w:p>
            <w:p>
              <w:pPr>
                <w:spacing w:line="360" w:lineRule="auto"/>
                <w:ind w:firstLine="720"/>
                <w:rPr>
                  <w:color w:val="000000"/>
                  <w:szCs w:val="24"/>
                </w:rPr>
              </w:pPr>
              <w:r>
                <w:rPr>
                  <w:color w:val="000000"/>
                  <w:spacing w:val="40"/>
                  <w:szCs w:val="24"/>
                </w:rPr>
                <w:t>priima</w:t>
              </w:r>
              <w:r>
                <w:rPr>
                  <w:color w:val="000000"/>
                  <w:szCs w:val="24"/>
                </w:rPr>
                <w:t xml:space="preserve"> šį įstatymą.</w:t>
              </w:r>
            </w:p>
            <w:p>
              <w:pPr>
                <w:rPr>
                  <w:color w:val="000000"/>
                  <w:szCs w:val="24"/>
                </w:rPr>
              </w:pPr>
            </w:p>
          </w:sdtContent>
        </w:sdt>
        <w:sdt>
          <w:sdtPr>
            <w:alias w:val="1 str."/>
            <w:tag w:val="part_e1ad907c50c34b60954727f41c52a7ea"/>
            <w:lock w:val="sdtLocked"/>
            <w:richText/>
          </w:sdtPr>
          <w:sdtContent>
            <w:p>
              <w:pPr>
                <w:widowControl w:val="0"/>
                <w:spacing w:line="360" w:lineRule="auto"/>
                <w:ind w:left="2268" w:hanging="1548"/>
                <w:jc w:val="both"/>
                <w:rPr>
                  <w:b/>
                  <w:szCs w:val="24"/>
                </w:rPr>
              </w:pPr>
              <w:sdt>
                <w:sdtPr>
                  <w:alias w:val="Numeris"/>
                  <w:tag w:val="nr_e1ad907c50c34b60954727f41c52a7ea"/>
                  <w:lock w:val="sdtLocked"/>
                  <w:richText/>
                </w:sdtPr>
                <w:sdtContent>
                  <w:r>
                    <w:rPr>
                      <w:b/>
                      <w:szCs w:val="24"/>
                    </w:rPr>
                    <w:t>1</w:t>
                  </w:r>
                </w:sdtContent>
              </w:sdt>
              <w:r>
                <w:rPr>
                  <w:b/>
                  <w:szCs w:val="24"/>
                </w:rPr>
                <w:t xml:space="preserve"> straipsnis. </w:t>
              </w:r>
              <w:sdt>
                <w:sdtPr>
                  <w:alias w:val="Pavadinimas"/>
                  <w:tag w:val="title_e1ad907c50c34b60954727f41c52a7ea"/>
                  <w:lock w:val="sdtLocked"/>
                  <w:richText/>
                </w:sdtPr>
                <w:sdtContent>
                  <w:r>
                    <w:rPr>
                      <w:b/>
                      <w:szCs w:val="24"/>
                    </w:rPr>
                    <w:t>Agreguotų Lietuvos Respublikos 2025</w:t>
                  </w:r>
                  <w:r>
                    <w:rPr>
                      <w:color w:val="000000"/>
                      <w:szCs w:val="24"/>
                    </w:rPr>
                    <w:t>–</w:t>
                  </w:r>
                  <w:r>
                    <w:rPr>
                      <w:b/>
                      <w:szCs w:val="24"/>
                    </w:rPr>
                    <w:t>2027 metų konsoliduotojo biudžeto pajamų ir 2025</w:t>
                  </w:r>
                  <w:r>
                    <w:rPr>
                      <w:color w:val="000000"/>
                      <w:szCs w:val="24"/>
                    </w:rPr>
                    <w:t>–</w:t>
                  </w:r>
                  <w:r>
                    <w:rPr>
                      <w:b/>
                      <w:szCs w:val="24"/>
                    </w:rPr>
                    <w:t>2027 metų a</w:t>
                  </w:r>
                  <w:r>
                    <w:rPr>
                      <w:b/>
                      <w:bCs/>
                      <w:szCs w:val="24"/>
                      <w:lang w:eastAsia="lt-LT"/>
                    </w:rPr>
                    <w:t>greguoto asignavimų limito</w:t>
                  </w:r>
                  <w:r>
                    <w:rPr>
                      <w:b/>
                      <w:szCs w:val="24"/>
                    </w:rPr>
                    <w:t xml:space="preserve"> patvirtinimas</w:t>
                  </w:r>
                </w:sdtContent>
              </w:sdt>
            </w:p>
            <w:sdt>
              <w:sdtPr>
                <w:alias w:val="1 str. 1 d."/>
                <w:tag w:val="part_604993e5e46b4e6e9bf46a9c391ccdf5"/>
                <w:lock w:val="sdtLocked"/>
                <w:richText/>
              </w:sdtPr>
              <w:sdtContent>
                <w:p>
                  <w:pPr>
                    <w:widowControl w:val="0"/>
                    <w:spacing w:line="360" w:lineRule="auto"/>
                    <w:ind w:firstLine="720"/>
                    <w:jc w:val="both"/>
                    <w:rPr>
                      <w:szCs w:val="24"/>
                      <w:lang w:eastAsia="lt-LT"/>
                    </w:rPr>
                  </w:pPr>
                  <w:r>
                    <w:rPr>
                      <w:szCs w:val="24"/>
                      <w:lang w:eastAsia="lt-LT"/>
                    </w:rPr>
                    <w:t>Šiuo įstatymu patvirtinama:</w:t>
                  </w:r>
                </w:p>
                <w:sdt>
                  <w:sdtPr>
                    <w:alias w:val="1 str. 1 d. 1 p."/>
                    <w:tag w:val="part_5828638ed8d546d1be83cd6a7af7f078"/>
                    <w:lock w:val="sdtLocked"/>
                    <w:richText/>
                  </w:sdtPr>
                  <w:sdtContent>
                    <w:p>
                      <w:pPr>
                        <w:widowControl w:val="0"/>
                        <w:spacing w:line="360" w:lineRule="auto"/>
                        <w:ind w:firstLine="720"/>
                        <w:jc w:val="both"/>
                        <w:rPr>
                          <w:szCs w:val="24"/>
                          <w:lang w:eastAsia="lt-LT"/>
                        </w:rPr>
                      </w:pPr>
                      <w:sdt>
                        <w:sdtPr>
                          <w:alias w:val="Numeris"/>
                          <w:tag w:val="nr_5828638ed8d546d1be83cd6a7af7f078"/>
                          <w:lock w:val="sdtLocked"/>
                          <w:richText/>
                        </w:sdtPr>
                        <w:sdtContent>
                          <w:r>
                            <w:rPr>
                              <w:szCs w:val="24"/>
                              <w:lang w:eastAsia="lt-LT"/>
                            </w:rPr>
                            <w:t>1</w:t>
                          </w:r>
                        </w:sdtContent>
                      </w:sdt>
                      <w:r>
                        <w:rPr>
                          <w:szCs w:val="24"/>
                          <w:lang w:eastAsia="lt-LT"/>
                        </w:rPr>
                        <w:t>)</w:t>
                        <w:tab/>
                        <w:t>agreguotos Lietuvos Respublikos 2025–2027 metų konsoliduotojo biudžeto pajamos – 30 211 285 tūkst. eurų 2025 metams, 32 177 089 tūkst. eurų 2026 metams ir 33 972 430 tūkst. eurų 2027 metams (1 priedas);</w:t>
                      </w:r>
                    </w:p>
                  </w:sdtContent>
                </w:sdt>
                <w:sdt>
                  <w:sdtPr>
                    <w:alias w:val="1 str. 1 d. 2 p."/>
                    <w:tag w:val="part_6b60ec6873124dea8388be40b9a46b77"/>
                    <w:lock w:val="sdtLocked"/>
                    <w:richText/>
                  </w:sdtPr>
                  <w:sdtContent>
                    <w:p>
                      <w:pPr>
                        <w:widowControl w:val="0"/>
                        <w:spacing w:line="360" w:lineRule="auto"/>
                        <w:ind w:firstLine="720"/>
                        <w:jc w:val="both"/>
                        <w:rPr>
                          <w:szCs w:val="24"/>
                          <w:lang w:eastAsia="lt-LT"/>
                        </w:rPr>
                      </w:pPr>
                      <w:sdt>
                        <w:sdtPr>
                          <w:alias w:val="Numeris"/>
                          <w:tag w:val="nr_6b60ec6873124dea8388be40b9a46b77"/>
                          <w:lock w:val="sdtLocked"/>
                          <w:richText/>
                        </w:sdtPr>
                        <w:sdtContent>
                          <w:r>
                            <w:rPr>
                              <w:szCs w:val="24"/>
                              <w:lang w:eastAsia="lt-LT"/>
                            </w:rPr>
                            <w:t>2</w:t>
                          </w:r>
                        </w:sdtContent>
                      </w:sdt>
                      <w:r>
                        <w:rPr>
                          <w:szCs w:val="24"/>
                          <w:lang w:eastAsia="lt-LT"/>
                        </w:rPr>
                        <w:t>)</w:t>
                        <w:tab/>
                        <w:t xml:space="preserve">2025–2027 metų agreguotas asignavimų limitas – 34 440 321 tūkst. eurų 2025 metams, 35 946 569 tūkst. eurų 2026 metams ir 36 538 585 tūkst. eurų 2027 metams (1 priedas). </w:t>
                      </w:r>
                    </w:p>
                    <w:p>
                      <w:pPr>
                        <w:widowControl w:val="0"/>
                        <w:spacing w:line="360" w:lineRule="auto"/>
                        <w:ind w:left="2268" w:hanging="1548"/>
                        <w:jc w:val="both"/>
                        <w:rPr>
                          <w:szCs w:val="24"/>
                          <w:lang w:eastAsia="lt-LT"/>
                        </w:rPr>
                      </w:pPr>
                    </w:p>
                  </w:sdtContent>
                </w:sdt>
              </w:sdtContent>
            </w:sdt>
          </w:sdtContent>
        </w:sdt>
        <w:sdt>
          <w:sdtPr>
            <w:alias w:val="2 str."/>
            <w:tag w:val="part_77b9653e5cce4b7fab4ed844b98747ba"/>
            <w:lock w:val="sdtLocked"/>
            <w:richText/>
          </w:sdtPr>
          <w:sdtContent>
            <w:p>
              <w:pPr>
                <w:widowControl w:val="0"/>
                <w:spacing w:line="360" w:lineRule="auto"/>
                <w:ind w:left="2268" w:hanging="1548"/>
                <w:jc w:val="both"/>
                <w:rPr>
                  <w:szCs w:val="24"/>
                </w:rPr>
              </w:pPr>
              <w:sdt>
                <w:sdtPr>
                  <w:alias w:val="Numeris"/>
                  <w:tag w:val="nr_77b9653e5cce4b7fab4ed844b98747ba"/>
                  <w:lock w:val="sdtLocked"/>
                  <w:richText/>
                </w:sdtPr>
                <w:sdtContent>
                  <w:r>
                    <w:rPr>
                      <w:b/>
                      <w:szCs w:val="24"/>
                    </w:rPr>
                    <w:t>2</w:t>
                  </w:r>
                </w:sdtContent>
              </w:sdt>
              <w:r>
                <w:rPr>
                  <w:b/>
                  <w:szCs w:val="24"/>
                </w:rPr>
                <w:t xml:space="preserve"> straipsnis. </w:t>
              </w:r>
              <w:sdt>
                <w:sdtPr>
                  <w:alias w:val="Pavadinimas"/>
                  <w:tag w:val="title_77b9653e5cce4b7fab4ed844b98747ba"/>
                  <w:lock w:val="sdtLocked"/>
                  <w:richText/>
                </w:sdtPr>
                <w:sdtContent>
                  <w:r>
                    <w:rPr>
                      <w:b/>
                      <w:szCs w:val="24"/>
                    </w:rPr>
                    <w:t>Lietuvos Respublikos 2025 metų valstybės biudžeto pajamų, Lietuvos Respublikos 2025</w:t>
                  </w:r>
                  <w:r>
                    <w:rPr>
                      <w:color w:val="000000"/>
                      <w:szCs w:val="24"/>
                    </w:rPr>
                    <w:t>–</w:t>
                  </w:r>
                  <w:r>
                    <w:rPr>
                      <w:b/>
                      <w:szCs w:val="24"/>
                    </w:rPr>
                    <w:t>2027 metų valstybės biudžeto asignavimų ir biudžetinių įstaigų, kurios yra valstybės biudžeto asignavimų valdytojos, 2025 metų pajamų patvirtinimas</w:t>
                  </w:r>
                </w:sdtContent>
              </w:sdt>
            </w:p>
            <w:sdt>
              <w:sdtPr>
                <w:alias w:val="2 str. 1 d."/>
                <w:tag w:val="part_434c8789faa642edaaf980b614e35c42"/>
                <w:lock w:val="sdtLocked"/>
                <w:richText/>
              </w:sdtPr>
              <w:sdtContent>
                <w:p>
                  <w:pPr>
                    <w:widowControl w:val="0"/>
                    <w:spacing w:line="360" w:lineRule="auto"/>
                    <w:ind w:firstLine="720"/>
                    <w:jc w:val="both"/>
                    <w:rPr>
                      <w:szCs w:val="24"/>
                      <w:lang w:eastAsia="lt-LT"/>
                    </w:rPr>
                  </w:pPr>
                  <w:r>
                    <w:rPr>
                      <w:szCs w:val="24"/>
                      <w:lang w:eastAsia="lt-LT"/>
                    </w:rPr>
                    <w:t>Šiuo įstatymu patvirtinama:</w:t>
                  </w:r>
                </w:p>
                <w:sdt>
                  <w:sdtPr>
                    <w:alias w:val="2 str. 1 d. 1 p."/>
                    <w:tag w:val="part_fe6d0905ceb246d09e5bdf849028258d"/>
                    <w:lock w:val="sdtLocked"/>
                    <w:richText/>
                  </w:sdtPr>
                  <w:sdtContent>
                    <w:p>
                      <w:pPr>
                        <w:widowControl w:val="0"/>
                        <w:spacing w:line="360" w:lineRule="auto"/>
                        <w:ind w:firstLine="720"/>
                        <w:jc w:val="both"/>
                        <w:rPr>
                          <w:rFonts w:eastAsia="Calibri"/>
                          <w:szCs w:val="24"/>
                          <w:lang w:eastAsia="lt-LT"/>
                        </w:rPr>
                      </w:pPr>
                      <w:sdt>
                        <w:sdtPr>
                          <w:alias w:val="Numeris"/>
                          <w:tag w:val="nr_fe6d0905ceb246d09e5bdf849028258d"/>
                          <w:lock w:val="sdtLocked"/>
                          <w:richText/>
                        </w:sdtPr>
                        <w:sdtContent>
                          <w:r>
                            <w:rPr>
                              <w:szCs w:val="24"/>
                              <w:lang w:eastAsia="lt-LT"/>
                            </w:rPr>
                            <w:t>1</w:t>
                          </w:r>
                        </w:sdtContent>
                      </w:sdt>
                      <w:r>
                        <w:rPr>
                          <w:szCs w:val="24"/>
                          <w:lang w:eastAsia="lt-LT"/>
                        </w:rPr>
                        <w:t>)</w:t>
                        <w:tab/>
                        <w:t>Lietuvos Respublikos 2025 metų valstybės biudžeto pajamos – 17 978 765</w:t>
                      </w:r>
                      <w:r>
                        <w:rPr>
                          <w:bCs/>
                          <w:szCs w:val="24"/>
                        </w:rPr>
                        <w:t xml:space="preserve"> </w:t>
                      </w:r>
                      <w:r>
                        <w:rPr>
                          <w:szCs w:val="24"/>
                          <w:lang w:eastAsia="lt-LT"/>
                        </w:rPr>
                        <w:t>tūkst. eurų (įskaitant 2 445 930 tūkst. eurų Europos Sąjungos ir kitos tarptautinės finansinės paramos lėšas) (2 priedas);</w:t>
                      </w:r>
                    </w:p>
                  </w:sdtContent>
                </w:sdt>
                <w:sdt>
                  <w:sdtPr>
                    <w:alias w:val="2 str. 1 d. 2 p."/>
                    <w:tag w:val="part_2d925b828ef64307a5ee39d61ae764dc"/>
                    <w:lock w:val="sdtLocked"/>
                    <w:richText/>
                  </w:sdtPr>
                  <w:sdtContent>
                    <w:p>
                      <w:pPr>
                        <w:widowControl w:val="0"/>
                        <w:spacing w:line="360" w:lineRule="auto"/>
                        <w:ind w:firstLine="720"/>
                        <w:jc w:val="both"/>
                        <w:rPr>
                          <w:rFonts w:eastAsia="Calibri"/>
                          <w:szCs w:val="24"/>
                          <w:lang w:eastAsia="lt-LT"/>
                        </w:rPr>
                      </w:pPr>
                      <w:sdt>
                        <w:sdtPr>
                          <w:alias w:val="Numeris"/>
                          <w:tag w:val="nr_2d925b828ef64307a5ee39d61ae764dc"/>
                          <w:lock w:val="sdtLocked"/>
                          <w:richText/>
                        </w:sdtPr>
                        <w:sdtContent>
                          <w:r>
                            <w:rPr>
                              <w:szCs w:val="24"/>
                              <w:lang w:eastAsia="lt-LT"/>
                            </w:rPr>
                            <w:t>2</w:t>
                          </w:r>
                        </w:sdtContent>
                      </w:sdt>
                      <w:r>
                        <w:rPr>
                          <w:szCs w:val="24"/>
                          <w:lang w:eastAsia="lt-LT"/>
                        </w:rPr>
                        <w:t>)</w:t>
                        <w:tab/>
                        <w:t xml:space="preserve"> Lietuvos Respublikos 2025</w:t>
                      </w:r>
                      <w:r>
                        <w:rPr>
                          <w:color w:val="000000"/>
                          <w:szCs w:val="24"/>
                        </w:rPr>
                        <w:t>–</w:t>
                      </w:r>
                      <w:r>
                        <w:rPr>
                          <w:bCs/>
                          <w:szCs w:val="24"/>
                        </w:rPr>
                        <w:t>2027</w:t>
                      </w:r>
                      <w:r>
                        <w:rPr>
                          <w:b/>
                          <w:szCs w:val="24"/>
                        </w:rPr>
                        <w:t xml:space="preserve"> </w:t>
                      </w:r>
                      <w:r>
                        <w:rPr>
                          <w:szCs w:val="24"/>
                          <w:lang w:eastAsia="lt-LT"/>
                        </w:rPr>
                        <w:t>metų valstybės biudžeto asignavimai. Lietuvos Respublikos 2025 metų valstybės biudžeto asignavimai – 23 021 387 tūkst. eurų (įskaitant 3 586 001 tūkst. eurų Europos Sąjungos ir kitos tarptautinės finansinės paramos lėšas), kartu su Europos Sąjungos ir kitos tarptautinės finansinės paramos lėšomis asignavimai viršija 2025 metų valstybės biudžeto pajamas 5 042 622 tūkst. eurų. Lietuvos Respublikos 2026 metų valstybės biudžeto asignavimai – 23 623 747 tūkst. eurų, 2027 metų – 23 447 254 tūkst. eurų (3 priedas);</w:t>
                      </w:r>
                    </w:p>
                  </w:sdtContent>
                </w:sdt>
                <w:sdt>
                  <w:sdtPr>
                    <w:alias w:val="2 str. 1 d. 3 p."/>
                    <w:tag w:val="part_527cd9a6eba844668f4f4e5760150717"/>
                    <w:lock w:val="sdtLocked"/>
                    <w:richText/>
                  </w:sdtPr>
                  <w:sdtContent>
                    <w:p>
                      <w:pPr>
                        <w:widowControl w:val="0"/>
                        <w:spacing w:line="360" w:lineRule="auto"/>
                        <w:ind w:firstLine="720"/>
                        <w:jc w:val="both"/>
                        <w:rPr>
                          <w:rFonts w:eastAsia="Calibri"/>
                          <w:szCs w:val="24"/>
                          <w:lang w:eastAsia="lt-LT"/>
                        </w:rPr>
                      </w:pPr>
                      <w:sdt>
                        <w:sdtPr>
                          <w:alias w:val="Numeris"/>
                          <w:tag w:val="nr_527cd9a6eba844668f4f4e5760150717"/>
                          <w:lock w:val="sdtLocked"/>
                          <w:richText/>
                        </w:sdtPr>
                        <w:sdtContent>
                          <w:r>
                            <w:rPr>
                              <w:szCs w:val="24"/>
                              <w:lang w:eastAsia="lt-LT"/>
                            </w:rPr>
                            <w:t>3</w:t>
                          </w:r>
                        </w:sdtContent>
                      </w:sdt>
                      <w:r>
                        <w:rPr>
                          <w:szCs w:val="24"/>
                          <w:lang w:eastAsia="lt-LT"/>
                        </w:rPr>
                        <w:t>)</w:t>
                        <w:tab/>
                        <w:t xml:space="preserve"> biudžetinių įstaigų, kurios yra valstybės biudžeto asignavimų valdytojos, 2025 metų pajamos – 549 894 tūkst. eurų (4 priedas). </w:t>
                      </w:r>
                    </w:p>
                    <w:p>
                      <w:pPr>
                        <w:tabs>
                          <w:tab w:val="left" w:pos="7824"/>
                        </w:tabs>
                        <w:spacing w:line="360" w:lineRule="auto"/>
                        <w:ind w:firstLine="720"/>
                        <w:rPr>
                          <w:szCs w:val="24"/>
                        </w:rPr>
                      </w:pPr>
                    </w:p>
                  </w:sdtContent>
                </w:sdt>
              </w:sdtContent>
            </w:sdt>
          </w:sdtContent>
        </w:sdt>
        <w:sdt>
          <w:sdtPr>
            <w:alias w:val="3 str."/>
            <w:tag w:val="part_394c36a717e74927adab3cefc50a66dc"/>
            <w:lock w:val="sdtLocked"/>
            <w:richText/>
          </w:sdtPr>
          <w:sdtContent>
            <w:p>
              <w:pPr>
                <w:spacing w:line="360" w:lineRule="auto"/>
                <w:ind w:left="2127" w:hanging="1407"/>
                <w:jc w:val="both"/>
                <w:rPr>
                  <w:b/>
                  <w:bCs/>
                  <w:szCs w:val="24"/>
                </w:rPr>
              </w:pPr>
              <w:sdt>
                <w:sdtPr>
                  <w:alias w:val="Numeris"/>
                  <w:tag w:val="nr_394c36a717e74927adab3cefc50a66dc"/>
                  <w:lock w:val="sdtLocked"/>
                  <w:richText/>
                </w:sdtPr>
                <w:sdtContent>
                  <w:r>
                    <w:rPr>
                      <w:b/>
                      <w:szCs w:val="24"/>
                    </w:rPr>
                    <w:t>3</w:t>
                  </w:r>
                </w:sdtContent>
              </w:sdt>
              <w:r>
                <w:rPr>
                  <w:b/>
                  <w:szCs w:val="24"/>
                </w:rPr>
                <w:t xml:space="preserve"> straipsnis. </w:t>
              </w:r>
              <w:sdt>
                <w:sdtPr>
                  <w:alias w:val="Pavadinimas"/>
                  <w:tag w:val="title_394c36a717e74927adab3cefc50a66dc"/>
                  <w:lock w:val="sdtLocked"/>
                  <w:richText/>
                </w:sdtPr>
                <w:sdtContent>
                  <w:r>
                    <w:rPr>
                      <w:b/>
                      <w:szCs w:val="24"/>
                    </w:rPr>
                    <w:t>Lietuvos Respublikos 2025 metų savivaldybių biudžetų finansiniai</w:t>
                  </w:r>
                  <w:r>
                    <w:rPr>
                      <w:b/>
                      <w:bCs/>
                      <w:szCs w:val="24"/>
                    </w:rPr>
                    <w:t xml:space="preserve"> rodikliai </w:t>
                  </w:r>
                </w:sdtContent>
              </w:sdt>
            </w:p>
            <w:sdt>
              <w:sdtPr>
                <w:alias w:val="3 str. 1 d."/>
                <w:tag w:val="part_48bd54c571524ea093185b794d5002f6"/>
                <w:lock w:val="sdtLocked"/>
                <w:richText/>
              </w:sdtPr>
              <w:sdtContent>
                <w:p>
                  <w:pPr>
                    <w:spacing w:line="360" w:lineRule="auto"/>
                    <w:ind w:firstLine="720"/>
                    <w:jc w:val="both"/>
                    <w:rPr>
                      <w:szCs w:val="24"/>
                      <w:lang w:eastAsia="lt-LT"/>
                    </w:rPr>
                  </w:pPr>
                  <w:sdt>
                    <w:sdtPr>
                      <w:alias w:val="Numeris"/>
                      <w:tag w:val="nr_48bd54c571524ea093185b794d5002f6"/>
                      <w:lock w:val="sdtLocked"/>
                      <w:richText/>
                    </w:sdtPr>
                    <w:sdtContent>
                      <w:r>
                        <w:rPr>
                          <w:rFonts w:eastAsia="Calibri"/>
                          <w:color w:val="000000"/>
                          <w:szCs w:val="24"/>
                          <w:lang w:eastAsia="lt-LT"/>
                        </w:rPr>
                        <w:t>1</w:t>
                      </w:r>
                    </w:sdtContent>
                  </w:sdt>
                  <w:r>
                    <w:rPr>
                      <w:rFonts w:eastAsia="Calibri"/>
                      <w:color w:val="000000"/>
                      <w:szCs w:val="24"/>
                      <w:lang w:eastAsia="lt-LT"/>
                    </w:rPr>
                    <w:t xml:space="preserve">. </w:t>
                  </w:r>
                  <w:r>
                    <w:rPr>
                      <w:rFonts w:eastAsia="Calibri"/>
                      <w:szCs w:val="24"/>
                      <w:lang w:eastAsia="lt-LT"/>
                    </w:rPr>
                    <w:t>Šiuo įstatymu numatomas Lietuvos Respublikos 2025 metų savivaldybių biudžetų finansinis rodiklis – prognozuojamos pajamos iš gyventojų pajamų mokesčio, išskyrus fiksuoto dydžio gyventojų pajamų mokestį, mokamą už pajamas, gaunamas iš veiklos, kuria verčiamasi turint verslo liudijimą, (toliau – gyventojų pajamų mokestis), – kuriuo savivaldybės vadovaujasi rengdamos savo biudžetus (5 </w:t>
                  </w:r>
                  <w:r>
                    <w:rPr>
                      <w:szCs w:val="24"/>
                      <w:lang w:eastAsia="lt-LT"/>
                    </w:rPr>
                    <w:t>priedas).</w:t>
                  </w:r>
                </w:p>
              </w:sdtContent>
            </w:sdt>
            <w:sdt>
              <w:sdtPr>
                <w:alias w:val="3 str. 2 d."/>
                <w:tag w:val="part_11b0b9a3694a407d9cc9b27bee538c13"/>
                <w:lock w:val="sdtLocked"/>
                <w:richText/>
              </w:sdtPr>
              <w:sdtContent>
                <w:p>
                  <w:pPr>
                    <w:widowControl w:val="0"/>
                    <w:spacing w:line="360" w:lineRule="auto"/>
                    <w:ind w:firstLine="720"/>
                    <w:jc w:val="both"/>
                    <w:rPr>
                      <w:szCs w:val="24"/>
                      <w:lang w:eastAsia="lt-LT"/>
                    </w:rPr>
                  </w:pPr>
                  <w:sdt>
                    <w:sdtPr>
                      <w:alias w:val="Numeris"/>
                      <w:tag w:val="nr_11b0b9a3694a407d9cc9b27bee538c13"/>
                      <w:lock w:val="sdtLocked"/>
                      <w:richText/>
                    </w:sdtPr>
                    <w:sdtContent>
                      <w:r>
                        <w:rPr>
                          <w:szCs w:val="24"/>
                        </w:rPr>
                        <w:t>2</w:t>
                      </w:r>
                    </w:sdtContent>
                  </w:sdt>
                  <w:r>
                    <w:rPr>
                      <w:szCs w:val="24"/>
                    </w:rPr>
                    <w:t>. Šiuo įstatymu patvirtinami šie 2025 metų savivaldybių biudžetų finansiniai rodikliai:</w:t>
                  </w:r>
                </w:p>
                <w:sdt>
                  <w:sdtPr>
                    <w:alias w:val="3 str. 2 d. 1 p."/>
                    <w:tag w:val="part_2a5bfe89eaf94110991e4420c5220bb6"/>
                    <w:lock w:val="sdtLocked"/>
                    <w:richText/>
                  </w:sdtPr>
                  <w:sdtContent>
                    <w:p>
                      <w:pPr>
                        <w:widowControl w:val="0"/>
                        <w:spacing w:line="360" w:lineRule="auto"/>
                        <w:ind w:firstLine="720"/>
                        <w:jc w:val="both"/>
                        <w:rPr>
                          <w:szCs w:val="24"/>
                          <w:lang w:eastAsia="lt-LT"/>
                        </w:rPr>
                      </w:pPr>
                      <w:sdt>
                        <w:sdtPr>
                          <w:alias w:val="Numeris"/>
                          <w:tag w:val="nr_2a5bfe89eaf94110991e4420c5220bb6"/>
                          <w:lock w:val="sdtLocked"/>
                          <w:richText/>
                        </w:sdtPr>
                        <w:sdtContent>
                          <w:r>
                            <w:rPr>
                              <w:szCs w:val="24"/>
                              <w:lang w:eastAsia="lt-LT"/>
                            </w:rPr>
                            <w:t>1</w:t>
                          </w:r>
                        </w:sdtContent>
                      </w:sdt>
                      <w:r>
                        <w:rPr>
                          <w:szCs w:val="24"/>
                          <w:lang w:eastAsia="lt-LT"/>
                        </w:rPr>
                        <w:t>) gyventojų pajamų mokesčio dalis (procentais), išskyrus fiksuoto dydžio gyventojų pajamų mokestį, mokamą už pajamas, gaunamas iš veiklos, kuria verčiamasi turint verslo liudijimą, (toliau – gyventojų pajamų mokesčio dalis (procentais)), tenkanti visų savivaldybių biudžetams nuo šio mokesčio pajamų į Lietuvos Respublikos konsoliduotus valstybės biudžetą ir savivaldybių biudžetus, – 50,64 procento, iš jos pastovioji dalis – 43,62 procento, kintamoji dalis – 7,02 procento;</w:t>
                      </w:r>
                    </w:p>
                  </w:sdtContent>
                </w:sdt>
                <w:sdt>
                  <w:sdtPr>
                    <w:alias w:val="3 str. 2 d. 2 p."/>
                    <w:tag w:val="part_cfa48495b1cc43b899c4906cf527be19"/>
                    <w:lock w:val="sdtLocked"/>
                    <w:richText/>
                  </w:sdtPr>
                  <w:sdtContent>
                    <w:p>
                      <w:pPr>
                        <w:widowControl w:val="0"/>
                        <w:spacing w:line="360" w:lineRule="auto"/>
                        <w:ind w:firstLine="720"/>
                        <w:jc w:val="both"/>
                        <w:rPr>
                          <w:szCs w:val="24"/>
                        </w:rPr>
                      </w:pPr>
                      <w:sdt>
                        <w:sdtPr>
                          <w:alias w:val="Numeris"/>
                          <w:tag w:val="nr_cfa48495b1cc43b899c4906cf527be19"/>
                          <w:lock w:val="sdtLocked"/>
                          <w:richText/>
                        </w:sdtPr>
                        <w:sdtContent>
                          <w:r>
                            <w:rPr>
                              <w:szCs w:val="24"/>
                            </w:rPr>
                            <w:t>2</w:t>
                          </w:r>
                        </w:sdtContent>
                      </w:sdt>
                      <w:r>
                        <w:rPr>
                          <w:szCs w:val="24"/>
                        </w:rPr>
                        <w:t>) kiekvienos savivaldybės biudžetui skiriama šio įstatymo 5 priede nurodyta gyventojų pajamų mokesčio dalis (procentais), pagal kurią Valstybinė mokesčių inspekcija prie Lietuvos Respublikos finansų ministerijos perveda savivaldybei lėšas iš sumokėto gyventojų pajamų mokesčio;</w:t>
                      </w:r>
                    </w:p>
                  </w:sdtContent>
                </w:sdt>
                <w:sdt>
                  <w:sdtPr>
                    <w:alias w:val="3 str. 2 d. 3 p."/>
                    <w:tag w:val="part_bb80ac33635741a3a1b3270beb8d93ec"/>
                    <w:lock w:val="sdtLocked"/>
                    <w:richText/>
                  </w:sdtPr>
                  <w:sdtContent>
                    <w:p>
                      <w:pPr>
                        <w:widowControl w:val="0"/>
                        <w:spacing w:line="360" w:lineRule="auto"/>
                        <w:ind w:firstLine="720"/>
                        <w:jc w:val="both"/>
                        <w:rPr>
                          <w:szCs w:val="24"/>
                          <w:lang w:eastAsia="lt-LT"/>
                        </w:rPr>
                      </w:pPr>
                      <w:sdt>
                        <w:sdtPr>
                          <w:alias w:val="Numeris"/>
                          <w:tag w:val="nr_bb80ac33635741a3a1b3270beb8d93ec"/>
                          <w:lock w:val="sdtLocked"/>
                          <w:richText/>
                        </w:sdtPr>
                        <w:sdtContent>
                          <w:r>
                            <w:rPr>
                              <w:szCs w:val="24"/>
                            </w:rPr>
                            <w:t>3</w:t>
                          </w:r>
                        </w:sdtContent>
                      </w:sdt>
                      <w:r>
                        <w:rPr>
                          <w:szCs w:val="24"/>
                        </w:rPr>
                        <w:t>) gyventojų pajamų mokesčio dalys (procentais), reikalingos prognozuojamoms</w:t>
                      </w:r>
                      <w:r>
                        <w:rPr>
                          <w:szCs w:val="24"/>
                          <w:lang w:eastAsia="lt-LT"/>
                        </w:rPr>
                        <w:t xml:space="preserve"> pajamoms iš gyventojų pajamų mokesčio apskaičiuoti:</w:t>
                      </w:r>
                    </w:p>
                    <w:sdt>
                      <w:sdtPr>
                        <w:alias w:val="3 str. 2 d. 3 p. a pp."/>
                        <w:tag w:val="part_32c8248cf36643ae8c0b94866a2dc222"/>
                        <w:lock w:val="sdtLocked"/>
                        <w:richText/>
                      </w:sdtPr>
                      <w:sdtContent>
                        <w:p>
                          <w:pPr>
                            <w:widowControl w:val="0"/>
                            <w:spacing w:line="360" w:lineRule="auto"/>
                            <w:ind w:firstLine="720"/>
                            <w:jc w:val="both"/>
                            <w:rPr>
                              <w:szCs w:val="24"/>
                              <w:lang w:eastAsia="lt-LT"/>
                            </w:rPr>
                          </w:pPr>
                          <w:sdt>
                            <w:sdtPr>
                              <w:alias w:val="Numeris"/>
                              <w:tag w:val="nr_32c8248cf36643ae8c0b94866a2dc222"/>
                              <w:lock w:val="sdtLocked"/>
                              <w:richText/>
                            </w:sdtPr>
                            <w:sdtContent>
                              <w:r>
                                <w:rPr>
                                  <w:szCs w:val="24"/>
                                  <w:lang w:eastAsia="lt-LT"/>
                                </w:rPr>
                                <w:t>a</w:t>
                              </w:r>
                            </w:sdtContent>
                          </w:sdt>
                          <w:r>
                            <w:rPr>
                              <w:szCs w:val="24"/>
                              <w:lang w:eastAsia="lt-LT"/>
                            </w:rPr>
                            <w:t>) Vilniaus miesto savivaldybei – 64,53 procento;</w:t>
                          </w:r>
                        </w:p>
                      </w:sdtContent>
                    </w:sdt>
                    <w:sdt>
                      <w:sdtPr>
                        <w:alias w:val="3 str. 2 d. 3 p. b pp."/>
                        <w:tag w:val="part_a8e1155c963b4acdbbe2f71e9125cb73"/>
                        <w:lock w:val="sdtLocked"/>
                        <w:richText/>
                      </w:sdtPr>
                      <w:sdtContent>
                        <w:p>
                          <w:pPr>
                            <w:widowControl w:val="0"/>
                            <w:spacing w:line="360" w:lineRule="auto"/>
                            <w:ind w:firstLine="720"/>
                            <w:jc w:val="both"/>
                            <w:rPr>
                              <w:szCs w:val="24"/>
                              <w:lang w:eastAsia="lt-LT"/>
                            </w:rPr>
                          </w:pPr>
                          <w:sdt>
                            <w:sdtPr>
                              <w:alias w:val="Numeris"/>
                              <w:tag w:val="nr_a8e1155c963b4acdbbe2f71e9125cb73"/>
                              <w:lock w:val="sdtLocked"/>
                              <w:richText/>
                            </w:sdtPr>
                            <w:sdtContent>
                              <w:r>
                                <w:rPr>
                                  <w:szCs w:val="24"/>
                                  <w:lang w:eastAsia="lt-LT"/>
                                </w:rPr>
                                <w:t>b</w:t>
                              </w:r>
                            </w:sdtContent>
                          </w:sdt>
                          <w:r>
                            <w:rPr>
                              <w:szCs w:val="24"/>
                              <w:lang w:eastAsia="lt-LT"/>
                            </w:rPr>
                            <w:t>) Kauno miesto savivaldybei – 85,69 procento;</w:t>
                          </w:r>
                        </w:p>
                      </w:sdtContent>
                    </w:sdt>
                    <w:sdt>
                      <w:sdtPr>
                        <w:alias w:val="3 str. 2 d. 3 p. c pp."/>
                        <w:tag w:val="part_36bcd0ca0c2a453592a6f1be39968700"/>
                        <w:lock w:val="sdtLocked"/>
                        <w:richText/>
                      </w:sdtPr>
                      <w:sdtContent>
                        <w:p>
                          <w:pPr>
                            <w:widowControl w:val="0"/>
                            <w:spacing w:line="360" w:lineRule="auto"/>
                            <w:ind w:firstLine="720"/>
                            <w:jc w:val="both"/>
                            <w:rPr>
                              <w:szCs w:val="24"/>
                              <w:lang w:eastAsia="lt-LT"/>
                            </w:rPr>
                          </w:pPr>
                          <w:sdt>
                            <w:sdtPr>
                              <w:alias w:val="Numeris"/>
                              <w:tag w:val="nr_36bcd0ca0c2a453592a6f1be39968700"/>
                              <w:lock w:val="sdtLocked"/>
                              <w:richText/>
                            </w:sdtPr>
                            <w:sdtContent>
                              <w:r>
                                <w:rPr>
                                  <w:szCs w:val="24"/>
                                  <w:lang w:eastAsia="lt-LT"/>
                                </w:rPr>
                                <w:t>c</w:t>
                              </w:r>
                            </w:sdtContent>
                          </w:sdt>
                          <w:r>
                            <w:rPr>
                              <w:szCs w:val="24"/>
                              <w:lang w:eastAsia="lt-LT"/>
                            </w:rPr>
                            <w:t>) Neringos savivaldybei – 30,43 procento;</w:t>
                          </w:r>
                        </w:p>
                      </w:sdtContent>
                    </w:sdt>
                    <w:sdt>
                      <w:sdtPr>
                        <w:alias w:val="3 str. 2 d. 3 p. d pp."/>
                        <w:tag w:val="part_f6aeb7c4e1774a2e8d52cc629ea9a450"/>
                        <w:lock w:val="sdtLocked"/>
                        <w:richText/>
                      </w:sdtPr>
                      <w:sdtContent>
                        <w:p>
                          <w:pPr>
                            <w:widowControl w:val="0"/>
                            <w:spacing w:line="360" w:lineRule="auto"/>
                            <w:ind w:firstLine="720"/>
                            <w:jc w:val="both"/>
                            <w:rPr>
                              <w:szCs w:val="24"/>
                              <w:lang w:eastAsia="lt-LT"/>
                            </w:rPr>
                          </w:pPr>
                          <w:sdt>
                            <w:sdtPr>
                              <w:alias w:val="Numeris"/>
                              <w:tag w:val="nr_f6aeb7c4e1774a2e8d52cc629ea9a450"/>
                              <w:lock w:val="sdtLocked"/>
                              <w:richText/>
                            </w:sdtPr>
                            <w:sdtContent>
                              <w:r>
                                <w:rPr>
                                  <w:szCs w:val="24"/>
                                  <w:lang w:eastAsia="lt-LT"/>
                                </w:rPr>
                                <w:t>d</w:t>
                              </w:r>
                            </w:sdtContent>
                          </w:sdt>
                          <w:r>
                            <w:rPr>
                              <w:szCs w:val="24"/>
                              <w:lang w:eastAsia="lt-LT"/>
                            </w:rPr>
                            <w:t>) Palangos miesto savivaldybei – 93,49 procento;</w:t>
                          </w:r>
                        </w:p>
                      </w:sdtContent>
                    </w:sdt>
                    <w:sdt>
                      <w:sdtPr>
                        <w:alias w:val="3 str. 2 d. 3 p. e pp."/>
                        <w:tag w:val="part_27650f94ccee4b2182fe01274e06e613"/>
                        <w:lock w:val="sdtLocked"/>
                        <w:richText/>
                      </w:sdtPr>
                      <w:sdtContent>
                        <w:p>
                          <w:pPr>
                            <w:widowControl w:val="0"/>
                            <w:spacing w:line="360" w:lineRule="auto"/>
                            <w:ind w:firstLine="720"/>
                            <w:jc w:val="both"/>
                            <w:rPr>
                              <w:szCs w:val="24"/>
                              <w:lang w:eastAsia="lt-LT"/>
                            </w:rPr>
                          </w:pPr>
                          <w:sdt>
                            <w:sdtPr>
                              <w:alias w:val="Numeris"/>
                              <w:tag w:val="nr_27650f94ccee4b2182fe01274e06e613"/>
                              <w:lock w:val="sdtLocked"/>
                              <w:richText/>
                            </w:sdtPr>
                            <w:sdtContent>
                              <w:r>
                                <w:rPr>
                                  <w:szCs w:val="24"/>
                                  <w:lang w:eastAsia="lt-LT"/>
                                </w:rPr>
                                <w:t>e</w:t>
                              </w:r>
                            </w:sdtContent>
                          </w:sdt>
                          <w:r>
                            <w:rPr>
                              <w:szCs w:val="24"/>
                              <w:lang w:eastAsia="lt-LT"/>
                            </w:rPr>
                            <w:t>) Kauno rajono savivaldybei – 83,54 procento;</w:t>
                          </w:r>
                        </w:p>
                      </w:sdtContent>
                    </w:sdt>
                    <w:sdt>
                      <w:sdtPr>
                        <w:alias w:val="3 str. 2 d. 3 p. f pp."/>
                        <w:tag w:val="part_804577158630447497a28dceb788176e"/>
                        <w:lock w:val="sdtLocked"/>
                        <w:richText/>
                      </w:sdtPr>
                      <w:sdtContent>
                        <w:p>
                          <w:pPr>
                            <w:widowControl w:val="0"/>
                            <w:spacing w:line="360" w:lineRule="auto"/>
                            <w:ind w:firstLine="720"/>
                            <w:jc w:val="both"/>
                            <w:rPr>
                              <w:szCs w:val="24"/>
                              <w:lang w:eastAsia="lt-LT"/>
                            </w:rPr>
                          </w:pPr>
                          <w:sdt>
                            <w:sdtPr>
                              <w:alias w:val="Numeris"/>
                              <w:tag w:val="nr_804577158630447497a28dceb788176e"/>
                              <w:lock w:val="sdtLocked"/>
                              <w:richText/>
                            </w:sdtPr>
                            <w:sdtContent>
                              <w:r>
                                <w:rPr>
                                  <w:szCs w:val="24"/>
                                  <w:lang w:eastAsia="lt-LT"/>
                                </w:rPr>
                                <w:t>f</w:t>
                              </w:r>
                            </w:sdtContent>
                          </w:sdt>
                          <w:r>
                            <w:rPr>
                              <w:szCs w:val="24"/>
                              <w:lang w:eastAsia="lt-LT"/>
                            </w:rPr>
                            <w:t>) Klaipėdos rajono savivaldybei – 97,08 procento;</w:t>
                          </w:r>
                        </w:p>
                      </w:sdtContent>
                    </w:sdt>
                    <w:sdt>
                      <w:sdtPr>
                        <w:alias w:val="3 str. 2 d. 3 p. g pp."/>
                        <w:tag w:val="part_e4126f9488f446709adefa1097e078aa"/>
                        <w:lock w:val="sdtLocked"/>
                        <w:richText/>
                      </w:sdtPr>
                      <w:sdtContent>
                        <w:p>
                          <w:pPr>
                            <w:widowControl w:val="0"/>
                            <w:spacing w:line="360" w:lineRule="auto"/>
                            <w:ind w:firstLine="720"/>
                            <w:jc w:val="both"/>
                            <w:rPr>
                              <w:szCs w:val="24"/>
                              <w:lang w:eastAsia="lt-LT"/>
                            </w:rPr>
                          </w:pPr>
                          <w:sdt>
                            <w:sdtPr>
                              <w:alias w:val="Numeris"/>
                              <w:tag w:val="nr_e4126f9488f446709adefa1097e078aa"/>
                              <w:lock w:val="sdtLocked"/>
                              <w:richText/>
                            </w:sdtPr>
                            <w:sdtContent>
                              <w:r>
                                <w:rPr>
                                  <w:szCs w:val="24"/>
                                  <w:lang w:eastAsia="lt-LT"/>
                                </w:rPr>
                                <w:t>g</w:t>
                              </w:r>
                            </w:sdtContent>
                          </w:sdt>
                          <w:r>
                            <w:rPr>
                              <w:szCs w:val="24"/>
                              <w:lang w:eastAsia="lt-LT"/>
                            </w:rPr>
                            <w:t>) Trakų rajono savivaldybei – 95,35 procento;</w:t>
                          </w:r>
                        </w:p>
                      </w:sdtContent>
                    </w:sdt>
                    <w:sdt>
                      <w:sdtPr>
                        <w:alias w:val="3 str. 2 d. 3 p. h pp."/>
                        <w:tag w:val="part_e0f9f17b5ecf41f6aa72da22100f46ca"/>
                        <w:lock w:val="sdtLocked"/>
                        <w:richText/>
                      </w:sdtPr>
                      <w:sdtContent>
                        <w:p>
                          <w:pPr>
                            <w:widowControl w:val="0"/>
                            <w:spacing w:line="360" w:lineRule="auto"/>
                            <w:ind w:firstLine="720"/>
                            <w:jc w:val="both"/>
                            <w:rPr>
                              <w:szCs w:val="24"/>
                              <w:lang w:eastAsia="lt-LT"/>
                            </w:rPr>
                          </w:pPr>
                          <w:sdt>
                            <w:sdtPr>
                              <w:alias w:val="Numeris"/>
                              <w:tag w:val="nr_e0f9f17b5ecf41f6aa72da22100f46ca"/>
                              <w:lock w:val="sdtLocked"/>
                              <w:richText/>
                            </w:sdtPr>
                            <w:sdtContent>
                              <w:r>
                                <w:rPr>
                                  <w:szCs w:val="24"/>
                                  <w:lang w:eastAsia="lt-LT"/>
                                </w:rPr>
                                <w:t>h</w:t>
                              </w:r>
                            </w:sdtContent>
                          </w:sdt>
                          <w:r>
                            <w:rPr>
                              <w:szCs w:val="24"/>
                              <w:lang w:eastAsia="lt-LT"/>
                            </w:rPr>
                            <w:t>) Vilniaus rajono savivaldybei – 79,09 procento;</w:t>
                          </w:r>
                        </w:p>
                      </w:sdtContent>
                    </w:sdt>
                    <w:sdt>
                      <w:sdtPr>
                        <w:alias w:val="3 str. 2 d. 3 p. i pp."/>
                        <w:tag w:val="part_39e29f45cd8e494fa84441b304e50c3a"/>
                        <w:lock w:val="sdtLocked"/>
                        <w:richText/>
                      </w:sdtPr>
                      <w:sdtContent>
                        <w:p>
                          <w:pPr>
                            <w:widowControl w:val="0"/>
                            <w:spacing w:line="360" w:lineRule="auto"/>
                            <w:ind w:firstLine="720"/>
                            <w:jc w:val="both"/>
                            <w:rPr>
                              <w:szCs w:val="24"/>
                              <w:lang w:eastAsia="lt-LT"/>
                            </w:rPr>
                          </w:pPr>
                          <w:sdt>
                            <w:sdtPr>
                              <w:alias w:val="Numeris"/>
                              <w:tag w:val="nr_39e29f45cd8e494fa84441b304e50c3a"/>
                              <w:lock w:val="sdtLocked"/>
                              <w:richText/>
                            </w:sdtPr>
                            <w:sdtContent>
                              <w:r>
                                <w:rPr>
                                  <w:szCs w:val="24"/>
                                  <w:lang w:eastAsia="lt-LT"/>
                                </w:rPr>
                                <w:t>i</w:t>
                              </w:r>
                            </w:sdtContent>
                          </w:sdt>
                          <w:r>
                            <w:rPr>
                              <w:szCs w:val="24"/>
                              <w:lang w:eastAsia="lt-LT"/>
                            </w:rPr>
                            <w:t>) visoms kitoms savivaldybėms – 100 procentų;</w:t>
                          </w:r>
                        </w:p>
                      </w:sdtContent>
                    </w:sdt>
                  </w:sdtContent>
                </w:sdt>
                <w:sdt>
                  <w:sdtPr>
                    <w:alias w:val="3 str. 2 d. 4 p."/>
                    <w:tag w:val="part_52ea8a8725b94ef7a98ac2e6bd314128"/>
                    <w:lock w:val="sdtLocked"/>
                    <w:richText/>
                  </w:sdtPr>
                  <w:sdtContent>
                    <w:p>
                      <w:pPr>
                        <w:widowControl w:val="0"/>
                        <w:spacing w:line="360" w:lineRule="auto"/>
                        <w:ind w:firstLine="720"/>
                        <w:jc w:val="both"/>
                        <w:rPr>
                          <w:rFonts w:eastAsia="Calibri"/>
                          <w:szCs w:val="24"/>
                          <w:lang w:eastAsia="lt-LT"/>
                        </w:rPr>
                      </w:pPr>
                      <w:sdt>
                        <w:sdtPr>
                          <w:alias w:val="Numeris"/>
                          <w:tag w:val="nr_52ea8a8725b94ef7a98ac2e6bd314128"/>
                          <w:lock w:val="sdtLocked"/>
                          <w:richText/>
                        </w:sdtPr>
                        <w:sdtContent>
                          <w:r>
                            <w:rPr>
                              <w:szCs w:val="24"/>
                              <w:lang w:eastAsia="lt-LT"/>
                            </w:rPr>
                            <w:t>4</w:t>
                          </w:r>
                        </w:sdtContent>
                      </w:sdt>
                      <w:r>
                        <w:rPr>
                          <w:szCs w:val="24"/>
                          <w:lang w:eastAsia="lt-LT"/>
                        </w:rPr>
                        <w:t>) valstybės biudžeto specialios tikslinės dotacijos savivaldybių biudžetams – 2 089  722 tūkst. eurų (6 priedas).</w:t>
                      </w:r>
                    </w:p>
                  </w:sdtContent>
                </w:sdt>
              </w:sdtContent>
            </w:sdt>
            <w:sdt>
              <w:sdtPr>
                <w:alias w:val="3 str. 3 d."/>
                <w:tag w:val="part_96abd3b56be14f5fb3793c786edebbf3"/>
                <w:lock w:val="sdtLocked"/>
                <w:richText/>
              </w:sdtPr>
              <w:sdtContent>
                <w:p>
                  <w:pPr>
                    <w:spacing w:line="360" w:lineRule="auto"/>
                    <w:ind w:firstLine="720"/>
                    <w:jc w:val="both"/>
                    <w:rPr>
                      <w:rFonts w:eastAsia="Calibri"/>
                      <w:szCs w:val="24"/>
                      <w:lang w:eastAsia="lt-LT"/>
                    </w:rPr>
                  </w:pPr>
                  <w:sdt>
                    <w:sdtPr>
                      <w:alias w:val="Numeris"/>
                      <w:tag w:val="nr_96abd3b56be14f5fb3793c786edebbf3"/>
                      <w:lock w:val="sdtLocked"/>
                      <w:richText/>
                    </w:sdtPr>
                    <w:sdtContent>
                      <w:r>
                        <w:rPr>
                          <w:color w:val="000000"/>
                          <w:szCs w:val="24"/>
                          <w:lang w:eastAsia="lt-LT"/>
                        </w:rPr>
                        <w:t>3</w:t>
                      </w:r>
                    </w:sdtContent>
                  </w:sdt>
                  <w:r>
                    <w:rPr>
                      <w:color w:val="000000"/>
                      <w:szCs w:val="24"/>
                      <w:lang w:eastAsia="lt-LT"/>
                    </w:rPr>
                    <w:t>. Savivaldybėms 2011 ir 2013 metais iš valstybės biudžeto suteiktos paskolos laikinam pajamų trūkumui, susidariusiam dėl akcinės bendrovės banko „Snoras“, akcinės bendrovės Ūkio banko veiklos apribojimo ir banko licencijos atšaukimo, padengti laikomos ilgalaikėmis paskolomis, kurios turi būti grąžintos iki 2025 m. gruodžio 31 d.</w:t>
                  </w:r>
                </w:p>
                <w:p>
                  <w:pPr>
                    <w:spacing w:line="360" w:lineRule="auto"/>
                    <w:ind w:firstLine="720"/>
                    <w:rPr>
                      <w:szCs w:val="24"/>
                    </w:rPr>
                  </w:pPr>
                </w:p>
              </w:sdtContent>
            </w:sdt>
          </w:sdtContent>
        </w:sdt>
        <w:sdt>
          <w:sdtPr>
            <w:alias w:val="4 str."/>
            <w:tag w:val="part_99c820e38251471088e27c19a938e0ed"/>
            <w:lock w:val="sdtLocked"/>
            <w:richText/>
          </w:sdtPr>
          <w:sdtContent>
            <w:p>
              <w:pPr>
                <w:tabs>
                  <w:tab w:val="num" w:pos="2155"/>
                </w:tabs>
                <w:spacing w:line="360" w:lineRule="auto"/>
                <w:ind w:left="2127" w:hanging="1407"/>
                <w:jc w:val="both"/>
                <w:rPr>
                  <w:b/>
                  <w:bCs/>
                  <w:szCs w:val="24"/>
                </w:rPr>
              </w:pPr>
              <w:sdt>
                <w:sdtPr>
                  <w:alias w:val="Numeris"/>
                  <w:tag w:val="nr_99c820e38251471088e27c19a938e0ed"/>
                  <w:lock w:val="sdtLocked"/>
                  <w:richText/>
                </w:sdtPr>
                <w:sdtContent>
                  <w:r>
                    <w:rPr>
                      <w:b/>
                      <w:bCs/>
                      <w:szCs w:val="24"/>
                    </w:rPr>
                    <w:t>4</w:t>
                  </w:r>
                </w:sdtContent>
              </w:sdt>
              <w:r>
                <w:rPr>
                  <w:b/>
                  <w:bCs/>
                  <w:szCs w:val="24"/>
                </w:rPr>
                <w:t xml:space="preserve"> straipsnis. </w:t>
              </w:r>
              <w:sdt>
                <w:sdtPr>
                  <w:alias w:val="Pavadinimas"/>
                  <w:tag w:val="title_99c820e38251471088e27c19a938e0ed"/>
                  <w:lock w:val="sdtLocked"/>
                  <w:richText/>
                </w:sdtPr>
                <w:sdtContent>
                  <w:r>
                    <w:rPr>
                      <w:b/>
                      <w:bCs/>
                      <w:szCs w:val="24"/>
                    </w:rPr>
                    <w:t>Valstybės biudžeto dotacijų savivaldybių biudžetams paskirstymas ir pervedimas</w:t>
                  </w:r>
                </w:sdtContent>
              </w:sdt>
            </w:p>
            <w:sdt>
              <w:sdtPr>
                <w:alias w:val="4 str. 1 d."/>
                <w:tag w:val="part_151522a866d6404e881f2d1a76cfd3c1"/>
                <w:lock w:val="sdtLocked"/>
                <w:richText/>
              </w:sdtPr>
              <w:sdtContent>
                <w:p>
                  <w:pPr>
                    <w:widowControl w:val="0"/>
                    <w:spacing w:line="360" w:lineRule="auto"/>
                    <w:ind w:firstLine="720"/>
                    <w:jc w:val="both"/>
                    <w:rPr>
                      <w:rFonts w:eastAsia="Calibri"/>
                      <w:szCs w:val="24"/>
                      <w:lang w:eastAsia="lt-LT"/>
                    </w:rPr>
                  </w:pPr>
                  <w:sdt>
                    <w:sdtPr>
                      <w:alias w:val="Numeris"/>
                      <w:tag w:val="nr_151522a866d6404e881f2d1a76cfd3c1"/>
                      <w:lock w:val="sdtLocked"/>
                      <w:richText/>
                    </w:sdtPr>
                    <w:sdtContent>
                      <w:r>
                        <w:rPr>
                          <w:szCs w:val="24"/>
                        </w:rPr>
                        <w:t>1</w:t>
                      </w:r>
                    </w:sdtContent>
                  </w:sdt>
                  <w:r>
                    <w:rPr>
                      <w:szCs w:val="24"/>
                    </w:rPr>
                    <w:t xml:space="preserve">. Šio įstatymo 6 priede nurodyti valstybės biudžeto asignavimų valdytojai šio įstatymo 6 priede nurodytas valstybės biudžeto specialias tikslines dotacijas savivaldybių biudžetams </w:t>
                  </w:r>
                  <w:r>
                    <w:rPr>
                      <w:rFonts w:eastAsia="Calibri"/>
                      <w:szCs w:val="24"/>
                      <w:lang w:eastAsia="lt-LT"/>
                    </w:rPr>
                    <w:t xml:space="preserve">per 5 darbo dienas nuo šio įstatymo įsigaliojimo dienos paskirsto savivaldybėms, nustato dotacijų panaudojimo 2025 metais tikslus, jų stebėsenos rodiklius, siektinas reikšmes ir apie tai praneša atitinkamoms savivaldybėms. </w:t>
                  </w:r>
                </w:p>
              </w:sdtContent>
            </w:sdt>
            <w:sdt>
              <w:sdtPr>
                <w:alias w:val="4 str. 2 d."/>
                <w:tag w:val="part_eb90c5823e26490a84ddcb002b23a362"/>
                <w:lock w:val="sdtLocked"/>
                <w:richText/>
              </w:sdtPr>
              <w:sdtContent>
                <w:p>
                  <w:pPr>
                    <w:spacing w:line="360" w:lineRule="auto"/>
                    <w:ind w:firstLine="720"/>
                    <w:jc w:val="both"/>
                    <w:rPr>
                      <w:rFonts w:eastAsia="Calibri"/>
                      <w:szCs w:val="24"/>
                      <w:lang w:eastAsia="lt-LT"/>
                    </w:rPr>
                  </w:pPr>
                  <w:sdt>
                    <w:sdtPr>
                      <w:alias w:val="Numeris"/>
                      <w:tag w:val="nr_eb90c5823e26490a84ddcb002b23a362"/>
                      <w:lock w:val="sdtLocked"/>
                      <w:richText/>
                    </w:sdtPr>
                    <w:sdtContent>
                      <w:r>
                        <w:rPr>
                          <w:rFonts w:eastAsia="Calibri"/>
                          <w:szCs w:val="24"/>
                          <w:lang w:eastAsia="lt-LT"/>
                        </w:rPr>
                        <w:t>2</w:t>
                      </w:r>
                    </w:sdtContent>
                  </w:sdt>
                  <w:r>
                    <w:rPr>
                      <w:rFonts w:eastAsia="Calibri"/>
                      <w:szCs w:val="24"/>
                      <w:lang w:eastAsia="lt-LT"/>
                    </w:rPr>
                    <w:t>. V</w:t>
                  </w:r>
                  <w:r>
                    <w:rPr>
                      <w:szCs w:val="24"/>
                      <w:lang w:eastAsia="lt-LT"/>
                    </w:rPr>
                    <w:t xml:space="preserve">alstybės biudžeto </w:t>
                  </w:r>
                  <w:r>
                    <w:rPr>
                      <w:rFonts w:eastAsia="Calibri"/>
                      <w:szCs w:val="24"/>
                      <w:lang w:eastAsia="lt-LT"/>
                    </w:rPr>
                    <w:t>asignavimų valdytojai paskirsto savivaldybėms savo asignavimų dalį (įskaitant Europos Sąjungos ir bendrojo finansavimo bei kitos tarptautinės finansinės paramos lėšas), kuri numatyta jų asignavimuose kaip valstybės biudžeto dotacija savivaldybių biudžetams valstybei vykdant savo įsipareigojimus pagal įstatymus ar Lietuvos Respublikos Vyriausybės nutarimus. V</w:t>
                  </w:r>
                  <w:r>
                    <w:rPr>
                      <w:szCs w:val="24"/>
                      <w:lang w:eastAsia="lt-LT"/>
                    </w:rPr>
                    <w:t xml:space="preserve">alstybės biudžeto </w:t>
                  </w:r>
                  <w:r>
                    <w:rPr>
                      <w:rFonts w:eastAsia="Calibri"/>
                      <w:szCs w:val="24"/>
                      <w:lang w:eastAsia="lt-LT"/>
                    </w:rPr>
                    <w:t xml:space="preserve">asignavimų valdytojai praneša savivaldybėms joms paskirstytų valstybės biudžeto dotacijų paskirtį bei sumas. </w:t>
                  </w:r>
                </w:p>
              </w:sdtContent>
            </w:sdt>
            <w:sdt>
              <w:sdtPr>
                <w:alias w:val="4 str. 3 d."/>
                <w:tag w:val="part_b604fb3e0ccb4880b6c9cd4ea801ed4a"/>
                <w:lock w:val="sdtLocked"/>
                <w:richText/>
              </w:sdtPr>
              <w:sdtContent>
                <w:p>
                  <w:pPr>
                    <w:spacing w:line="360" w:lineRule="auto"/>
                    <w:ind w:firstLine="720"/>
                    <w:jc w:val="both"/>
                    <w:rPr>
                      <w:rFonts w:eastAsia="Calibri"/>
                      <w:szCs w:val="24"/>
                      <w:lang w:eastAsia="lt-LT"/>
                    </w:rPr>
                  </w:pPr>
                  <w:sdt>
                    <w:sdtPr>
                      <w:alias w:val="Numeris"/>
                      <w:tag w:val="nr_b604fb3e0ccb4880b6c9cd4ea801ed4a"/>
                      <w:lock w:val="sdtLocked"/>
                      <w:richText/>
                    </w:sdtPr>
                    <w:sdtContent>
                      <w:r>
                        <w:rPr>
                          <w:rFonts w:eastAsia="Calibri"/>
                          <w:szCs w:val="24"/>
                          <w:lang w:eastAsia="lt-LT"/>
                        </w:rPr>
                        <w:t>3</w:t>
                      </w:r>
                    </w:sdtContent>
                  </w:sdt>
                  <w:r>
                    <w:rPr>
                      <w:rFonts w:eastAsia="Calibri"/>
                      <w:szCs w:val="24"/>
                      <w:lang w:eastAsia="lt-LT"/>
                    </w:rPr>
                    <w:t>. V</w:t>
                  </w:r>
                  <w:r>
                    <w:rPr>
                      <w:szCs w:val="24"/>
                      <w:lang w:eastAsia="lt-LT"/>
                    </w:rPr>
                    <w:t xml:space="preserve">alstybės biudžeto </w:t>
                  </w:r>
                  <w:r>
                    <w:rPr>
                      <w:rFonts w:eastAsia="Calibri"/>
                      <w:szCs w:val="24"/>
                      <w:lang w:eastAsia="lt-LT"/>
                    </w:rPr>
                    <w:t>asignavimų valdytojai paskirstytas valstybės biudžeto dotacijas perveda savivaldybėms, atsižvelgdami į lėšų poreikį, o dotacijos ilgalaikiam materialiajam ir nematerialiajam turtui įsigyti pervedamos sumokėti už atliktus darbus, suteiktas paslaugas ar įsigytas prekes.</w:t>
                  </w:r>
                </w:p>
              </w:sdtContent>
            </w:sdt>
            <w:sdt>
              <w:sdtPr>
                <w:alias w:val="4 str. 4 d."/>
                <w:tag w:val="part_d055897542e146f3b928ebef3817db32"/>
                <w:lock w:val="sdtLocked"/>
                <w:richText/>
              </w:sdtPr>
              <w:sdtContent>
                <w:p>
                  <w:pPr>
                    <w:spacing w:line="360" w:lineRule="auto"/>
                    <w:ind w:firstLine="720"/>
                    <w:jc w:val="both"/>
                    <w:rPr>
                      <w:rFonts w:eastAsia="Calibri"/>
                      <w:szCs w:val="24"/>
                      <w:lang w:eastAsia="lt-LT"/>
                    </w:rPr>
                  </w:pPr>
                  <w:sdt>
                    <w:sdtPr>
                      <w:alias w:val="Numeris"/>
                      <w:tag w:val="nr_d055897542e146f3b928ebef3817db32"/>
                      <w:lock w:val="sdtLocked"/>
                      <w:richText/>
                    </w:sdtPr>
                    <w:sdtContent>
                      <w:r>
                        <w:rPr>
                          <w:rFonts w:eastAsia="Calibri"/>
                          <w:szCs w:val="24"/>
                          <w:lang w:eastAsia="lt-LT"/>
                        </w:rPr>
                        <w:t>4</w:t>
                      </w:r>
                    </w:sdtContent>
                  </w:sdt>
                  <w:r>
                    <w:rPr>
                      <w:rFonts w:eastAsia="Calibri"/>
                      <w:szCs w:val="24"/>
                      <w:lang w:eastAsia="lt-LT"/>
                    </w:rPr>
                    <w:t>. Savivaldybių tarybos, atsižvelgdamos į valstybės biudžeto dotacijas, skirtas joms, kaip nustatyta šio straipsnio 1 ir 2 dalyse, atitinkamai patikslina savo patvirtintus biudžetus.</w:t>
                  </w:r>
                </w:p>
              </w:sdtContent>
            </w:sdt>
            <w:sdt>
              <w:sdtPr>
                <w:alias w:val="4 str. 5 d."/>
                <w:tag w:val="part_9c78cbaddb49406c87892a354fba679f"/>
                <w:lock w:val="sdtLocked"/>
                <w:richText/>
              </w:sdtPr>
              <w:sdtContent>
                <w:p>
                  <w:pPr>
                    <w:spacing w:line="360" w:lineRule="auto"/>
                    <w:ind w:firstLine="720"/>
                    <w:jc w:val="both"/>
                    <w:rPr>
                      <w:rFonts w:eastAsia="Calibri"/>
                      <w:szCs w:val="24"/>
                      <w:lang w:eastAsia="lt-LT"/>
                    </w:rPr>
                  </w:pPr>
                  <w:sdt>
                    <w:sdtPr>
                      <w:alias w:val="Numeris"/>
                      <w:tag w:val="nr_9c78cbaddb49406c87892a354fba679f"/>
                      <w:lock w:val="sdtLocked"/>
                      <w:richText/>
                    </w:sdtPr>
                    <w:sdtContent>
                      <w:r>
                        <w:rPr>
                          <w:rFonts w:eastAsia="Calibri"/>
                          <w:szCs w:val="24"/>
                          <w:lang w:eastAsia="lt-LT"/>
                        </w:rPr>
                        <w:t>5</w:t>
                      </w:r>
                    </w:sdtContent>
                  </w:sdt>
                  <w:r>
                    <w:rPr>
                      <w:rFonts w:eastAsia="Calibri"/>
                      <w:szCs w:val="24"/>
                      <w:lang w:eastAsia="lt-LT"/>
                    </w:rPr>
                    <w:t>. Gautas ir nepanaudotas valstybės biudžeto dotacijų sumas savivaldybės grąžina valstybės biudžeto asignavimų valdytojams, iš kurių jos buvo gautos, išskyrus Europos Sąjungos ir kitos tarptautinės finansinės paramos ir bendrojo finansavimo lėšų dalį, kuri bus naudojama projektams vykdyti.</w:t>
                  </w:r>
                </w:p>
                <w:p>
                  <w:pPr>
                    <w:spacing w:line="360" w:lineRule="auto"/>
                    <w:ind w:firstLine="720"/>
                    <w:rPr>
                      <w:szCs w:val="24"/>
                    </w:rPr>
                  </w:pPr>
                </w:p>
              </w:sdtContent>
            </w:sdt>
          </w:sdtContent>
        </w:sdt>
        <w:sdt>
          <w:sdtPr>
            <w:alias w:val="5 str."/>
            <w:tag w:val="part_b5dc2d5ca35146e591e643bd3ba9a8e1"/>
            <w:lock w:val="sdtLocked"/>
            <w:richText/>
          </w:sdtPr>
          <w:sdtContent>
            <w:p>
              <w:pPr>
                <w:spacing w:line="360" w:lineRule="auto"/>
                <w:ind w:left="1985" w:hanging="1265"/>
                <w:jc w:val="both"/>
                <w:rPr>
                  <w:b/>
                  <w:bCs/>
                  <w:szCs w:val="24"/>
                  <w:lang w:eastAsia="lt-LT"/>
                </w:rPr>
              </w:pPr>
              <w:sdt>
                <w:sdtPr>
                  <w:alias w:val="Numeris"/>
                  <w:tag w:val="nr_b5dc2d5ca35146e591e643bd3ba9a8e1"/>
                  <w:lock w:val="sdtLocked"/>
                  <w:richText/>
                </w:sdtPr>
                <w:sdtContent>
                  <w:r>
                    <w:rPr>
                      <w:b/>
                      <w:bCs/>
                      <w:szCs w:val="24"/>
                      <w:lang w:eastAsia="lt-LT"/>
                    </w:rPr>
                    <w:t>5</w:t>
                  </w:r>
                </w:sdtContent>
              </w:sdt>
              <w:r>
                <w:rPr>
                  <w:b/>
                  <w:bCs/>
                  <w:szCs w:val="24"/>
                  <w:lang w:eastAsia="lt-LT"/>
                </w:rPr>
                <w:t xml:space="preserve"> straipsnis. </w:t>
              </w:r>
              <w:sdt>
                <w:sdtPr>
                  <w:alias w:val="Pavadinimas"/>
                  <w:tag w:val="title_b5dc2d5ca35146e591e643bd3ba9a8e1"/>
                  <w:lock w:val="sdtLocked"/>
                  <w:richText/>
                </w:sdtPr>
                <w:sdtContent>
                  <w:r>
                    <w:rPr>
                      <w:b/>
                      <w:bCs/>
                      <w:szCs w:val="24"/>
                      <w:lang w:eastAsia="lt-LT"/>
                    </w:rPr>
                    <w:t>Valstybės biudžeto asignavimų perskirstymas, asmeniui keičiant studijų programą</w:t>
                  </w:r>
                </w:sdtContent>
              </w:sdt>
            </w:p>
            <w:sdt>
              <w:sdtPr>
                <w:alias w:val="5 str. 1 d."/>
                <w:tag w:val="part_8c5f48a3367c49c6b14799fa07f865ad"/>
                <w:lock w:val="sdtLocked"/>
                <w:richText/>
              </w:sdtPr>
              <w:sdtContent>
                <w:p>
                  <w:pPr>
                    <w:spacing w:line="360" w:lineRule="auto"/>
                    <w:ind w:firstLine="720"/>
                    <w:jc w:val="both"/>
                    <w:rPr>
                      <w:rFonts w:eastAsia="Calibri"/>
                      <w:strike/>
                      <w:szCs w:val="24"/>
                      <w:lang w:eastAsia="lt-LT"/>
                    </w:rPr>
                  </w:pPr>
                  <w:r>
                    <w:rPr>
                      <w:rFonts w:eastAsia="Calibri"/>
                      <w:szCs w:val="24"/>
                      <w:lang w:eastAsia="lt-LT"/>
                    </w:rPr>
                    <w:t>Asmeniui, kurio studijos yra valstybės finansuojamos, Lietuvos Respublikos mokslo ir studijų įstatymo ir studijų programos keitimo tvarką reglamentuojančių kitų teisės aktų nustatyta tvarka keičiant studijų programą:</w:t>
                  </w:r>
                </w:p>
                <w:sdt>
                  <w:sdtPr>
                    <w:alias w:val="5 str. 1 d. 1 p."/>
                    <w:tag w:val="part_8f8045406502462c82056e041c0627be"/>
                    <w:lock w:val="sdtLocked"/>
                    <w:richText/>
                  </w:sdtPr>
                  <w:sdtContent>
                    <w:p>
                      <w:pPr>
                        <w:spacing w:line="360" w:lineRule="auto"/>
                        <w:ind w:firstLine="720"/>
                        <w:jc w:val="both"/>
                        <w:rPr>
                          <w:rFonts w:eastAsia="Calibri"/>
                          <w:szCs w:val="24"/>
                          <w:lang w:eastAsia="lt-LT"/>
                        </w:rPr>
                      </w:pPr>
                      <w:sdt>
                        <w:sdtPr>
                          <w:alias w:val="Numeris"/>
                          <w:tag w:val="nr_8f8045406502462c82056e041c0627be"/>
                          <w:lock w:val="sdtLocked"/>
                          <w:richText/>
                        </w:sdtPr>
                        <w:sdtContent>
                          <w:r>
                            <w:rPr>
                              <w:rFonts w:eastAsia="Calibri"/>
                              <w:color w:val="000000"/>
                              <w:szCs w:val="24"/>
                              <w:lang w:eastAsia="lt-LT"/>
                            </w:rPr>
                            <w:t>1</w:t>
                          </w:r>
                        </w:sdtContent>
                      </w:sdt>
                      <w:r>
                        <w:rPr>
                          <w:rFonts w:eastAsia="Calibri"/>
                          <w:color w:val="000000"/>
                          <w:szCs w:val="24"/>
                          <w:lang w:eastAsia="lt-LT"/>
                        </w:rPr>
                        <w:t xml:space="preserve">) </w:t>
                      </w:r>
                      <w:r>
                        <w:rPr>
                          <w:rFonts w:eastAsia="Calibri"/>
                          <w:szCs w:val="24"/>
                          <w:lang w:eastAsia="lt-LT"/>
                        </w:rPr>
                        <w:t>Lietuvos Respublikos finansų ministerija 2025 metų valstybės biudžeto asignavimus perskirsto tarp:</w:t>
                      </w:r>
                    </w:p>
                    <w:sdt>
                      <w:sdtPr>
                        <w:alias w:val="5 str. 1 d. 1 p. a pp."/>
                        <w:tag w:val="part_61e63f494dc14edbbd127ecba5d55b37"/>
                        <w:lock w:val="sdtLocked"/>
                        <w:richText/>
                      </w:sdtPr>
                      <w:sdtContent>
                        <w:p>
                          <w:pPr>
                            <w:spacing w:line="360" w:lineRule="auto"/>
                            <w:ind w:firstLine="720"/>
                            <w:jc w:val="both"/>
                            <w:rPr>
                              <w:rFonts w:eastAsia="Calibri"/>
                              <w:szCs w:val="24"/>
                              <w:lang w:eastAsia="lt-LT"/>
                            </w:rPr>
                          </w:pPr>
                          <w:sdt>
                            <w:sdtPr>
                              <w:alias w:val="Numeris"/>
                              <w:tag w:val="nr_61e63f494dc14edbbd127ecba5d55b37"/>
                              <w:lock w:val="sdtLocked"/>
                              <w:richText/>
                            </w:sdtPr>
                            <w:sdtContent>
                              <w:r>
                                <w:rPr>
                                  <w:rFonts w:eastAsia="Calibri"/>
                                  <w:szCs w:val="24"/>
                                  <w:lang w:eastAsia="lt-LT"/>
                                </w:rPr>
                                <w:t>a</w:t>
                              </w:r>
                            </w:sdtContent>
                          </w:sdt>
                          <w:r>
                            <w:rPr>
                              <w:rFonts w:eastAsia="Calibri"/>
                              <w:szCs w:val="24"/>
                              <w:lang w:eastAsia="lt-LT"/>
                            </w:rPr>
                            <w:t>) valstybinių universitetų, kai asmuo pereina iš vieno valstybinio universiteto į kitą;</w:t>
                          </w:r>
                        </w:p>
                      </w:sdtContent>
                    </w:sdt>
                    <w:sdt>
                      <w:sdtPr>
                        <w:alias w:val="5 str. 1 d. 1 p. b pp."/>
                        <w:tag w:val="part_90d3791c6dff41ca8cf4148ddc622a8c"/>
                        <w:lock w:val="sdtLocked"/>
                        <w:richText/>
                      </w:sdtPr>
                      <w:sdtContent>
                        <w:p>
                          <w:pPr>
                            <w:spacing w:line="360" w:lineRule="auto"/>
                            <w:ind w:firstLine="720"/>
                            <w:jc w:val="both"/>
                            <w:rPr>
                              <w:rFonts w:eastAsia="Calibri"/>
                              <w:szCs w:val="24"/>
                              <w:lang w:eastAsia="lt-LT"/>
                            </w:rPr>
                          </w:pPr>
                          <w:sdt>
                            <w:sdtPr>
                              <w:alias w:val="Numeris"/>
                              <w:tag w:val="nr_90d3791c6dff41ca8cf4148ddc622a8c"/>
                              <w:lock w:val="sdtLocked"/>
                              <w:richText/>
                            </w:sdtPr>
                            <w:sdtContent>
                              <w:r>
                                <w:rPr>
                                  <w:rFonts w:eastAsia="Calibri"/>
                                  <w:szCs w:val="24"/>
                                  <w:lang w:eastAsia="lt-LT"/>
                                </w:rPr>
                                <w:t>b</w:t>
                              </w:r>
                            </w:sdtContent>
                          </w:sdt>
                          <w:r>
                            <w:rPr>
                              <w:rFonts w:eastAsia="Calibri"/>
                              <w:szCs w:val="24"/>
                              <w:lang w:eastAsia="lt-LT"/>
                            </w:rPr>
                            <w:t>) valstybinių universitetų ir Lietuvos Respublikos švietimo, mokslo ir sporto ministerijos, kai asmuo pereina iš valstybinio universiteto į nevalstybinę aukštąją mokyklą ar atvirkščiai;</w:t>
                          </w:r>
                        </w:p>
                      </w:sdtContent>
                    </w:sdt>
                  </w:sdtContent>
                </w:sdt>
                <w:sdt>
                  <w:sdtPr>
                    <w:alias w:val="5 str. 1 d. 2 p."/>
                    <w:tag w:val="part_2163cbe4e608423fa0f0f3bdffe190db"/>
                    <w:lock w:val="sdtLocked"/>
                    <w:richText/>
                  </w:sdtPr>
                  <w:sdtContent>
                    <w:p>
                      <w:pPr>
                        <w:spacing w:line="360" w:lineRule="auto"/>
                        <w:ind w:firstLine="720"/>
                        <w:jc w:val="both"/>
                        <w:rPr>
                          <w:rFonts w:eastAsia="Calibri"/>
                          <w:szCs w:val="24"/>
                          <w:lang w:eastAsia="lt-LT"/>
                        </w:rPr>
                      </w:pPr>
                      <w:sdt>
                        <w:sdtPr>
                          <w:alias w:val="Numeris"/>
                          <w:tag w:val="nr_2163cbe4e608423fa0f0f3bdffe190d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szCs w:val="24"/>
                          <w:lang w:eastAsia="lt-LT"/>
                        </w:rPr>
                        <w:t>Švietimo, mokslo ir sporto ministerija 2025 metų valstybės biudžeto asignavimus perskirsto tarp kolegijų, kai asmuo pereina iš vienos kolegijos į kitą.</w:t>
                      </w:r>
                    </w:p>
                    <w:p>
                      <w:pPr>
                        <w:spacing w:line="360" w:lineRule="auto"/>
                        <w:ind w:firstLine="720"/>
                        <w:rPr>
                          <w:szCs w:val="24"/>
                        </w:rPr>
                      </w:pPr>
                    </w:p>
                  </w:sdtContent>
                </w:sdt>
              </w:sdtContent>
            </w:sdt>
          </w:sdtContent>
        </w:sdt>
        <w:sdt>
          <w:sdtPr>
            <w:alias w:val="6 str."/>
            <w:tag w:val="part_c85388d9c4d849f7a5ac31c2d4a8ae5c"/>
            <w:lock w:val="sdtLocked"/>
            <w:richText/>
          </w:sdtPr>
          <w:sdtContent>
            <w:p>
              <w:pPr>
                <w:widowControl w:val="0"/>
                <w:spacing w:line="360" w:lineRule="auto"/>
                <w:ind w:left="1985" w:hanging="1265"/>
                <w:jc w:val="both"/>
                <w:rPr>
                  <w:b/>
                  <w:bCs/>
                  <w:szCs w:val="24"/>
                </w:rPr>
              </w:pPr>
              <w:sdt>
                <w:sdtPr>
                  <w:alias w:val="Numeris"/>
                  <w:tag w:val="nr_c85388d9c4d849f7a5ac31c2d4a8ae5c"/>
                  <w:lock w:val="sdtLocked"/>
                  <w:richText/>
                </w:sdtPr>
                <w:sdtContent>
                  <w:r>
                    <w:rPr>
                      <w:b/>
                      <w:bCs/>
                      <w:szCs w:val="24"/>
                    </w:rPr>
                    <w:t>6</w:t>
                  </w:r>
                </w:sdtContent>
              </w:sdt>
              <w:r>
                <w:rPr>
                  <w:b/>
                  <w:bCs/>
                  <w:szCs w:val="24"/>
                </w:rPr>
                <w:t xml:space="preserve"> straipsnis. </w:t>
              </w:r>
              <w:sdt>
                <w:sdtPr>
                  <w:alias w:val="Pavadinimas"/>
                  <w:tag w:val="title_c85388d9c4d849f7a5ac31c2d4a8ae5c"/>
                  <w:lock w:val="sdtLocked"/>
                  <w:richText/>
                </w:sdtPr>
                <w:sdtContent>
                  <w:r>
                    <w:rPr>
                      <w:b/>
                      <w:bCs/>
                      <w:szCs w:val="24"/>
                    </w:rPr>
                    <w:t>2025 metų valstybės biudžeto įmokos į Privalomojo sveikatos draudimo fondo biudžetą</w:t>
                  </w:r>
                </w:sdtContent>
              </w:sdt>
            </w:p>
            <w:sdt>
              <w:sdtPr>
                <w:alias w:val="6 str. 1 d."/>
                <w:tag w:val="part_217c98accdf74e76a7681baaf8854595"/>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2025 metų valstybės biudžeto įmokos į Privalomojo sveikatos draudimo fondo biudžetą dydis yra 6,98 procento </w:t>
                  </w:r>
                  <w:r>
                    <w:rPr>
                      <w:szCs w:val="24"/>
                    </w:rPr>
                    <w:t xml:space="preserve">užpraeitų metų 12 minimaliųjų mėnesinių algų dydžio </w:t>
                  </w:r>
                  <w:r>
                    <w:rPr>
                      <w:rFonts w:eastAsia="Calibri"/>
                      <w:szCs w:val="24"/>
                      <w:lang w:eastAsia="lt-LT"/>
                    </w:rPr>
                    <w:t>ir sudaro 703,6 euro už vieną valstybės lėšomis draudžiamą asmenį.</w:t>
                  </w:r>
                </w:p>
                <w:p>
                  <w:pPr>
                    <w:spacing w:line="360" w:lineRule="auto"/>
                    <w:ind w:firstLine="720"/>
                    <w:rPr>
                      <w:szCs w:val="24"/>
                    </w:rPr>
                  </w:pPr>
                </w:p>
              </w:sdtContent>
            </w:sdt>
          </w:sdtContent>
        </w:sdt>
        <w:sdt>
          <w:sdtPr>
            <w:alias w:val="7 str."/>
            <w:tag w:val="part_e90af8c89dd24f2194ad9dffd01ece1c"/>
            <w:lock w:val="sdtLocked"/>
            <w:richText/>
          </w:sdtPr>
          <w:sdtContent>
            <w:p>
              <w:pPr>
                <w:widowControl w:val="0"/>
                <w:spacing w:line="360" w:lineRule="auto"/>
                <w:ind w:left="1985" w:hanging="1265"/>
                <w:jc w:val="both"/>
                <w:rPr>
                  <w:b/>
                  <w:szCs w:val="24"/>
                  <w:lang w:eastAsia="lt-LT"/>
                </w:rPr>
              </w:pPr>
              <w:sdt>
                <w:sdtPr>
                  <w:alias w:val="Numeris"/>
                  <w:tag w:val="nr_e90af8c89dd24f2194ad9dffd01ece1c"/>
                  <w:lock w:val="sdtLocked"/>
                  <w:richText/>
                </w:sdtPr>
                <w:sdtContent>
                  <w:r>
                    <w:rPr>
                      <w:b/>
                      <w:szCs w:val="24"/>
                      <w:lang w:eastAsia="lt-LT"/>
                    </w:rPr>
                    <w:t>7</w:t>
                  </w:r>
                </w:sdtContent>
              </w:sdt>
              <w:r>
                <w:rPr>
                  <w:b/>
                  <w:szCs w:val="24"/>
                  <w:lang w:eastAsia="lt-LT"/>
                </w:rPr>
                <w:t xml:space="preserve"> straipsnis. </w:t>
              </w:r>
              <w:sdt>
                <w:sdtPr>
                  <w:alias w:val="Pavadinimas"/>
                  <w:tag w:val="title_e90af8c89dd24f2194ad9dffd01ece1c"/>
                  <w:lock w:val="sdtLocked"/>
                  <w:richText/>
                </w:sdtPr>
                <w:sdtContent>
                  <w:r>
                    <w:rPr>
                      <w:b/>
                      <w:szCs w:val="24"/>
                      <w:lang w:eastAsia="lt-LT"/>
                    </w:rPr>
                    <w:t>2025 metų valstybės biudžeto įmokos į Valstybinio socialinio draudimo fondo biudžetą bendrajai socialinio draudimo pensijos daliai finansuoti</w:t>
                  </w:r>
                </w:sdtContent>
              </w:sdt>
            </w:p>
            <w:sdt>
              <w:sdtPr>
                <w:alias w:val="7 str. 1 d."/>
                <w:tag w:val="part_98bb1477b4d0421db90daad1e03d3e20"/>
                <w:lock w:val="sdtLocked"/>
                <w:richText/>
              </w:sdtPr>
              <w:sdtContent>
                <w:p>
                  <w:pPr>
                    <w:widowControl w:val="0"/>
                    <w:spacing w:line="360" w:lineRule="auto"/>
                    <w:ind w:firstLine="720"/>
                    <w:jc w:val="both"/>
                    <w:rPr>
                      <w:rFonts w:eastAsia="Calibri"/>
                      <w:szCs w:val="24"/>
                      <w:lang w:eastAsia="lt-LT"/>
                    </w:rPr>
                  </w:pPr>
                  <w:r>
                    <w:rPr>
                      <w:szCs w:val="24"/>
                      <w:lang w:eastAsia="lt-LT"/>
                    </w:rPr>
                    <w:t>2025 metų valstybės biudžeto įmokos į Valstybinio socialinio draudimo fondo biudžetą bendrajai socialinio draudimo pensijos daliai finansuoti sudaro 3 436 075</w:t>
                  </w:r>
                  <w:r>
                    <w:rPr>
                      <w:color w:val="000000"/>
                      <w:szCs w:val="24"/>
                    </w:rPr>
                    <w:t> </w:t>
                  </w:r>
                  <w:r>
                    <w:rPr>
                      <w:szCs w:val="24"/>
                      <w:lang w:eastAsia="lt-LT"/>
                    </w:rPr>
                    <w:t>tūkst. eurų, iš jų 39 880 tūkst. eurų valstybės biudžeto 2022 metų įsiskolinimui padengti</w:t>
                  </w:r>
                  <w:r>
                    <w:rPr>
                      <w:color w:val="000000"/>
                      <w:szCs w:val="24"/>
                    </w:rPr>
                    <w:t>.</w:t>
                  </w:r>
                </w:p>
                <w:p>
                  <w:pPr>
                    <w:spacing w:line="360" w:lineRule="auto"/>
                    <w:ind w:firstLine="720"/>
                    <w:rPr>
                      <w:szCs w:val="24"/>
                    </w:rPr>
                  </w:pPr>
                </w:p>
              </w:sdtContent>
            </w:sdt>
          </w:sdtContent>
        </w:sdt>
        <w:sdt>
          <w:sdtPr>
            <w:alias w:val="8 str."/>
            <w:tag w:val="part_591c861a0b3b437d8a808b6e7ebb5d7c"/>
            <w:lock w:val="sdtLocked"/>
            <w:richText/>
          </w:sdtPr>
          <w:sdtContent>
            <w:p>
              <w:pPr>
                <w:widowControl w:val="0"/>
                <w:tabs>
                  <w:tab w:val="num" w:pos="2155"/>
                </w:tabs>
                <w:spacing w:line="360" w:lineRule="auto"/>
                <w:ind w:firstLine="720"/>
                <w:jc w:val="both"/>
                <w:rPr>
                  <w:bCs/>
                  <w:szCs w:val="24"/>
                  <w:lang w:eastAsia="lt-LT"/>
                </w:rPr>
              </w:pPr>
              <w:sdt>
                <w:sdtPr>
                  <w:alias w:val="Numeris"/>
                  <w:tag w:val="nr_591c861a0b3b437d8a808b6e7ebb5d7c"/>
                  <w:lock w:val="sdtLocked"/>
                  <w:richText/>
                </w:sdtPr>
                <w:sdtContent>
                  <w:r>
                    <w:rPr>
                      <w:b/>
                      <w:bCs/>
                      <w:szCs w:val="24"/>
                    </w:rPr>
                    <w:t>8</w:t>
                  </w:r>
                </w:sdtContent>
              </w:sdt>
              <w:r>
                <w:rPr>
                  <w:b/>
                  <w:bCs/>
                  <w:szCs w:val="24"/>
                </w:rPr>
                <w:t xml:space="preserve"> straipsnis. </w:t>
              </w:r>
              <w:sdt>
                <w:sdtPr>
                  <w:alias w:val="Pavadinimas"/>
                  <w:tag w:val="title_591c861a0b3b437d8a808b6e7ebb5d7c"/>
                  <w:lock w:val="sdtLocked"/>
                  <w:richText/>
                </w:sdtPr>
                <w:sdtContent>
                  <w:r>
                    <w:rPr>
                      <w:b/>
                      <w:bCs/>
                      <w:szCs w:val="24"/>
                    </w:rPr>
                    <w:t>2025 metų v</w:t>
                  </w:r>
                  <w:r>
                    <w:rPr>
                      <w:b/>
                      <w:bCs/>
                      <w:szCs w:val="24"/>
                      <w:lang w:eastAsia="lt-LT"/>
                    </w:rPr>
                    <w:t>alstybinių pensijų indeksavimas ir valstybinių pensijų bazė</w:t>
                  </w:r>
                </w:sdtContent>
              </w:sdt>
            </w:p>
            <w:sdt>
              <w:sdtPr>
                <w:alias w:val="8 str. 1 d."/>
                <w:tag w:val="part_a22847a1efd2457987bdf9ba9ab6cbf3"/>
                <w:lock w:val="sdtLocked"/>
                <w:richText/>
              </w:sdtPr>
              <w:sdtContent>
                <w:p>
                  <w:pPr>
                    <w:widowControl w:val="0"/>
                    <w:spacing w:line="360" w:lineRule="auto"/>
                    <w:ind w:firstLine="720"/>
                    <w:jc w:val="both"/>
                    <w:rPr>
                      <w:szCs w:val="24"/>
                      <w:lang w:eastAsia="lt-LT"/>
                    </w:rPr>
                  </w:pPr>
                  <w:r>
                    <w:rPr>
                      <w:szCs w:val="24"/>
                      <w:lang w:eastAsia="lt-LT"/>
                    </w:rPr>
                    <w:t>2025 metų valstybinių pensijų indeksavimo koeficientas yra 1,0175, valstybinių pensijų bazės dydis – 73,62 euro.</w:t>
                  </w:r>
                </w:p>
                <w:p>
                  <w:pPr>
                    <w:spacing w:line="360" w:lineRule="auto"/>
                    <w:ind w:firstLine="720"/>
                    <w:rPr>
                      <w:szCs w:val="24"/>
                    </w:rPr>
                  </w:pPr>
                </w:p>
              </w:sdtContent>
            </w:sdt>
          </w:sdtContent>
        </w:sdt>
        <w:sdt>
          <w:sdtPr>
            <w:alias w:val="9 str."/>
            <w:tag w:val="part_d433575820cc4065bd913299d8672759"/>
            <w:lock w:val="sdtLocked"/>
            <w:richText/>
          </w:sdtPr>
          <w:sdtContent>
            <w:p>
              <w:pPr>
                <w:tabs>
                  <w:tab w:val="num" w:pos="2155"/>
                </w:tabs>
                <w:spacing w:line="360" w:lineRule="auto"/>
                <w:ind w:firstLine="720"/>
                <w:jc w:val="both"/>
                <w:rPr>
                  <w:b/>
                  <w:bCs/>
                  <w:szCs w:val="24"/>
                </w:rPr>
              </w:pPr>
              <w:sdt>
                <w:sdtPr>
                  <w:alias w:val="Numeris"/>
                  <w:tag w:val="nr_d433575820cc4065bd913299d8672759"/>
                  <w:lock w:val="sdtLocked"/>
                  <w:richText/>
                </w:sdtPr>
                <w:sdtContent>
                  <w:r>
                    <w:rPr>
                      <w:b/>
                      <w:bCs/>
                      <w:szCs w:val="24"/>
                    </w:rPr>
                    <w:t>9</w:t>
                  </w:r>
                </w:sdtContent>
              </w:sdt>
              <w:r>
                <w:rPr>
                  <w:b/>
                  <w:bCs/>
                  <w:szCs w:val="24"/>
                </w:rPr>
                <w:t xml:space="preserve"> straipsnis. </w:t>
              </w:r>
              <w:sdt>
                <w:sdtPr>
                  <w:alias w:val="Pavadinimas"/>
                  <w:tag w:val="title_d433575820cc4065bd913299d8672759"/>
                  <w:lock w:val="sdtLocked"/>
                  <w:richText/>
                </w:sdtPr>
                <w:sdtContent>
                  <w:r>
                    <w:rPr>
                      <w:b/>
                      <w:bCs/>
                      <w:szCs w:val="24"/>
                    </w:rPr>
                    <w:t>2025 metų valstybės biudžeto papildoma pensijos įmoka į pensijų fondus už dalyvį</w:t>
                  </w:r>
                </w:sdtContent>
              </w:sdt>
            </w:p>
            <w:sdt>
              <w:sdtPr>
                <w:alias w:val="9 str. 1 d."/>
                <w:tag w:val="part_83d1a12418a74afa98eb4d2c3cad8c7e"/>
                <w:lock w:val="sdtLocked"/>
                <w:richText/>
              </w:sdtPr>
              <w:sdtContent>
                <w:p>
                  <w:pPr>
                    <w:spacing w:line="360" w:lineRule="auto"/>
                    <w:ind w:firstLine="720"/>
                    <w:jc w:val="both"/>
                    <w:rPr>
                      <w:rFonts w:eastAsia="Calibri"/>
                      <w:szCs w:val="24"/>
                      <w:lang w:eastAsia="lt-LT"/>
                    </w:rPr>
                  </w:pPr>
                  <w:r>
                    <w:rPr>
                      <w:rFonts w:eastAsia="Calibri"/>
                      <w:szCs w:val="24"/>
                      <w:lang w:eastAsia="lt-LT"/>
                    </w:rPr>
                    <w:t>2025 metų valstybės biudžeto papildoma pensijos įmoka į pensijų fondus už dalyvį yra lygi 1,5 procento Valstybės duomenų agentūros paskelbto užpraeitų metų keturių ketvirčių šalies ūkio darbuotojų vidutinio mėnesinio bruto darbo užmokesčio vidurkio ir sudaro 30,33</w:t>
                  </w:r>
                  <w:r>
                    <w:rPr>
                      <w:rFonts w:eastAsia="Calibri"/>
                      <w:color w:val="000000"/>
                      <w:szCs w:val="24"/>
                      <w:lang w:eastAsia="lt-LT"/>
                    </w:rPr>
                    <w:t> </w:t>
                  </w:r>
                  <w:r>
                    <w:rPr>
                      <w:rFonts w:eastAsia="Calibri"/>
                      <w:szCs w:val="24"/>
                      <w:lang w:eastAsia="lt-LT"/>
                    </w:rPr>
                    <w:t>euro per mėnesį. 2025 metų valstybės biudžeto papildoma pensijos įmoka į pensijų fondus už dalyvį, kuriam taikomos Lietuvos Respublikos pensijų kaupimo įstatymo 8 straipsnio 2 dalies nuostatos, yra lygi 1,5 procento Valstybės duomenų agentūros paskelbto užpraeitų metų keturių ketvirčių šalies ūkio darbuotojų vidutinio mėnesinio bruto darbo užmokesčio vidurkio ir sudaro 30,33</w:t>
                  </w:r>
                  <w:r>
                    <w:rPr>
                      <w:rFonts w:eastAsia="Calibri"/>
                      <w:color w:val="000000"/>
                      <w:szCs w:val="24"/>
                      <w:lang w:eastAsia="lt-LT"/>
                    </w:rPr>
                    <w:t> </w:t>
                  </w:r>
                  <w:r>
                    <w:rPr>
                      <w:rFonts w:eastAsia="Calibri"/>
                      <w:szCs w:val="24"/>
                      <w:lang w:eastAsia="lt-LT"/>
                    </w:rPr>
                    <w:t>euro per mėnesį.</w:t>
                  </w:r>
                </w:p>
                <w:p>
                  <w:pPr>
                    <w:spacing w:line="360" w:lineRule="auto"/>
                    <w:ind w:firstLine="720"/>
                    <w:jc w:val="both"/>
                    <w:rPr>
                      <w:rFonts w:eastAsia="Calibri"/>
                      <w:szCs w:val="24"/>
                      <w:lang w:eastAsia="lt-LT"/>
                    </w:rPr>
                  </w:pPr>
                </w:p>
              </w:sdtContent>
            </w:sdt>
          </w:sdtContent>
        </w:sdt>
        <w:sdt>
          <w:sdtPr>
            <w:alias w:val="10 str."/>
            <w:tag w:val="part_4fa1e75e33bf4a71885413fab0d5d7a4"/>
            <w:lock w:val="sdtLocked"/>
            <w:richText/>
          </w:sdtPr>
          <w:sdtContent>
            <w:p>
              <w:pPr>
                <w:tabs>
                  <w:tab w:val="num" w:pos="2155"/>
                </w:tabs>
                <w:spacing w:line="360" w:lineRule="auto"/>
                <w:ind w:left="2268" w:hanging="1548"/>
                <w:jc w:val="both"/>
                <w:rPr>
                  <w:b/>
                  <w:bCs/>
                  <w:szCs w:val="24"/>
                </w:rPr>
              </w:pPr>
              <w:sdt>
                <w:sdtPr>
                  <w:alias w:val="Numeris"/>
                  <w:tag w:val="nr_4fa1e75e33bf4a71885413fab0d5d7a4"/>
                  <w:lock w:val="sdtLocked"/>
                  <w:richText/>
                </w:sdtPr>
                <w:sdtContent>
                  <w:r>
                    <w:rPr>
                      <w:b/>
                      <w:bCs/>
                      <w:szCs w:val="24"/>
                    </w:rPr>
                    <w:t>10</w:t>
                  </w:r>
                </w:sdtContent>
              </w:sdt>
              <w:r>
                <w:rPr>
                  <w:b/>
                  <w:bCs/>
                  <w:szCs w:val="24"/>
                </w:rPr>
                <w:t xml:space="preserve"> straipsnis. </w:t>
              </w:r>
              <w:sdt>
                <w:sdtPr>
                  <w:alias w:val="Pavadinimas"/>
                  <w:tag w:val="title_4fa1e75e33bf4a71885413fab0d5d7a4"/>
                  <w:lock w:val="sdtLocked"/>
                  <w:richText/>
                </w:sdtPr>
                <w:sdtContent>
                  <w:r>
                    <w:rPr>
                      <w:b/>
                      <w:bCs/>
                      <w:color w:val="000000"/>
                      <w:szCs w:val="24"/>
                    </w:rPr>
                    <w:t>Valstybės garantijų ir valstybės garantuojamų garantijų institucijų prisiimtų įsipareigojimų pagal garantijas limitai</w:t>
                  </w:r>
                </w:sdtContent>
              </w:sdt>
            </w:p>
            <w:sdt>
              <w:sdtPr>
                <w:alias w:val="10 str. 1 d."/>
                <w:tag w:val="part_12131840b763470fad04ab1913282c56"/>
                <w:lock w:val="sdtLocked"/>
                <w:richText/>
              </w:sdtPr>
              <w:sdtContent>
                <w:p>
                  <w:pPr>
                    <w:spacing w:line="360" w:lineRule="auto"/>
                    <w:ind w:firstLine="720"/>
                    <w:jc w:val="both"/>
                    <w:rPr>
                      <w:rFonts w:eastAsia="Calibri"/>
                      <w:szCs w:val="24"/>
                      <w:lang w:eastAsia="lt-LT"/>
                    </w:rPr>
                  </w:pPr>
                  <w:r>
                    <w:rPr>
                      <w:rFonts w:eastAsia="Calibri"/>
                      <w:szCs w:val="24"/>
                      <w:lang w:eastAsia="lt-LT"/>
                    </w:rPr>
                    <w:t>2025 metais valstybės garantijos gali būti teikiamos:</w:t>
                  </w:r>
                </w:p>
                <w:sdt>
                  <w:sdtPr>
                    <w:alias w:val="10 str. 1 d. 1 p."/>
                    <w:tag w:val="part_ec99d44710f849278def7901d7d539e6"/>
                    <w:lock w:val="sdtLocked"/>
                    <w:richText/>
                  </w:sdtPr>
                  <w:sdtContent>
                    <w:p>
                      <w:pPr>
                        <w:tabs>
                          <w:tab w:val="left" w:pos="1021"/>
                          <w:tab w:val="left" w:pos="1077"/>
                        </w:tabs>
                        <w:spacing w:line="360" w:lineRule="auto"/>
                        <w:ind w:firstLine="720"/>
                        <w:jc w:val="both"/>
                        <w:rPr>
                          <w:rFonts w:eastAsia="Calibri"/>
                          <w:szCs w:val="24"/>
                          <w:lang w:eastAsia="lt-LT"/>
                        </w:rPr>
                      </w:pPr>
                      <w:sdt>
                        <w:sdtPr>
                          <w:alias w:val="Numeris"/>
                          <w:tag w:val="nr_ec99d44710f849278def7901d7d539e6"/>
                          <w:lock w:val="sdtLocked"/>
                          <w:richText/>
                        </w:sdtPr>
                        <w:sdtContent>
                          <w:r>
                            <w:rPr>
                              <w:rFonts w:eastAsia="Calibri"/>
                              <w:szCs w:val="24"/>
                              <w:lang w:eastAsia="lt-LT"/>
                            </w:rPr>
                            <w:t>1</w:t>
                          </w:r>
                        </w:sdtContent>
                      </w:sdt>
                      <w:r>
                        <w:rPr>
                          <w:rFonts w:eastAsia="Calibri"/>
                          <w:szCs w:val="24"/>
                          <w:lang w:eastAsia="lt-LT"/>
                        </w:rPr>
                        <w:t xml:space="preserve">) </w:t>
                      </w:r>
                      <w:r>
                        <w:rPr>
                          <w:color w:val="000000"/>
                          <w:szCs w:val="24"/>
                        </w:rPr>
                        <w:t>už valstybės garantuojamų garantijų institucijų prisiimtus įsipareigojimus pagal garantijas. Bendra 2025 ir ankstesniais metais prisiimtų įsipareigojimų suma, įvertinus įvykdytus įsipareigojimus, vienu metu negali viršyti 449 900 tūkst. eurų. Į valstybės garantuojamų garantijų institucijų prisiimtų įsipareigojimų pagal garantijas limitą neįtraukiama garantijų institucijų įsipareigojimų pagal garantijas dalis, kuri yra pergarantuota finansų institucijų, turinčių aukščiausią kredito reitingą (AAA), suteiktą bent dviejų iš tarptautinių reitingų agentūrų „Moody’s“, „Standard &amp; Poor’s“ ir „Fitch Ratings“</w:t>
                      </w:r>
                      <w:r>
                        <w:rPr>
                          <w:rFonts w:eastAsia="Calibri"/>
                          <w:szCs w:val="24"/>
                          <w:lang w:eastAsia="lt-LT"/>
                        </w:rPr>
                        <w:t>;</w:t>
                      </w:r>
                    </w:p>
                  </w:sdtContent>
                </w:sdt>
                <w:sdt>
                  <w:sdtPr>
                    <w:alias w:val="10 str. 1 d. 2 p."/>
                    <w:tag w:val="part_909ba849af744b48a64f5509c6014ad9"/>
                    <w:lock w:val="sdtLocked"/>
                    <w:richText/>
                  </w:sdtPr>
                  <w:sdtContent>
                    <w:p>
                      <w:pPr>
                        <w:tabs>
                          <w:tab w:val="left" w:pos="1021"/>
                          <w:tab w:val="left" w:pos="1077"/>
                        </w:tabs>
                        <w:spacing w:line="360" w:lineRule="auto"/>
                        <w:ind w:firstLine="720"/>
                        <w:jc w:val="both"/>
                        <w:rPr>
                          <w:rFonts w:eastAsia="Calibri"/>
                          <w:szCs w:val="24"/>
                          <w:lang w:eastAsia="lt-LT"/>
                        </w:rPr>
                      </w:pPr>
                      <w:sdt>
                        <w:sdtPr>
                          <w:alias w:val="Numeris"/>
                          <w:tag w:val="nr_909ba849af744b48a64f5509c6014ad9"/>
                          <w:lock w:val="sdtLocked"/>
                          <w:richText/>
                        </w:sdtPr>
                        <w:sdtContent>
                          <w:r>
                            <w:rPr>
                              <w:rFonts w:eastAsia="Calibri"/>
                              <w:szCs w:val="24"/>
                              <w:lang w:eastAsia="lt-LT"/>
                            </w:rPr>
                            <w:t>2</w:t>
                          </w:r>
                        </w:sdtContent>
                      </w:sdt>
                      <w:r>
                        <w:rPr>
                          <w:rFonts w:eastAsia="Calibri"/>
                          <w:szCs w:val="24"/>
                          <w:lang w:eastAsia="lt-LT"/>
                        </w:rPr>
                        <w:t xml:space="preserve">) </w:t>
                      </w:r>
                      <w:r>
                        <w:rPr>
                          <w:color w:val="000000"/>
                          <w:szCs w:val="24"/>
                        </w:rPr>
                        <w:t>dėl paskolų, naudojamų investicijų projektams finansuoti ir (arba) Lietuvos Respublikos nacionaliniam saugumui užtikrinti svarbių objektų apsaugos įstatyme nurodytų nacionaliniam saugumui užtikrinti svarbių įmonių apyvartinėms lėšoms papildyti. Bendra 2025 ir ankstesniais metais prisiimtų įsipareigojimų suma, įvertinus įvykdytus įsipareigojimus, vienu metu negali viršyti 332 175 tūkst. eurų</w:t>
                      </w:r>
                      <w:r>
                        <w:rPr>
                          <w:rFonts w:eastAsia="Calibri"/>
                          <w:szCs w:val="24"/>
                          <w:lang w:eastAsia="lt-LT"/>
                        </w:rPr>
                        <w:t>;</w:t>
                      </w:r>
                    </w:p>
                  </w:sdtContent>
                </w:sdt>
                <w:sdt>
                  <w:sdtPr>
                    <w:alias w:val="10 str. 1 d. 3 p."/>
                    <w:tag w:val="part_b190d14b408546e19e18a53c106c11b3"/>
                    <w:lock w:val="sdtLocked"/>
                    <w:richText/>
                  </w:sdtPr>
                  <w:sdtContent>
                    <w:p>
                      <w:pPr>
                        <w:tabs>
                          <w:tab w:val="left" w:pos="1021"/>
                          <w:tab w:val="left" w:pos="1077"/>
                        </w:tabs>
                        <w:spacing w:line="360" w:lineRule="auto"/>
                        <w:ind w:firstLine="720"/>
                        <w:jc w:val="both"/>
                        <w:rPr>
                          <w:rFonts w:eastAsia="Calibri"/>
                          <w:szCs w:val="24"/>
                          <w:lang w:eastAsia="lt-LT"/>
                        </w:rPr>
                      </w:pPr>
                      <w:sdt>
                        <w:sdtPr>
                          <w:alias w:val="Numeris"/>
                          <w:tag w:val="nr_b190d14b408546e19e18a53c106c11b3"/>
                          <w:lock w:val="sdtLocked"/>
                          <w:richText/>
                        </w:sdtPr>
                        <w:sdtContent>
                          <w:r>
                            <w:rPr>
                              <w:rFonts w:eastAsia="Calibri"/>
                              <w:szCs w:val="24"/>
                              <w:lang w:eastAsia="lt-LT"/>
                            </w:rPr>
                            <w:t>3</w:t>
                          </w:r>
                        </w:sdtContent>
                      </w:sdt>
                      <w:r>
                        <w:rPr>
                          <w:rFonts w:eastAsia="Calibri"/>
                          <w:szCs w:val="24"/>
                          <w:lang w:eastAsia="lt-LT"/>
                        </w:rPr>
                        <w:t xml:space="preserve">) </w:t>
                      </w:r>
                      <w:r>
                        <w:rPr>
                          <w:color w:val="000000"/>
                          <w:szCs w:val="24"/>
                        </w:rPr>
                        <w:t>dėl Mokslo ir studijų įstatyme nurodytų valstybės remiamų paskolų. Bendra 2025 ir ankstesniais metais prisiimtų įsipareigojimų suma, įvertinus įvykdytus įsipareigojimus, vienu metu negali viršyti 149 000 tūkst. eurų. Per 2025 metus naujų pasirašytų valstybės remiamų paskolų</w:t>
                      </w:r>
                      <w:r>
                        <w:rPr>
                          <w:b/>
                          <w:bCs/>
                          <w:color w:val="000000"/>
                          <w:szCs w:val="24"/>
                        </w:rPr>
                        <w:t xml:space="preserve"> </w:t>
                      </w:r>
                      <w:r>
                        <w:rPr>
                          <w:color w:val="000000"/>
                          <w:szCs w:val="24"/>
                        </w:rPr>
                        <w:t>suma negali viršyti 29 000 tūkst. eurų</w:t>
                      </w:r>
                      <w:r>
                        <w:rPr>
                          <w:color w:val="000000"/>
                          <w:szCs w:val="24"/>
                          <w:lang w:eastAsia="lt-LT"/>
                        </w:rPr>
                        <w:t>;</w:t>
                      </w:r>
                    </w:p>
                  </w:sdtContent>
                </w:sdt>
                <w:sdt>
                  <w:sdtPr>
                    <w:alias w:val="10 str. 1 d. 4 p."/>
                    <w:tag w:val="part_b791b59cbff64c1687c34beebde3fd56"/>
                    <w:lock w:val="sdtLocked"/>
                    <w:richText/>
                  </w:sdtPr>
                  <w:sdtContent>
                    <w:p>
                      <w:pPr>
                        <w:spacing w:line="360" w:lineRule="auto"/>
                        <w:ind w:firstLine="720"/>
                        <w:jc w:val="both"/>
                        <w:rPr>
                          <w:szCs w:val="24"/>
                        </w:rPr>
                      </w:pPr>
                      <w:sdt>
                        <w:sdtPr>
                          <w:alias w:val="Numeris"/>
                          <w:tag w:val="nr_b791b59cbff64c1687c34beebde3fd56"/>
                          <w:lock w:val="sdtLocked"/>
                          <w:richText/>
                        </w:sdtPr>
                        <w:sdtContent>
                          <w:r>
                            <w:rPr>
                              <w:rFonts w:eastAsia="Calibri"/>
                              <w:szCs w:val="24"/>
                              <w:lang w:eastAsia="lt-LT"/>
                            </w:rPr>
                            <w:t>4</w:t>
                          </w:r>
                        </w:sdtContent>
                      </w:sdt>
                      <w:r>
                        <w:rPr>
                          <w:rFonts w:eastAsia="Calibri"/>
                          <w:szCs w:val="24"/>
                          <w:lang w:eastAsia="lt-LT"/>
                        </w:rPr>
                        <w:t xml:space="preserve">) </w:t>
                      </w:r>
                      <w:r>
                        <w:rPr>
                          <w:color w:val="000000"/>
                          <w:szCs w:val="24"/>
                        </w:rPr>
                        <w:t>dėl paskolų ir ne nuosavybės vertybinių popierių, naudojamų ekstremaliųjų situacijų paveiktos ekonomikos skatinimo tikslams įgyvendinti ir verslo finansiniam likvidumui didinti. Bendra 2025 ir ankstesniais metais prisiimtų įsipareigojimų suma, įvertinus įvykdytus įsipareigojimus, negali viršyti 25 000 tūkst. eurų</w:t>
                      </w:r>
                      <w:r>
                        <w:rPr>
                          <w:szCs w:val="24"/>
                        </w:rPr>
                        <w:t>.</w:t>
                      </w:r>
                    </w:p>
                    <w:p>
                      <w:pPr>
                        <w:spacing w:line="360" w:lineRule="auto"/>
                        <w:ind w:firstLine="720"/>
                        <w:rPr>
                          <w:szCs w:val="24"/>
                        </w:rPr>
                      </w:pPr>
                    </w:p>
                  </w:sdtContent>
                </w:sdt>
              </w:sdtContent>
            </w:sdt>
          </w:sdtContent>
        </w:sdt>
        <w:sdt>
          <w:sdtPr>
            <w:alias w:val="11 str."/>
            <w:tag w:val="part_94332010b3a84dde82544ba8c1c0a88b"/>
            <w:lock w:val="sdtLocked"/>
            <w:richText/>
          </w:sdtPr>
          <w:sdtContent>
            <w:p>
              <w:pPr>
                <w:spacing w:line="360" w:lineRule="auto"/>
                <w:ind w:firstLine="720"/>
                <w:jc w:val="both"/>
                <w:rPr>
                  <w:b/>
                  <w:bCs/>
                  <w:szCs w:val="24"/>
                </w:rPr>
              </w:pPr>
              <w:sdt>
                <w:sdtPr>
                  <w:alias w:val="Numeris"/>
                  <w:tag w:val="nr_94332010b3a84dde82544ba8c1c0a88b"/>
                  <w:lock w:val="sdtLocked"/>
                  <w:richText/>
                </w:sdtPr>
                <w:sdtContent>
                  <w:r>
                    <w:rPr>
                      <w:b/>
                      <w:bCs/>
                      <w:szCs w:val="24"/>
                    </w:rPr>
                    <w:t>11</w:t>
                  </w:r>
                </w:sdtContent>
              </w:sdt>
              <w:r>
                <w:rPr>
                  <w:b/>
                  <w:bCs/>
                  <w:szCs w:val="24"/>
                </w:rPr>
                <w:t xml:space="preserve"> straipsnis. </w:t>
              </w:r>
              <w:sdt>
                <w:sdtPr>
                  <w:alias w:val="Pavadinimas"/>
                  <w:tag w:val="title_94332010b3a84dde82544ba8c1c0a88b"/>
                  <w:lock w:val="sdtLocked"/>
                  <w:richText/>
                </w:sdtPr>
                <w:sdtContent>
                  <w:r>
                    <w:rPr>
                      <w:b/>
                      <w:bCs/>
                      <w:color w:val="000000"/>
                      <w:szCs w:val="24"/>
                    </w:rPr>
                    <w:t>Vyriausybės grynojo skolinių įsipareigojimų pokyčio limitas</w:t>
                  </w:r>
                </w:sdtContent>
              </w:sdt>
            </w:p>
            <w:sdt>
              <w:sdtPr>
                <w:alias w:val="11 str. 1 d."/>
                <w:tag w:val="part_32c363539c42480c9ae4132d7edb9a20"/>
                <w:lock w:val="sdtLocked"/>
                <w:richText/>
              </w:sdtPr>
              <w:sdtContent>
                <w:p>
                  <w:pPr>
                    <w:spacing w:line="360" w:lineRule="auto"/>
                    <w:ind w:firstLine="720"/>
                    <w:jc w:val="both"/>
                    <w:rPr>
                      <w:rFonts w:eastAsia="Calibri"/>
                      <w:szCs w:val="24"/>
                      <w:lang w:eastAsia="lt-LT"/>
                    </w:rPr>
                  </w:pPr>
                  <w:r>
                    <w:rPr>
                      <w:rFonts w:eastAsia="Calibri"/>
                      <w:szCs w:val="24"/>
                      <w:lang w:eastAsia="lt-LT"/>
                    </w:rPr>
                    <w:t>2025 metų Vyriausybės grynojo skolinių įsipareigojimų pokyčio limitas yra (teigiamas) 5 035 056</w:t>
                  </w:r>
                  <w:r>
                    <w:rPr>
                      <w:color w:val="000000"/>
                      <w:szCs w:val="24"/>
                    </w:rPr>
                    <w:t> </w:t>
                  </w:r>
                  <w:r>
                    <w:rPr>
                      <w:rFonts w:eastAsia="Calibri"/>
                      <w:szCs w:val="24"/>
                      <w:lang w:eastAsia="lt-LT"/>
                    </w:rPr>
                    <w:t>tūkst. eurų.</w:t>
                  </w:r>
                </w:p>
                <w:p>
                  <w:pPr>
                    <w:spacing w:line="360" w:lineRule="auto"/>
                    <w:ind w:firstLine="720"/>
                    <w:jc w:val="both"/>
                    <w:rPr>
                      <w:color w:val="000000"/>
                      <w:szCs w:val="24"/>
                    </w:rPr>
                  </w:pPr>
                </w:p>
              </w:sdtContent>
            </w:sdt>
          </w:sdtContent>
        </w:sdt>
        <w:sdt>
          <w:sdtPr>
            <w:alias w:val="12 str."/>
            <w:tag w:val="part_e2e3b8d266dd49599ffd752ebf3d9728"/>
            <w:lock w:val="sdtLocked"/>
            <w:richText/>
          </w:sdtPr>
          <w:sdtContent>
            <w:p>
              <w:pPr>
                <w:spacing w:line="360" w:lineRule="auto"/>
                <w:ind w:left="2127" w:hanging="1407"/>
                <w:jc w:val="both"/>
                <w:rPr>
                  <w:b/>
                  <w:bCs/>
                  <w:szCs w:val="24"/>
                </w:rPr>
              </w:pPr>
              <w:sdt>
                <w:sdtPr>
                  <w:alias w:val="Numeris"/>
                  <w:tag w:val="nr_e2e3b8d266dd49599ffd752ebf3d9728"/>
                  <w:lock w:val="sdtLocked"/>
                  <w:richText/>
                </w:sdtPr>
                <w:sdtContent>
                  <w:r>
                    <w:rPr>
                      <w:b/>
                      <w:bCs/>
                      <w:szCs w:val="24"/>
                    </w:rPr>
                    <w:t>12</w:t>
                  </w:r>
                </w:sdtContent>
              </w:sdt>
              <w:r>
                <w:rPr>
                  <w:b/>
                  <w:bCs/>
                  <w:szCs w:val="24"/>
                </w:rPr>
                <w:t xml:space="preserve"> straipsnis. </w:t>
              </w:r>
              <w:sdt>
                <w:sdtPr>
                  <w:alias w:val="Pavadinimas"/>
                  <w:tag w:val="title_e2e3b8d266dd49599ffd752ebf3d9728"/>
                  <w:lock w:val="sdtLocked"/>
                  <w:richText/>
                </w:sdtPr>
                <w:sdtContent>
                  <w:r>
                    <w:rPr>
                      <w:b/>
                      <w:bCs/>
                      <w:szCs w:val="24"/>
                    </w:rPr>
                    <w:t>Centrinės valdžios sektoriaus subjektų skolinimosi limitai</w:t>
                  </w:r>
                </w:sdtContent>
              </w:sdt>
            </w:p>
            <w:sdt>
              <w:sdtPr>
                <w:alias w:val="12 str. 1 d."/>
                <w:tag w:val="part_3ee6fa593de94ce19b6dfe4fba427299"/>
                <w:lock w:val="sdtLocked"/>
                <w:richText/>
              </w:sdtPr>
              <w:sdtContent>
                <w:p>
                  <w:pPr>
                    <w:spacing w:line="360" w:lineRule="auto"/>
                    <w:ind w:firstLine="720"/>
                    <w:jc w:val="both"/>
                    <w:rPr>
                      <w:rFonts w:eastAsia="Calibri"/>
                      <w:szCs w:val="24"/>
                      <w:lang w:eastAsia="lt-LT"/>
                    </w:rPr>
                  </w:pPr>
                  <w:sdt>
                    <w:sdtPr>
                      <w:alias w:val="Numeris"/>
                      <w:tag w:val="nr_3ee6fa593de94ce19b6dfe4fba427299"/>
                      <w:lock w:val="sdtLocked"/>
                      <w:richText/>
                    </w:sdtPr>
                    <w:sdtContent>
                      <w:r>
                        <w:rPr>
                          <w:rFonts w:eastAsia="Calibri"/>
                          <w:szCs w:val="24"/>
                          <w:lang w:eastAsia="lt-LT"/>
                        </w:rPr>
                        <w:t>1</w:t>
                      </w:r>
                    </w:sdtContent>
                  </w:sdt>
                  <w:r>
                    <w:rPr>
                      <w:rFonts w:eastAsia="Calibri"/>
                      <w:szCs w:val="24"/>
                      <w:lang w:eastAsia="lt-LT"/>
                    </w:rPr>
                    <w:t>. Centrinės valdžios sektoriaus subjektų (išskyrus Vyriausybę, Lietuvos Respublikos indėlių ir įsipareigojimų investuotojams draudimo įstatyme nurodytą draudimo įmonę ir šio straipsnio 2 dalyje nurodytus subjektus), turinčių teisę skolintis, 2025 metais pasiskolintų (išimtų) lėšų pagal 2025 ir ankstesniais metais pasirašytas sutartis limitas (toliau – centrinės valdžios sektoriaus subjektų skolinimosi limitas) – 289 495 tūkst. eurų. Į centrinės valdžios sektoriaus subjektų skolinimosi limitą neįtraukiami skoliniai įsipareigojimai, kurie prisiimami ir įvykdomi tais pačiais biudžetiniais metais ir (arba) skirti ankstesniems skoliniams įsipareigojimams refinansuoti.</w:t>
                  </w:r>
                </w:p>
              </w:sdtContent>
            </w:sdt>
            <w:sdt>
              <w:sdtPr>
                <w:alias w:val="12 str. 2 d."/>
                <w:tag w:val="part_1017702c1869467a9828339a198acf80"/>
                <w:lock w:val="sdtLocked"/>
                <w:richText/>
              </w:sdtPr>
              <w:sdtContent>
                <w:p>
                  <w:pPr>
                    <w:spacing w:line="360" w:lineRule="auto"/>
                    <w:ind w:firstLine="720"/>
                    <w:jc w:val="both"/>
                    <w:rPr>
                      <w:color w:val="000000"/>
                      <w:szCs w:val="24"/>
                    </w:rPr>
                  </w:pPr>
                  <w:sdt>
                    <w:sdtPr>
                      <w:alias w:val="Numeris"/>
                      <w:tag w:val="nr_1017702c1869467a9828339a198acf80"/>
                      <w:lock w:val="sdtLocked"/>
                      <w:richText/>
                    </w:sdtPr>
                    <w:sdtContent>
                      <w:r>
                        <w:rPr>
                          <w:rFonts w:eastAsia="Calibri"/>
                          <w:szCs w:val="24"/>
                          <w:lang w:eastAsia="lt-LT"/>
                        </w:rPr>
                        <w:t>2</w:t>
                      </w:r>
                    </w:sdtContent>
                  </w:sdt>
                  <w:r>
                    <w:rPr>
                      <w:rFonts w:eastAsia="Calibri"/>
                      <w:szCs w:val="24"/>
                      <w:lang w:eastAsia="lt-LT"/>
                    </w:rPr>
                    <w:t>. 2025 metais valstybinės aukštosios mokyklos ir valstybinės profesinio mokymo įstaigos gali pasirašyti paskolų sutartis ir kitus įsipareigojamuosius skolos dokumentus, suteikiančius teisę skolintis ne daugiau kaip 51 500 tūkst. eurų. 2025 metais valstybinių aukštųjų mokyklų ir valstybinių profesinio mokymo įstaigų pasiskolintų (išimtų) lėšų pagal 2025 ir ankstesniais metais pasirašytas paskolų sutartis ir kitus įsipareigojamuosius skolos dokumentus limitas – 41 200 tūkst. eurų</w:t>
                  </w:r>
                  <w:r>
                    <w:rPr>
                      <w:color w:val="000000"/>
                      <w:szCs w:val="24"/>
                    </w:rPr>
                    <w:t xml:space="preserve">. </w:t>
                  </w:r>
                </w:p>
                <w:p>
                  <w:pPr>
                    <w:spacing w:line="360" w:lineRule="auto"/>
                    <w:ind w:firstLine="720"/>
                    <w:jc w:val="both"/>
                    <w:rPr>
                      <w:szCs w:val="24"/>
                    </w:rPr>
                  </w:pPr>
                </w:p>
              </w:sdtContent>
            </w:sdt>
          </w:sdtContent>
        </w:sdt>
        <w:sdt>
          <w:sdtPr>
            <w:alias w:val="13 str."/>
            <w:tag w:val="part_fb29436471284116af8face4204fa962"/>
            <w:lock w:val="sdtLocked"/>
            <w:richText/>
          </w:sdtPr>
          <w:sdtContent>
            <w:p>
              <w:pPr>
                <w:tabs>
                  <w:tab w:val="left" w:pos="2155"/>
                </w:tabs>
                <w:spacing w:line="360" w:lineRule="auto"/>
                <w:ind w:firstLine="720"/>
                <w:jc w:val="both"/>
                <w:rPr>
                  <w:b/>
                  <w:bCs/>
                  <w:szCs w:val="24"/>
                </w:rPr>
              </w:pPr>
              <w:sdt>
                <w:sdtPr>
                  <w:alias w:val="Numeris"/>
                  <w:tag w:val="nr_fb29436471284116af8face4204fa962"/>
                  <w:lock w:val="sdtLocked"/>
                  <w:richText/>
                </w:sdtPr>
                <w:sdtContent>
                  <w:r>
                    <w:rPr>
                      <w:b/>
                      <w:bCs/>
                      <w:szCs w:val="24"/>
                    </w:rPr>
                    <w:t>13</w:t>
                  </w:r>
                </w:sdtContent>
              </w:sdt>
              <w:r>
                <w:rPr>
                  <w:b/>
                  <w:bCs/>
                  <w:szCs w:val="24"/>
                </w:rPr>
                <w:t xml:space="preserve"> straipsnis.</w:t>
                <w:tab/>
              </w:r>
              <w:sdt>
                <w:sdtPr>
                  <w:alias w:val="Pavadinimas"/>
                  <w:tag w:val="title_fb29436471284116af8face4204fa962"/>
                  <w:lock w:val="sdtLocked"/>
                  <w:richText/>
                </w:sdtPr>
                <w:sdtContent>
                  <w:r>
                    <w:rPr>
                      <w:b/>
                      <w:bCs/>
                      <w:szCs w:val="24"/>
                    </w:rPr>
                    <w:t>Vyriausybės ir kitų institucijų teisės vykdant valstybės biudžetą</w:t>
                  </w:r>
                </w:sdtContent>
              </w:sdt>
            </w:p>
            <w:sdt>
              <w:sdtPr>
                <w:alias w:val="13 str. 1 d."/>
                <w:tag w:val="part_ecf0ccbb9726418a8c2145c6fbf20b25"/>
                <w:lock w:val="sdtLocked"/>
                <w:richText/>
              </w:sdtPr>
              <w:sdtContent>
                <w:p>
                  <w:pPr>
                    <w:spacing w:line="360" w:lineRule="auto"/>
                    <w:ind w:firstLine="720"/>
                    <w:jc w:val="both"/>
                    <w:rPr>
                      <w:rFonts w:eastAsia="Calibri"/>
                      <w:szCs w:val="24"/>
                      <w:lang w:eastAsia="lt-LT"/>
                    </w:rPr>
                  </w:pPr>
                  <w:sdt>
                    <w:sdtPr>
                      <w:alias w:val="Numeris"/>
                      <w:tag w:val="nr_ecf0ccbb9726418a8c2145c6fbf20b25"/>
                      <w:lock w:val="sdtLocked"/>
                      <w:richText/>
                    </w:sdtPr>
                    <w:sdtContent>
                      <w:r>
                        <w:rPr>
                          <w:rFonts w:eastAsia="Calibri"/>
                          <w:color w:val="000000"/>
                          <w:szCs w:val="24"/>
                          <w:lang w:eastAsia="lt-LT"/>
                        </w:rPr>
                        <w:t>1</w:t>
                      </w:r>
                    </w:sdtContent>
                  </w:sdt>
                  <w:r>
                    <w:rPr>
                      <w:rFonts w:eastAsia="Calibri"/>
                      <w:color w:val="000000"/>
                      <w:szCs w:val="24"/>
                      <w:lang w:eastAsia="lt-LT"/>
                    </w:rPr>
                    <w:t xml:space="preserve">. </w:t>
                  </w:r>
                  <w:r>
                    <w:rPr>
                      <w:rFonts w:eastAsia="Calibri"/>
                      <w:szCs w:val="24"/>
                      <w:lang w:eastAsia="lt-LT"/>
                    </w:rPr>
                    <w:t>Vyriausybei arba jos įgaliotai institucijai suteikiamos teisės:</w:t>
                  </w:r>
                </w:p>
                <w:sdt>
                  <w:sdtPr>
                    <w:alias w:val="13 str. 1 d. 1 p."/>
                    <w:tag w:val="part_a7274455e7444d39b09ccd428dc04536"/>
                    <w:lock w:val="sdtLocked"/>
                    <w:richText/>
                  </w:sdtPr>
                  <w:sdtContent>
                    <w:p>
                      <w:pPr>
                        <w:tabs>
                          <w:tab w:val="left" w:pos="1021"/>
                          <w:tab w:val="left" w:pos="1077"/>
                        </w:tabs>
                        <w:spacing w:line="360" w:lineRule="auto"/>
                        <w:ind w:firstLine="720"/>
                        <w:jc w:val="both"/>
                        <w:rPr>
                          <w:szCs w:val="24"/>
                          <w:lang w:eastAsia="lt-LT"/>
                        </w:rPr>
                      </w:pPr>
                      <w:sdt>
                        <w:sdtPr>
                          <w:alias w:val="Numeris"/>
                          <w:tag w:val="nr_a7274455e7444d39b09ccd428dc04536"/>
                          <w:lock w:val="sdtLocked"/>
                          <w:richText/>
                        </w:sdtPr>
                        <w:sdtContent>
                          <w:r>
                            <w:rPr>
                              <w:rFonts w:eastAsia="Calibri"/>
                              <w:szCs w:val="24"/>
                              <w:lang w:eastAsia="lt-LT"/>
                            </w:rPr>
                            <w:t>1</w:t>
                          </w:r>
                        </w:sdtContent>
                      </w:sdt>
                      <w:r>
                        <w:rPr>
                          <w:rFonts w:eastAsia="Calibri"/>
                          <w:szCs w:val="24"/>
                          <w:lang w:eastAsia="lt-LT"/>
                        </w:rPr>
                        <w:t xml:space="preserve">) paskirstyti pagal valstybės biudžeto asignavimų valdytojus ir investicijų projektus (investicijų projektų įgyvendinimo programas) (toliau šiame punkte – projektai) Valstybės investicijų 2025 metų programoje numatytas valstybės kapitalo investicijoms skirtas lėšas, esant papildomų lėšų poreikiui ir (ar) sutaupytoms lėšoms, – perskirstyti Valstybės investicijų 2025 metų programoje valstybės kapitalo investicijoms skirtas lėšas projektams įgyvendinti tarp investavimo sričių, prireikus tarp valstybės veiklos sričių, valstybės biudžeto asignavimų valdytojų, jų programų ir projektų </w:t>
                      </w:r>
                      <w:r>
                        <w:rPr>
                          <w:szCs w:val="24"/>
                          <w:lang w:eastAsia="lt-LT"/>
                        </w:rPr>
                        <w:t xml:space="preserve">pagal </w:t>
                      </w:r>
                      <w:r>
                        <w:rPr>
                          <w:rFonts w:eastAsia="Calibri"/>
                          <w:szCs w:val="24"/>
                          <w:lang w:eastAsia="lt-LT"/>
                        </w:rPr>
                        <w:t xml:space="preserve">Valstybės investicijų 2025 metų programoje </w:t>
                      </w:r>
                      <w:r>
                        <w:rPr>
                          <w:szCs w:val="24"/>
                          <w:lang w:eastAsia="lt-LT"/>
                        </w:rPr>
                        <w:t>numatytą paskirtį;</w:t>
                      </w:r>
                    </w:p>
                  </w:sdtContent>
                </w:sdt>
                <w:sdt>
                  <w:sdtPr>
                    <w:alias w:val="13 str. 1 d. 2 p."/>
                    <w:tag w:val="part_71a7a066072f4a8e9df1ed6b3a1b4b38"/>
                    <w:lock w:val="sdtLocked"/>
                    <w:richText/>
                  </w:sdtPr>
                  <w:sdtContent>
                    <w:p>
                      <w:pPr>
                        <w:tabs>
                          <w:tab w:val="left" w:pos="1021"/>
                          <w:tab w:val="left" w:pos="1077"/>
                        </w:tabs>
                        <w:spacing w:line="360" w:lineRule="auto"/>
                        <w:ind w:firstLine="720"/>
                        <w:jc w:val="both"/>
                        <w:rPr>
                          <w:rFonts w:eastAsia="Calibri"/>
                          <w:szCs w:val="24"/>
                          <w:lang w:eastAsia="lt-LT"/>
                        </w:rPr>
                      </w:pPr>
                      <w:sdt>
                        <w:sdtPr>
                          <w:alias w:val="Numeris"/>
                          <w:tag w:val="nr_71a7a066072f4a8e9df1ed6b3a1b4b38"/>
                          <w:lock w:val="sdtLocked"/>
                          <w:richText/>
                        </w:sdtPr>
                        <w:sdtContent>
                          <w:r>
                            <w:rPr>
                              <w:rFonts w:eastAsia="Calibri"/>
                              <w:szCs w:val="24"/>
                              <w:lang w:eastAsia="lt-LT"/>
                            </w:rPr>
                            <w:t>2</w:t>
                          </w:r>
                        </w:sdtContent>
                      </w:sdt>
                      <w:r>
                        <w:rPr>
                          <w:rFonts w:eastAsia="Calibri"/>
                          <w:szCs w:val="24"/>
                          <w:lang w:eastAsia="lt-LT"/>
                        </w:rPr>
                        <w:t>) perskirstyti pagal sudarytas finansinių priemonių finansavimo sutartis Europos Sąjungos struktūrinių fondų lėšomis finansuotų ar finansuojamų finansinių priemonių grįžusias ir (ar) grįšiančias lėšas, įvertinus atitinkamo valstybės biudžeto asignavimų valdytojo pateiktą siūlymą dėl grįžusių ir (ar) grįšiančių lėšų panaudojimo ir atsižvelgiant į tai, kad grįžusios ir (ar) grįšiančios lėšos turi būti naudojamos pagal finansines priemones, vadovaujantis Europos Sąjungos teisės aktais, reglamentuojančiais Europos Sąjungos struktūrinių fondų lėšų naudojimą;</w:t>
                      </w:r>
                    </w:p>
                  </w:sdtContent>
                </w:sdt>
                <w:sdt>
                  <w:sdtPr>
                    <w:alias w:val="13 str. 1 d. 3 p."/>
                    <w:tag w:val="part_2ef863d2e94546e484c7299362f66739"/>
                    <w:lock w:val="sdtLocked"/>
                    <w:richText/>
                  </w:sdtPr>
                  <w:sdtContent>
                    <w:p>
                      <w:pPr>
                        <w:tabs>
                          <w:tab w:val="left" w:pos="1021"/>
                          <w:tab w:val="left" w:pos="1077"/>
                        </w:tabs>
                        <w:spacing w:line="360" w:lineRule="auto"/>
                        <w:ind w:firstLine="720"/>
                        <w:jc w:val="both"/>
                        <w:rPr>
                          <w:color w:val="000000"/>
                        </w:rPr>
                      </w:pPr>
                      <w:sdt>
                        <w:sdtPr>
                          <w:alias w:val="Numeris"/>
                          <w:tag w:val="nr_2ef863d2e94546e484c7299362f66739"/>
                          <w:lock w:val="sdtLocked"/>
                          <w:richText/>
                        </w:sdtPr>
                        <w:sdtContent>
                          <w:r>
                            <w:rPr>
                              <w:rFonts w:eastAsia="Calibri"/>
                              <w:bCs/>
                              <w:szCs w:val="24"/>
                              <w:lang w:eastAsia="lt-LT"/>
                            </w:rPr>
                            <w:t>3</w:t>
                          </w:r>
                        </w:sdtContent>
                      </w:sdt>
                      <w:r>
                        <w:rPr>
                          <w:rFonts w:eastAsia="Calibri"/>
                          <w:bCs/>
                          <w:szCs w:val="24"/>
                          <w:lang w:eastAsia="lt-LT"/>
                        </w:rPr>
                        <w:t xml:space="preserve">) </w:t>
                      </w:r>
                      <w:r>
                        <w:rPr>
                          <w:color w:val="000000"/>
                        </w:rPr>
                        <w:t>perskirstyti valstybės biudžeto asignavimus tarp valstybės biudžeto asignavimų valdytojų, valstybės biudžeto asignavimų valdytojų ir savivaldybių pagal priimtus teisės aktus dėl įstaigų pertvarkymo, reorganizavimo, likvidavimo, funkcijų konsolidavimo, funkcijų perdavimo arba biudžetinės ar kitos įstaigos savininko teisių ir pareigų perdavimo, naujų valstybės biudžeto asignavimų valdytojų atsiradimo;</w:t>
                      </w:r>
                    </w:p>
                  </w:sdtContent>
                </w:sdt>
                <w:sdt>
                  <w:sdtPr>
                    <w:alias w:val="13 str. 1 d. 4 p."/>
                    <w:tag w:val="part_f2d326f71a424537b93dca6aaac8dd31"/>
                    <w:lock w:val="sdtLocked"/>
                    <w:richText/>
                  </w:sdtPr>
                  <w:sdtContent>
                    <w:p>
                      <w:pPr>
                        <w:tabs>
                          <w:tab w:val="left" w:pos="1021"/>
                          <w:tab w:val="left" w:pos="1077"/>
                        </w:tabs>
                        <w:spacing w:line="360" w:lineRule="auto"/>
                        <w:ind w:firstLine="720"/>
                        <w:jc w:val="both"/>
                        <w:rPr>
                          <w:rFonts w:eastAsia="Calibri"/>
                          <w:bCs/>
                          <w:szCs w:val="24"/>
                          <w:lang w:eastAsia="lt-LT"/>
                        </w:rPr>
                      </w:pPr>
                      <w:sdt>
                        <w:sdtPr>
                          <w:alias w:val="Numeris"/>
                          <w:tag w:val="nr_f2d326f71a424537b93dca6aaac8dd31"/>
                          <w:lock w:val="sdtLocked"/>
                          <w:richText/>
                        </w:sdtPr>
                        <w:sdtContent>
                          <w:r>
                            <w:rPr>
                              <w:rFonts w:eastAsia="Calibri"/>
                              <w:bCs/>
                              <w:szCs w:val="24"/>
                              <w:lang w:eastAsia="lt-LT"/>
                            </w:rPr>
                            <w:t>4</w:t>
                          </w:r>
                        </w:sdtContent>
                      </w:sdt>
                      <w:r>
                        <w:rPr>
                          <w:rFonts w:eastAsia="Calibri"/>
                          <w:bCs/>
                          <w:szCs w:val="24"/>
                          <w:lang w:eastAsia="lt-LT"/>
                        </w:rPr>
                        <w:t>) skirti iš Kelių priežiūros ir plėtros programos finansavimo lėšų 20 000 tūkst. eurų magistralinio kelio A14 Vilnius–Utena rekonstravimo, kapitalinio remonto darbams finansuoti, netaikant Lietuvos Respublikos kelių priežiūros ir plėtros programos finansavimo įstatymo 9 straipsnio 5 ir 6 dalyse nustatytų procentinių dydžių.</w:t>
                      </w:r>
                    </w:p>
                  </w:sdtContent>
                </w:sdt>
              </w:sdtContent>
            </w:sdt>
            <w:sdt>
              <w:sdtPr>
                <w:alias w:val="13 str. 2 d."/>
                <w:tag w:val="part_a34ddfef34b64a8b8da57d494d0dba95"/>
                <w:lock w:val="sdtLocked"/>
                <w:richText/>
              </w:sdtPr>
              <w:sdtContent>
                <w:p>
                  <w:pPr>
                    <w:tabs>
                      <w:tab w:val="left" w:pos="1010"/>
                      <w:tab w:val="left" w:pos="1077"/>
                    </w:tabs>
                    <w:spacing w:line="360" w:lineRule="auto"/>
                    <w:ind w:firstLine="720"/>
                    <w:jc w:val="both"/>
                    <w:rPr>
                      <w:rFonts w:eastAsia="Calibri"/>
                      <w:szCs w:val="24"/>
                      <w:lang w:eastAsia="lt-LT"/>
                    </w:rPr>
                  </w:pPr>
                  <w:sdt>
                    <w:sdtPr>
                      <w:alias w:val="Numeris"/>
                      <w:tag w:val="nr_a34ddfef34b64a8b8da57d494d0dba95"/>
                      <w:lock w:val="sdtLocked"/>
                      <w:richText/>
                    </w:sdtPr>
                    <w:sdtContent>
                      <w:r>
                        <w:rPr>
                          <w:rFonts w:eastAsia="Calibri"/>
                          <w:color w:val="000000"/>
                          <w:szCs w:val="24"/>
                          <w:lang w:eastAsia="lt-LT"/>
                        </w:rPr>
                        <w:t>2</w:t>
                      </w:r>
                    </w:sdtContent>
                  </w:sdt>
                  <w:r>
                    <w:rPr>
                      <w:rFonts w:eastAsia="Calibri"/>
                      <w:color w:val="000000"/>
                      <w:szCs w:val="24"/>
                      <w:lang w:eastAsia="lt-LT"/>
                    </w:rPr>
                    <w:t xml:space="preserve">. Šio </w:t>
                  </w:r>
                  <w:r>
                    <w:rPr>
                      <w:rFonts w:eastAsia="Calibri"/>
                      <w:szCs w:val="24"/>
                      <w:lang w:eastAsia="lt-LT"/>
                    </w:rPr>
                    <w:t xml:space="preserve">įstatymo 6 priede nurodytiems valstybės biudžeto asignavimų valdytojams suteikiama teisė perskirstyti valstybės biudžeto specialias tikslines dotacijas tarp savivaldybių ir tarp specialių tikslinių dotacijų, nurodytų šio įstatymo 6 priede, esant papildomų lėšų poreikiui ar sutaupytoms lėšoms, – dotacijas atitinkamai didinti ar mažinti. </w:t>
                  </w:r>
                </w:p>
              </w:sdtContent>
            </w:sdt>
            <w:sdt>
              <w:sdtPr>
                <w:alias w:val="13 str. 3 d."/>
                <w:tag w:val="part_b056d13703d943749cccfca312faa80e"/>
                <w:lock w:val="sdtLocked"/>
                <w:richText/>
              </w:sdtPr>
              <w:sdtContent>
                <w:p>
                  <w:pPr>
                    <w:tabs>
                      <w:tab w:val="left" w:pos="1010"/>
                      <w:tab w:val="left" w:pos="1077"/>
                    </w:tabs>
                    <w:spacing w:line="360" w:lineRule="auto"/>
                    <w:ind w:firstLine="720"/>
                    <w:jc w:val="both"/>
                    <w:rPr>
                      <w:rFonts w:eastAsia="Calibri"/>
                      <w:szCs w:val="24"/>
                      <w:lang w:eastAsia="lt-LT"/>
                    </w:rPr>
                  </w:pPr>
                  <w:sdt>
                    <w:sdtPr>
                      <w:alias w:val="Numeris"/>
                      <w:tag w:val="nr_b056d13703d943749cccfca312faa80e"/>
                      <w:lock w:val="sdtLocked"/>
                      <w:richText/>
                    </w:sdtPr>
                    <w:sdtContent>
                      <w:r>
                        <w:rPr>
                          <w:rFonts w:eastAsia="Calibri"/>
                          <w:szCs w:val="24"/>
                          <w:lang w:eastAsia="lt-LT"/>
                        </w:rPr>
                        <w:t>3</w:t>
                      </w:r>
                    </w:sdtContent>
                  </w:sdt>
                  <w:r>
                    <w:rPr>
                      <w:rFonts w:eastAsia="Calibri"/>
                      <w:szCs w:val="24"/>
                      <w:lang w:eastAsia="lt-LT"/>
                    </w:rPr>
                    <w:t>. Finansų ministerijai suteikiamos teisės:</w:t>
                  </w:r>
                </w:p>
                <w:sdt>
                  <w:sdtPr>
                    <w:alias w:val="13 str. 3 d. 1 p."/>
                    <w:tag w:val="part_26daa0a0e1454defa817bcb747d8e6f0"/>
                    <w:lock w:val="sdtLocked"/>
                    <w:richText/>
                  </w:sdtPr>
                  <w:sdtContent>
                    <w:p>
                      <w:pPr>
                        <w:tabs>
                          <w:tab w:val="left" w:pos="993"/>
                          <w:tab w:val="left" w:pos="1077"/>
                        </w:tabs>
                        <w:spacing w:line="360" w:lineRule="auto"/>
                        <w:ind w:firstLine="720"/>
                        <w:jc w:val="both"/>
                        <w:rPr>
                          <w:rFonts w:eastAsia="Calibri"/>
                          <w:szCs w:val="24"/>
                          <w:lang w:eastAsia="lt-LT"/>
                        </w:rPr>
                      </w:pPr>
                      <w:sdt>
                        <w:sdtPr>
                          <w:alias w:val="Numeris"/>
                          <w:tag w:val="nr_26daa0a0e1454defa817bcb747d8e6f0"/>
                          <w:lock w:val="sdtLocked"/>
                          <w:richText/>
                        </w:sdtPr>
                        <w:sdtContent>
                          <w:r>
                            <w:rPr>
                              <w:rFonts w:eastAsia="Calibri"/>
                              <w:szCs w:val="24"/>
                              <w:lang w:eastAsia="lt-LT"/>
                            </w:rPr>
                            <w:t>1</w:t>
                          </w:r>
                        </w:sdtContent>
                      </w:sdt>
                      <w:r>
                        <w:rPr>
                          <w:rFonts w:eastAsia="Calibri"/>
                          <w:szCs w:val="24"/>
                          <w:lang w:eastAsia="lt-LT"/>
                        </w:rPr>
                        <w:t>) skolintis valstybės vardu, kai yra poreikis ir kai dėl to nėra pažeidžiamos šio įstatymo 11 ir 18 straipsnių nuostatos, šiems tikslams:</w:t>
                      </w:r>
                    </w:p>
                    <w:sdt>
                      <w:sdtPr>
                        <w:alias w:val="13 str. 3 d. 1 p. a pp."/>
                        <w:tag w:val="part_1a583fe427fc43a7a11337d2759aaadf"/>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1a583fe427fc43a7a11337d2759aaadf"/>
                              <w:lock w:val="sdtLocked"/>
                              <w:richText/>
                            </w:sdtPr>
                            <w:sdtContent>
                              <w:r>
                                <w:rPr>
                                  <w:rFonts w:eastAsia="Calibri"/>
                                  <w:szCs w:val="24"/>
                                  <w:lang w:eastAsia="lt-LT"/>
                                </w:rPr>
                                <w:t>a</w:t>
                              </w:r>
                            </w:sdtContent>
                          </w:sdt>
                          <w:r>
                            <w:rPr>
                              <w:rFonts w:eastAsia="Calibri"/>
                              <w:szCs w:val="24"/>
                              <w:lang w:eastAsia="lt-LT"/>
                            </w:rPr>
                            <w:t>) su valstybės skola susijusioms išlaidoms apmo</w:t>
                          </w:r>
                          <w:r>
                            <w:rPr>
                              <w:rFonts w:eastAsia="Calibri"/>
                              <w:color w:val="000000"/>
                              <w:szCs w:val="24"/>
                              <w:lang w:eastAsia="lt-LT"/>
                            </w:rPr>
                            <w:t xml:space="preserve">kėti; </w:t>
                          </w:r>
                        </w:p>
                      </w:sdtContent>
                    </w:sdt>
                    <w:sdt>
                      <w:sdtPr>
                        <w:alias w:val="13 str. 3 d. 1 p. b pp."/>
                        <w:tag w:val="part_f9097aee2139463b9d191da6640f10b3"/>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f9097aee2139463b9d191da6640f10b3"/>
                              <w:lock w:val="sdtLocked"/>
                              <w:richText/>
                            </w:sdtPr>
                            <w:sdtContent>
                              <w:r>
                                <w:rPr>
                                  <w:rFonts w:eastAsia="Calibri"/>
                                  <w:color w:val="000000"/>
                                  <w:szCs w:val="24"/>
                                  <w:lang w:eastAsia="lt-LT"/>
                                </w:rPr>
                                <w:t>b</w:t>
                              </w:r>
                            </w:sdtContent>
                          </w:sdt>
                          <w:r>
                            <w:rPr>
                              <w:rFonts w:eastAsia="Calibri"/>
                              <w:color w:val="000000"/>
                              <w:szCs w:val="24"/>
                              <w:lang w:eastAsia="lt-LT"/>
                            </w:rPr>
                            <w:t>) su Europos Sąjungos ir kitos tarptautinės finansinės paramos lėšomis finansuojamų priemonių įgyvendinimu susijusioms išlaidoms (išskyrus Europos Sąjungos ir kitos tarptautinės finansinės paramos lėšomis apmokamas išlaidas) apmokėti;</w:t>
                          </w:r>
                        </w:p>
                      </w:sdtContent>
                    </w:sdt>
                    <w:sdt>
                      <w:sdtPr>
                        <w:alias w:val="13 str. 3 d. 1 p. c pp."/>
                        <w:tag w:val="part_00034edc723a4aef804677875efe2749"/>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00034edc723a4aef804677875efe2749"/>
                              <w:lock w:val="sdtLocked"/>
                              <w:richText/>
                            </w:sdtPr>
                            <w:sdtContent>
                              <w:r>
                                <w:rPr>
                                  <w:rFonts w:eastAsia="Calibri"/>
                                  <w:color w:val="000000"/>
                                  <w:szCs w:val="24"/>
                                  <w:lang w:eastAsia="lt-LT"/>
                                </w:rPr>
                                <w:t>c</w:t>
                              </w:r>
                            </w:sdtContent>
                          </w:sdt>
                          <w:r>
                            <w:rPr>
                              <w:rFonts w:eastAsia="Calibri"/>
                              <w:color w:val="000000"/>
                              <w:szCs w:val="24"/>
                              <w:lang w:eastAsia="lt-LT"/>
                            </w:rPr>
                            <w:t xml:space="preserve">) nenumatytoms įmokoms į Europos Sąjungos biudžetą mokėti; </w:t>
                          </w:r>
                        </w:p>
                      </w:sdtContent>
                    </w:sdt>
                    <w:sdt>
                      <w:sdtPr>
                        <w:alias w:val="13 str. 3 d. 1 p. d pp."/>
                        <w:tag w:val="part_3687618577cc45e7bdd96cef9ad44553"/>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3687618577cc45e7bdd96cef9ad44553"/>
                              <w:lock w:val="sdtLocked"/>
                              <w:richText/>
                            </w:sdtPr>
                            <w:sdtContent>
                              <w:r>
                                <w:rPr>
                                  <w:rFonts w:eastAsia="Calibri"/>
                                  <w:color w:val="000000"/>
                                  <w:szCs w:val="24"/>
                                  <w:lang w:eastAsia="lt-LT"/>
                                </w:rPr>
                                <w:t>d</w:t>
                              </w:r>
                            </w:sdtContent>
                          </w:sdt>
                          <w:r>
                            <w:rPr>
                              <w:rFonts w:eastAsia="Calibri"/>
                              <w:color w:val="000000"/>
                              <w:szCs w:val="24"/>
                              <w:lang w:eastAsia="lt-LT"/>
                            </w:rPr>
                            <w:t xml:space="preserve">) nenumatytoms išlaidoms dėl einamaisiais biudžetiniais metais vykdomo referendumo ir (arba) rinkimų apmokėti; </w:t>
                          </w:r>
                        </w:p>
                      </w:sdtContent>
                    </w:sdt>
                    <w:sdt>
                      <w:sdtPr>
                        <w:alias w:val="13 str. 3 d. 1 p. e pp."/>
                        <w:tag w:val="part_1bf96f31271f4dc69c1b1f829317c3be"/>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1bf96f31271f4dc69c1b1f829317c3be"/>
                              <w:lock w:val="sdtLocked"/>
                              <w:richText/>
                            </w:sdtPr>
                            <w:sdtContent>
                              <w:r>
                                <w:rPr>
                                  <w:rFonts w:eastAsia="Calibri"/>
                                  <w:color w:val="000000"/>
                                  <w:szCs w:val="24"/>
                                  <w:lang w:eastAsia="lt-LT"/>
                                </w:rPr>
                                <w:t>e</w:t>
                              </w:r>
                            </w:sdtContent>
                          </w:sdt>
                          <w:r>
                            <w:rPr>
                              <w:rFonts w:eastAsia="Calibri"/>
                              <w:color w:val="000000"/>
                              <w:szCs w:val="24"/>
                              <w:lang w:eastAsia="lt-LT"/>
                            </w:rPr>
                            <w:t xml:space="preserve">) Lietuvos Respublikos įsipareigojimams, susijusiems su Europos Sąjungos politikos įgyvendinimu, vykdyti (įskaitant rezervinių lėšų sukaupimą ir (arba) paskolinimą, kaip tai numatyta Europos Sąjungos teisės aktuose, Europos Sąjungos institucijų ar organizacijų sprendimuose ir (arba) su tuo susijusiose sutartyse ar susitarimuose); </w:t>
                          </w:r>
                        </w:p>
                      </w:sdtContent>
                    </w:sdt>
                    <w:sdt>
                      <w:sdtPr>
                        <w:alias w:val="13 str. 3 d. 1 p. f pp."/>
                        <w:tag w:val="part_152dd6a7ea2744bf808f60919f2d64fb"/>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152dd6a7ea2744bf808f60919f2d64fb"/>
                              <w:lock w:val="sdtLocked"/>
                              <w:richText/>
                            </w:sdtPr>
                            <w:sdtContent>
                              <w:r>
                                <w:rPr>
                                  <w:rFonts w:eastAsia="Calibri"/>
                                  <w:color w:val="000000"/>
                                  <w:szCs w:val="24"/>
                                  <w:lang w:eastAsia="lt-LT"/>
                                </w:rPr>
                                <w:t>f</w:t>
                              </w:r>
                            </w:sdtContent>
                          </w:sdt>
                          <w:r>
                            <w:rPr>
                              <w:rFonts w:eastAsia="Calibri"/>
                              <w:color w:val="000000"/>
                              <w:szCs w:val="24"/>
                              <w:lang w:eastAsia="lt-LT"/>
                            </w:rPr>
                            <w:t>) Lietuvos Respublikos krašto apsaugos reikmėms (įskaitant karinio mobilumo ir dvigubo naudojimo (civilinėms ir karinėms reikmėms) transporto infrastruktūrą, taip pat karinės infrastruktūros, reikalingos priimančiosios šalies paramai užtikrinti, pritaikymo ir (ar) sukūrimo projektus) ir kapitalo investicijoms į Lietuvos Respublikoje kuriamą gynybos pramonę finansuoti;</w:t>
                          </w:r>
                        </w:p>
                      </w:sdtContent>
                    </w:sdt>
                    <w:sdt>
                      <w:sdtPr>
                        <w:alias w:val="13 str. 3 d. 1 p. g pp."/>
                        <w:tag w:val="part_234af65e1d334614ac724accc9afacf4"/>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234af65e1d334614ac724accc9afacf4"/>
                              <w:lock w:val="sdtLocked"/>
                              <w:richText/>
                            </w:sdtPr>
                            <w:sdtContent>
                              <w:r>
                                <w:rPr>
                                  <w:rFonts w:eastAsia="Calibri"/>
                                  <w:color w:val="000000"/>
                                  <w:szCs w:val="24"/>
                                  <w:lang w:eastAsia="lt-LT"/>
                                </w:rPr>
                                <w:t>g</w:t>
                              </w:r>
                            </w:sdtContent>
                          </w:sdt>
                          <w:r>
                            <w:rPr>
                              <w:rFonts w:eastAsia="Calibri"/>
                              <w:color w:val="000000"/>
                              <w:szCs w:val="24"/>
                              <w:lang w:eastAsia="lt-LT"/>
                            </w:rPr>
                            <w:t xml:space="preserve">) išlaidoms, susijusioms su Vokietijos ginkluotųjų pajėgų brigados dislokavimu nuolatiniam buvimui Lietuvos Respublikoje, apmokėti; </w:t>
                          </w:r>
                        </w:p>
                      </w:sdtContent>
                    </w:sdt>
                    <w:sdt>
                      <w:sdtPr>
                        <w:alias w:val="13 str. 3 d. 1 p. h pp."/>
                        <w:tag w:val="part_d2441a5fc7b5434ea7e02bf7721d6f19"/>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d2441a5fc7b5434ea7e02bf7721d6f19"/>
                              <w:lock w:val="sdtLocked"/>
                              <w:richText/>
                            </w:sdtPr>
                            <w:sdtContent>
                              <w:r>
                                <w:rPr>
                                  <w:rFonts w:eastAsia="Calibri"/>
                                  <w:color w:val="000000"/>
                                  <w:szCs w:val="24"/>
                                  <w:lang w:eastAsia="lt-LT"/>
                                </w:rPr>
                                <w:t>h</w:t>
                              </w:r>
                            </w:sdtContent>
                          </w:sdt>
                          <w:r>
                            <w:rPr>
                              <w:rFonts w:eastAsia="Calibri"/>
                              <w:color w:val="000000"/>
                              <w:szCs w:val="24"/>
                              <w:lang w:eastAsia="lt-LT"/>
                            </w:rPr>
                            <w:t xml:space="preserve">) valstybės rezervo ir (arba) Vyriausybės rezervo lėšomis finansuojamoms išlaidoms apmokėti (kai valstybės rezervo ir Vyriausybės rezervo lėšų nepakanka); </w:t>
                          </w:r>
                        </w:p>
                      </w:sdtContent>
                    </w:sdt>
                    <w:sdt>
                      <w:sdtPr>
                        <w:alias w:val="13 str. 3 d. 1 p. i pp."/>
                        <w:tag w:val="part_e7def7005cad44fe8474d36567030bbf"/>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e7def7005cad44fe8474d36567030bbf"/>
                              <w:lock w:val="sdtLocked"/>
                              <w:richText/>
                            </w:sdtPr>
                            <w:sdtContent>
                              <w:r>
                                <w:rPr>
                                  <w:rFonts w:eastAsia="Calibri"/>
                                  <w:color w:val="000000"/>
                                  <w:szCs w:val="24"/>
                                  <w:lang w:eastAsia="lt-LT"/>
                                </w:rPr>
                                <w:t>i</w:t>
                              </w:r>
                            </w:sdtContent>
                          </w:sdt>
                          <w:r>
                            <w:rPr>
                              <w:rFonts w:eastAsia="Calibri"/>
                              <w:color w:val="000000"/>
                              <w:szCs w:val="24"/>
                              <w:lang w:eastAsia="lt-LT"/>
                            </w:rPr>
                            <w:t>) išlaidoms, susijusioms su atstovavimu Lietuvos Respublikai (Vyriausybei) užsienio ginčų sprendimo institucijose ginant Lietuvos Respublikos (Vyriausybės) interesus (įskaitant dalyvavimą arbitražų, ikiteisminių derybų, taikinimo ar mediacijos procesuose, teisinių išvadų ginčo klausimais parengimą ir kitus veiksmus, susijusius su Lietuvos Respublikos (Vyriausybės) interesų gynimu), taip pat atstovavimu Lietuvos Respublikai (Vyriausybei) užsienio ginčų sprendimo institucijose kitais klausimais, apmokėti;</w:t>
                          </w:r>
                        </w:p>
                      </w:sdtContent>
                    </w:sdt>
                    <w:sdt>
                      <w:sdtPr>
                        <w:alias w:val="13 str. 3 d. 1 p. y pp."/>
                        <w:tag w:val="part_a51d509bf8264f40a7f78f5e961d6f2a"/>
                        <w:lock w:val="sdtLocked"/>
                        <w:richText/>
                      </w:sdtPr>
                      <w:sdtContent>
                        <w:p>
                          <w:pPr>
                            <w:tabs>
                              <w:tab w:val="left" w:pos="993"/>
                              <w:tab w:val="left" w:pos="1077"/>
                            </w:tabs>
                            <w:spacing w:line="360" w:lineRule="auto"/>
                            <w:ind w:firstLine="720"/>
                            <w:jc w:val="both"/>
                            <w:rPr>
                              <w:rFonts w:eastAsia="Calibri"/>
                              <w:color w:val="000000"/>
                              <w:szCs w:val="24"/>
                              <w:lang w:eastAsia="lt-LT"/>
                            </w:rPr>
                          </w:pPr>
                          <w:sdt>
                            <w:sdtPr>
                              <w:alias w:val="Numeris"/>
                              <w:tag w:val="nr_a51d509bf8264f40a7f78f5e961d6f2a"/>
                              <w:lock w:val="sdtLocked"/>
                              <w:richText/>
                            </w:sdtPr>
                            <w:sdtContent>
                              <w:r>
                                <w:rPr>
                                  <w:rFonts w:eastAsia="Calibri"/>
                                  <w:color w:val="000000"/>
                                  <w:szCs w:val="24"/>
                                  <w:lang w:eastAsia="lt-LT"/>
                                </w:rPr>
                                <w:t>y</w:t>
                              </w:r>
                            </w:sdtContent>
                          </w:sdt>
                          <w:r>
                            <w:rPr>
                              <w:rFonts w:eastAsia="Calibri"/>
                              <w:color w:val="000000"/>
                              <w:szCs w:val="24"/>
                              <w:lang w:eastAsia="lt-LT"/>
                            </w:rPr>
                            <w:t>) smurtiniais nusikaltimais padarytai turtinei ir (arba) neturtinei žalai kompensuoti ir kompensuoti avansu (kai nepakanka Nukentėjusių nuo nusikaltimų asmenų fondo programos lėšų);</w:t>
                          </w:r>
                        </w:p>
                      </w:sdtContent>
                    </w:sdt>
                    <w:sdt>
                      <w:sdtPr>
                        <w:alias w:val="13 str. 3 d. 1 p. j pp."/>
                        <w:tag w:val="part_f36ac2df072c485e9fe3e8b575b6239d"/>
                        <w:lock w:val="sdtLocked"/>
                        <w:richText/>
                      </w:sdtPr>
                      <w:sdtContent>
                        <w:p>
                          <w:pPr>
                            <w:tabs>
                              <w:tab w:val="left" w:pos="993"/>
                              <w:tab w:val="left" w:pos="1077"/>
                            </w:tabs>
                            <w:spacing w:line="360" w:lineRule="auto"/>
                            <w:ind w:firstLine="720"/>
                            <w:jc w:val="both"/>
                            <w:rPr>
                              <w:szCs w:val="24"/>
                            </w:rPr>
                          </w:pPr>
                          <w:sdt>
                            <w:sdtPr>
                              <w:alias w:val="Numeris"/>
                              <w:tag w:val="nr_f36ac2df072c485e9fe3e8b575b6239d"/>
                              <w:lock w:val="sdtLocked"/>
                              <w:richText/>
                            </w:sdtPr>
                            <w:sdtContent>
                              <w:r>
                                <w:rPr>
                                  <w:rFonts w:eastAsia="Calibri"/>
                                  <w:color w:val="000000"/>
                                  <w:szCs w:val="24"/>
                                  <w:lang w:eastAsia="lt-LT"/>
                                </w:rPr>
                                <w:t>j</w:t>
                              </w:r>
                            </w:sdtContent>
                          </w:sdt>
                          <w:r>
                            <w:rPr>
                              <w:rFonts w:eastAsia="Calibri"/>
                              <w:color w:val="000000"/>
                              <w:szCs w:val="24"/>
                              <w:lang w:eastAsia="lt-LT"/>
                            </w:rPr>
                            <w:t>)</w:t>
                          </w:r>
                          <w:r>
                            <w:rPr>
                              <w:szCs w:val="24"/>
                            </w:rPr>
                            <w:t xml:space="preserve"> išlaidoms, susijusioms su dalyvavimu Europos Sąjungos ir tarptautinėse pagalbos Ukrainai iniciatyvose (įskaitant iniciatyvas, kuriomis prisidedama prie Tarptautiniam valiutos fondui suteikto finansinio užtikrinimo dėl Ukrainos įsipareigojimų Tarptautiniam valiutos fondui vykdymo ir pagalbos Ukrainai teikimo, kaip nurodyta 2023 m. liepos 12 d. Didžiojo septyneto (G7) jungtinėje deklaracijoje dėl pagalbos Ukrainai), taip pat dvišalėse pagalbos Ukrainai iniciatyvose, apmokėti; </w:t>
                          </w:r>
                        </w:p>
                      </w:sdtContent>
                    </w:sdt>
                    <w:sdt>
                      <w:sdtPr>
                        <w:alias w:val="13 str. 3 d. 1 p. k pp."/>
                        <w:tag w:val="part_e9ff9687344b40f2a03ae6e915ccd76f"/>
                        <w:lock w:val="sdtLocked"/>
                        <w:richText/>
                      </w:sdtPr>
                      <w:sdtContent>
                        <w:p>
                          <w:pPr>
                            <w:tabs>
                              <w:tab w:val="left" w:pos="993"/>
                              <w:tab w:val="left" w:pos="1077"/>
                            </w:tabs>
                            <w:spacing w:line="360" w:lineRule="auto"/>
                            <w:ind w:firstLine="720"/>
                            <w:jc w:val="both"/>
                            <w:rPr>
                              <w:szCs w:val="24"/>
                            </w:rPr>
                          </w:pPr>
                          <w:sdt>
                            <w:sdtPr>
                              <w:alias w:val="Numeris"/>
                              <w:tag w:val="nr_e9ff9687344b40f2a03ae6e915ccd76f"/>
                              <w:lock w:val="sdtLocked"/>
                              <w:richText/>
                            </w:sdtPr>
                            <w:sdtContent>
                              <w:r>
                                <w:rPr>
                                  <w:szCs w:val="24"/>
                                </w:rPr>
                                <w:t>k</w:t>
                              </w:r>
                            </w:sdtContent>
                          </w:sdt>
                          <w:r>
                            <w:rPr>
                              <w:szCs w:val="24"/>
                            </w:rPr>
                            <w:t xml:space="preserve">) pagalbai Ukrainos gyventojams, nukentėjusiems dėl Rusijos Federacijos karinės agresijos prieš Ukrainą, teikti; </w:t>
                          </w:r>
                        </w:p>
                      </w:sdtContent>
                    </w:sdt>
                    <w:sdt>
                      <w:sdtPr>
                        <w:alias w:val="13 str. 3 d. 1 p. l pp."/>
                        <w:tag w:val="part_3495f7b47ec74cf5a8263540ce635afb"/>
                        <w:lock w:val="sdtLocked"/>
                        <w:richText/>
                      </w:sdtPr>
                      <w:sdtContent>
                        <w:p>
                          <w:pPr>
                            <w:tabs>
                              <w:tab w:val="left" w:pos="993"/>
                              <w:tab w:val="left" w:pos="1077"/>
                            </w:tabs>
                            <w:spacing w:line="360" w:lineRule="auto"/>
                            <w:ind w:firstLine="720"/>
                            <w:jc w:val="both"/>
                            <w:rPr>
                              <w:szCs w:val="24"/>
                            </w:rPr>
                          </w:pPr>
                          <w:sdt>
                            <w:sdtPr>
                              <w:alias w:val="Numeris"/>
                              <w:tag w:val="nr_3495f7b47ec74cf5a8263540ce635afb"/>
                              <w:lock w:val="sdtLocked"/>
                              <w:richText/>
                            </w:sdtPr>
                            <w:sdtContent>
                              <w:r>
                                <w:rPr>
                                  <w:szCs w:val="24"/>
                                </w:rPr>
                                <w:t>l</w:t>
                              </w:r>
                            </w:sdtContent>
                          </w:sdt>
                          <w:r>
                            <w:rPr>
                              <w:szCs w:val="24"/>
                            </w:rPr>
                            <w:t>) Lietuvos Respublikos geležinkelių transporto eismo saugos įstatyme nustatytai geležinkelių transporto eismo saugai esamoje viešojoje geležinkelių infrastruktūroje ir Lietuvos valstybei nuosavybės teise priklausančiuose geležinkelių paslaugų įrenginiuose užtikrinti, kai viešosios geležinkelių infrastruktūros valdytojui nepakanka finansinių išteklių dėl sankcijų Baltarusijos Respublikai taikymo ir dėl Rusijos Federacijos karinės agresijos prieš Ukrainą nutrūkus krovinių srautui ar verslo santykiams;</w:t>
                          </w:r>
                        </w:p>
                      </w:sdtContent>
                    </w:sdt>
                  </w:sdtContent>
                </w:sdt>
                <w:sdt>
                  <w:sdtPr>
                    <w:alias w:val="13 str. 3 d. 2 p."/>
                    <w:tag w:val="part_f6180d63cd564315b473778cb978f21c"/>
                    <w:lock w:val="sdtLocked"/>
                    <w:richText/>
                  </w:sdtPr>
                  <w:sdtContent>
                    <w:p>
                      <w:pPr>
                        <w:tabs>
                          <w:tab w:val="left" w:pos="993"/>
                        </w:tabs>
                        <w:spacing w:line="360" w:lineRule="auto"/>
                        <w:ind w:firstLine="720"/>
                        <w:jc w:val="both"/>
                        <w:rPr>
                          <w:rFonts w:eastAsia="Calibri"/>
                          <w:szCs w:val="24"/>
                          <w:lang w:eastAsia="lt-LT"/>
                        </w:rPr>
                      </w:pPr>
                      <w:sdt>
                        <w:sdtPr>
                          <w:alias w:val="Numeris"/>
                          <w:tag w:val="nr_f6180d63cd564315b473778cb978f21c"/>
                          <w:lock w:val="sdtLocked"/>
                          <w:richText/>
                        </w:sdtPr>
                        <w:sdtContent>
                          <w:r>
                            <w:rPr>
                              <w:color w:val="000000"/>
                              <w:szCs w:val="24"/>
                            </w:rPr>
                            <w:t>2</w:t>
                          </w:r>
                        </w:sdtContent>
                      </w:sdt>
                      <w:r>
                        <w:rPr>
                          <w:color w:val="000000"/>
                          <w:szCs w:val="24"/>
                        </w:rPr>
                        <w:t xml:space="preserve">) leisti įmokėtų į valstybės biudžetą biudžetinių įstaigų pajamų, gautos Europos Sąjungos ir kitos tarptautinės finansinės paramos laikinai laisvas lėšas grąžintinai naudoti valstybės biudžeto reikmėms ir valstybės skoliniams įsipareigojimams vykdyti užtikrinant, kad programų asignavimų dalis, kurią sudaro Europos Sąjungos ir kita tarptautinė finansinė parama bei biudžetinių įstaigų pajamos, </w:t>
                      </w:r>
                      <w:r>
                        <w:rPr>
                          <w:szCs w:val="24"/>
                        </w:rPr>
                        <w:t>būtų finansuojama laiku</w:t>
                      </w:r>
                      <w:r>
                        <w:rPr>
                          <w:color w:val="000000"/>
                          <w:szCs w:val="24"/>
                        </w:rPr>
                        <w:t>;</w:t>
                      </w:r>
                    </w:p>
                  </w:sdtContent>
                </w:sdt>
                <w:sdt>
                  <w:sdtPr>
                    <w:alias w:val="13 str. 3 d. 3 p."/>
                    <w:tag w:val="part_13aa15ea591444f19cecc63c2c74ba18"/>
                    <w:lock w:val="sdtLocked"/>
                    <w:richText/>
                  </w:sdtPr>
                  <w:sdtContent>
                    <w:p>
                      <w:pPr>
                        <w:tabs>
                          <w:tab w:val="left" w:pos="869"/>
                          <w:tab w:val="left" w:pos="1077"/>
                        </w:tabs>
                        <w:spacing w:line="360" w:lineRule="auto"/>
                        <w:ind w:firstLine="720"/>
                        <w:jc w:val="both"/>
                        <w:rPr>
                          <w:rFonts w:eastAsia="Calibri"/>
                          <w:szCs w:val="24"/>
                          <w:lang w:eastAsia="lt-LT"/>
                        </w:rPr>
                      </w:pPr>
                      <w:sdt>
                        <w:sdtPr>
                          <w:alias w:val="Numeris"/>
                          <w:tag w:val="nr_13aa15ea591444f19cecc63c2c74ba18"/>
                          <w:lock w:val="sdtLocked"/>
                          <w:richText/>
                        </w:sdtPr>
                        <w:sdtContent>
                          <w:r>
                            <w:rPr>
                              <w:rFonts w:eastAsia="Calibri"/>
                              <w:szCs w:val="24"/>
                              <w:lang w:eastAsia="lt-LT"/>
                            </w:rPr>
                            <w:t>3</w:t>
                          </w:r>
                        </w:sdtContent>
                      </w:sdt>
                      <w:r>
                        <w:rPr>
                          <w:rFonts w:eastAsia="Calibri"/>
                          <w:szCs w:val="24"/>
                          <w:lang w:eastAsia="lt-LT"/>
                        </w:rPr>
                        <w:t>) kompensuoti Lietuvos Respublikos atstovų kelionių į Europos Sąjungos Tarybos darbo organų susitikimus išlaidas iš savo asignavimuose šiam tikslui numatytų lėšų ir įmokėtas į valstybės biudžetą, bet nepanaudotas šiam tikslui skirtas Europos Sąjungos finansinės paramos lėšas naudoti viršijant Seimo patvirtintas bendras asignavimų sumas;</w:t>
                      </w:r>
                    </w:p>
                  </w:sdtContent>
                </w:sdt>
                <w:sdt>
                  <w:sdtPr>
                    <w:alias w:val="13 str. 3 d. 4 p."/>
                    <w:tag w:val="part_eff6f486ee0b4f4796b27bc55c145809"/>
                    <w:lock w:val="sdtLocked"/>
                    <w:richText/>
                  </w:sdtPr>
                  <w:sdtContent>
                    <w:p>
                      <w:pPr>
                        <w:tabs>
                          <w:tab w:val="left" w:pos="869"/>
                          <w:tab w:val="left" w:pos="1077"/>
                        </w:tabs>
                        <w:spacing w:line="360" w:lineRule="auto"/>
                        <w:ind w:firstLine="720"/>
                        <w:jc w:val="both"/>
                        <w:rPr>
                          <w:rFonts w:eastAsia="Calibri"/>
                          <w:szCs w:val="24"/>
                          <w:lang w:eastAsia="lt-LT"/>
                        </w:rPr>
                      </w:pPr>
                      <w:sdt>
                        <w:sdtPr>
                          <w:alias w:val="Numeris"/>
                          <w:tag w:val="nr_eff6f486ee0b4f4796b27bc55c145809"/>
                          <w:lock w:val="sdtLocked"/>
                          <w:richText/>
                        </w:sdtPr>
                        <w:sdtContent>
                          <w:r>
                            <w:rPr>
                              <w:rFonts w:eastAsia="Calibri"/>
                              <w:szCs w:val="24"/>
                              <w:lang w:eastAsia="lt-LT"/>
                            </w:rPr>
                            <w:t>4</w:t>
                          </w:r>
                        </w:sdtContent>
                      </w:sdt>
                      <w:r>
                        <w:rPr>
                          <w:rFonts w:eastAsia="Calibri"/>
                          <w:szCs w:val="24"/>
                          <w:lang w:eastAsia="lt-LT"/>
                        </w:rPr>
                        <w:t>) paskirstyti tradicinių Lietuvos bažnyčių ir religinių organizacijų vadovybėms lėšas, skirtas tradicinių Lietuvos religinių bendruomenių, bendrijų ir centrų maldos namams atstatyti ir kitoms reikmėms, finansų ministro nustatyta tvarka atsižvelgiant į tradicinių Lietuvos bažnyčių ir religinių organizacijų kanonus ir statutus bei Valstybės duomenų agentūros paskelbtą tikinčiųjų skaičių.</w:t>
                      </w:r>
                    </w:p>
                  </w:sdtContent>
                </w:sdt>
              </w:sdtContent>
            </w:sdt>
            <w:sdt>
              <w:sdtPr>
                <w:alias w:val="13 str. 4 d."/>
                <w:tag w:val="part_6345858c5d0c4568a57eff2fd27f6c9c"/>
                <w:lock w:val="sdtLocked"/>
                <w:richText/>
              </w:sdtPr>
              <w:sdtContent>
                <w:p>
                  <w:pPr>
                    <w:spacing w:line="360" w:lineRule="auto"/>
                    <w:ind w:firstLine="720"/>
                    <w:jc w:val="both"/>
                    <w:rPr>
                      <w:rFonts w:eastAsia="Calibri"/>
                      <w:szCs w:val="24"/>
                      <w:lang w:eastAsia="lt-LT"/>
                    </w:rPr>
                  </w:pPr>
                  <w:sdt>
                    <w:sdtPr>
                      <w:alias w:val="Numeris"/>
                      <w:tag w:val="nr_6345858c5d0c4568a57eff2fd27f6c9c"/>
                      <w:lock w:val="sdtLocked"/>
                      <w:richText/>
                    </w:sdtPr>
                    <w:sdtContent>
                      <w:r>
                        <w:rPr>
                          <w:rFonts w:eastAsia="Calibri"/>
                          <w:color w:val="000000"/>
                          <w:szCs w:val="24"/>
                          <w:lang w:eastAsia="lt-LT"/>
                        </w:rPr>
                        <w:t>4</w:t>
                      </w:r>
                    </w:sdtContent>
                  </w:sdt>
                  <w:r>
                    <w:rPr>
                      <w:rFonts w:eastAsia="Calibri"/>
                      <w:color w:val="000000"/>
                      <w:szCs w:val="24"/>
                      <w:lang w:eastAsia="lt-LT"/>
                    </w:rPr>
                    <w:t>. Lietuvos Respublikos ekonomikos ir inovacijų ministerijai suteikiama teisė</w:t>
                  </w:r>
                  <w:r>
                    <w:rPr>
                      <w:rFonts w:eastAsia="Calibri"/>
                      <w:szCs w:val="24"/>
                      <w:lang w:eastAsia="lt-LT"/>
                    </w:rPr>
                    <w:t xml:space="preserve"> iš savo asignavimų skirti lėšų investuotojams, vykdant įsipareigojimus, nustatytus investicijų sutartyse, sudarytose vadovaujantis Lietuvos Respublikos investicijų įstatymo 13 straipsnio 1 dalies 6 punktu.</w:t>
                  </w:r>
                </w:p>
              </w:sdtContent>
            </w:sdt>
            <w:sdt>
              <w:sdtPr>
                <w:alias w:val="13 str. 5 d."/>
                <w:tag w:val="part_9154b3b38fa04a8fb2c20c34f08ea51a"/>
                <w:lock w:val="sdtLocked"/>
                <w:richText/>
              </w:sdtPr>
              <w:sdtContent>
                <w:p>
                  <w:pPr>
                    <w:spacing w:line="360" w:lineRule="auto"/>
                    <w:ind w:firstLine="720"/>
                    <w:jc w:val="both"/>
                    <w:rPr>
                      <w:rFonts w:eastAsia="Calibri"/>
                      <w:color w:val="000000"/>
                      <w:szCs w:val="24"/>
                      <w:lang w:eastAsia="lt-LT"/>
                    </w:rPr>
                  </w:pPr>
                  <w:sdt>
                    <w:sdtPr>
                      <w:alias w:val="Numeris"/>
                      <w:tag w:val="nr_9154b3b38fa04a8fb2c20c34f08ea51a"/>
                      <w:lock w:val="sdtLocked"/>
                      <w:richText/>
                    </w:sdtPr>
                    <w:sdtContent>
                      <w:r>
                        <w:rPr>
                          <w:bCs/>
                          <w:color w:val="000000"/>
                          <w:szCs w:val="24"/>
                          <w:lang w:eastAsia="lt-LT"/>
                        </w:rPr>
                        <w:t>5</w:t>
                      </w:r>
                    </w:sdtContent>
                  </w:sdt>
                  <w:r>
                    <w:rPr>
                      <w:bCs/>
                      <w:color w:val="000000"/>
                      <w:szCs w:val="24"/>
                      <w:lang w:eastAsia="lt-LT"/>
                    </w:rPr>
                    <w:t>. Lietuvos Respublikos krašto apsaugos ministerijai suteikiama teisė iš savo asignavimų skirti lėšų (suderinus su Finansų ministerija)</w:t>
                  </w:r>
                  <w:r>
                    <w:rPr>
                      <w:rFonts w:eastAsia="Calibri"/>
                      <w:color w:val="000000"/>
                      <w:szCs w:val="24"/>
                      <w:lang w:eastAsia="lt-LT"/>
                    </w:rPr>
                    <w:t>:</w:t>
                  </w:r>
                </w:p>
                <w:sdt>
                  <w:sdtPr>
                    <w:alias w:val="13 str. 5 d. 1 p."/>
                    <w:tag w:val="part_783a447a57cc4a0a92c88f6d6b71f303"/>
                    <w:lock w:val="sdtLocked"/>
                    <w:richText/>
                  </w:sdtPr>
                  <w:sdtContent>
                    <w:p>
                      <w:pPr>
                        <w:tabs>
                          <w:tab w:val="left" w:pos="1077"/>
                        </w:tabs>
                        <w:spacing w:line="360" w:lineRule="auto"/>
                        <w:ind w:firstLine="720"/>
                        <w:jc w:val="both"/>
                        <w:rPr>
                          <w:rFonts w:eastAsia="Calibri"/>
                          <w:szCs w:val="24"/>
                          <w:lang w:eastAsia="lt-LT"/>
                        </w:rPr>
                      </w:pPr>
                      <w:sdt>
                        <w:sdtPr>
                          <w:alias w:val="Numeris"/>
                          <w:tag w:val="nr_783a447a57cc4a0a92c88f6d6b71f303"/>
                          <w:lock w:val="sdtLocked"/>
                          <w:richText/>
                        </w:sdtPr>
                        <w:sdtContent>
                          <w:r>
                            <w:rPr>
                              <w:rFonts w:eastAsia="Calibri"/>
                              <w:szCs w:val="24"/>
                              <w:lang w:eastAsia="lt-LT"/>
                            </w:rPr>
                            <w:t>1</w:t>
                          </w:r>
                        </w:sdtContent>
                      </w:sdt>
                      <w:r>
                        <w:rPr>
                          <w:rFonts w:eastAsia="Calibri"/>
                          <w:szCs w:val="24"/>
                          <w:lang w:eastAsia="lt-LT"/>
                        </w:rPr>
                        <w:t xml:space="preserve">) Krašto apsaugos ministerijos tęstinės veiklos priemonėms įgyvendinti – turtui įsigyti mažinant asignavimus </w:t>
                      </w:r>
                      <w:r>
                        <w:rPr>
                          <w:szCs w:val="24"/>
                        </w:rPr>
                        <w:t xml:space="preserve">į </w:t>
                      </w:r>
                      <w:r>
                        <w:rPr>
                          <w:rFonts w:eastAsia="Calibri"/>
                          <w:szCs w:val="24"/>
                          <w:lang w:eastAsia="lt-LT"/>
                        </w:rPr>
                        <w:t>Valstybės investicijų 2025 metų programą įtrauktiems</w:t>
                      </w:r>
                      <w:r>
                        <w:rPr>
                          <w:szCs w:val="24"/>
                        </w:rPr>
                        <w:t xml:space="preserve"> investicijų projektams </w:t>
                      </w:r>
                      <w:r>
                        <w:rPr>
                          <w:rFonts w:eastAsia="Calibri"/>
                          <w:szCs w:val="24"/>
                          <w:lang w:eastAsia="lt-LT"/>
                        </w:rPr>
                        <w:t>(investicijų projektų įgyvendinimo programoms), jeigu tai būtina nacionaliniam saugumui užtikrinti ar tarptautiniams įsipareigojimams vykdyti teikiant priimančiosios šalies paramą;</w:t>
                      </w:r>
                    </w:p>
                  </w:sdtContent>
                </w:sdt>
                <w:sdt>
                  <w:sdtPr>
                    <w:alias w:val="13 str. 5 d. 2 p."/>
                    <w:tag w:val="part_4a9a0c31b3694be684365e868c32eaf4"/>
                    <w:lock w:val="sdtLocked"/>
                    <w:richText/>
                  </w:sdtPr>
                  <w:sdtContent>
                    <w:p>
                      <w:pPr>
                        <w:tabs>
                          <w:tab w:val="left" w:pos="1077"/>
                        </w:tabs>
                        <w:spacing w:line="360" w:lineRule="auto"/>
                        <w:ind w:firstLine="720"/>
                        <w:jc w:val="both"/>
                        <w:rPr>
                          <w:rFonts w:eastAsia="Calibri"/>
                          <w:szCs w:val="24"/>
                          <w:lang w:eastAsia="lt-LT"/>
                        </w:rPr>
                      </w:pPr>
                      <w:sdt>
                        <w:sdtPr>
                          <w:alias w:val="Numeris"/>
                          <w:tag w:val="nr_4a9a0c31b3694be684365e868c32eaf4"/>
                          <w:lock w:val="sdtLocked"/>
                          <w:richText/>
                        </w:sdtPr>
                        <w:sdtContent>
                          <w:r>
                            <w:rPr>
                              <w:rFonts w:eastAsia="Calibri"/>
                              <w:szCs w:val="24"/>
                              <w:lang w:eastAsia="lt-LT"/>
                            </w:rPr>
                            <w:t>2</w:t>
                          </w:r>
                        </w:sdtContent>
                      </w:sdt>
                      <w:r>
                        <w:rPr>
                          <w:rFonts w:eastAsia="Calibri"/>
                          <w:szCs w:val="24"/>
                          <w:lang w:eastAsia="lt-LT"/>
                        </w:rPr>
                        <w:t>) strateginėms ir neliečiamosioms atsargoms kaupti viršijant Seimo patvirtintas bendras asignavimų sumas panaudojant 2024 metais nepanaudotus valstybės biudžeto asignavimus, jeigu dėl to nėra pažeidžiamos šio įstatymo 18 straipsnio nuostatos;</w:t>
                      </w:r>
                    </w:p>
                  </w:sdtContent>
                </w:sdt>
                <w:sdt>
                  <w:sdtPr>
                    <w:alias w:val="13 str. 5 d. 3 p."/>
                    <w:tag w:val="part_49574f278552400a9d3de419106058c1"/>
                    <w:lock w:val="sdtLocked"/>
                    <w:richText/>
                  </w:sdtPr>
                  <w:sdtContent>
                    <w:p>
                      <w:pPr>
                        <w:tabs>
                          <w:tab w:val="left" w:pos="1077"/>
                        </w:tabs>
                        <w:spacing w:line="360" w:lineRule="auto"/>
                        <w:ind w:firstLine="720"/>
                        <w:jc w:val="both"/>
                        <w:rPr>
                          <w:rFonts w:eastAsia="Calibri"/>
                          <w:szCs w:val="24"/>
                          <w:lang w:eastAsia="lt-LT"/>
                        </w:rPr>
                      </w:pPr>
                      <w:sdt>
                        <w:sdtPr>
                          <w:alias w:val="Numeris"/>
                          <w:tag w:val="nr_49574f278552400a9d3de419106058c1"/>
                          <w:lock w:val="sdtLocked"/>
                          <w:richText/>
                        </w:sdtPr>
                        <w:sdtContent>
                          <w:r>
                            <w:rPr>
                              <w:rFonts w:eastAsia="Calibri"/>
                              <w:szCs w:val="24"/>
                              <w:lang w:eastAsia="lt-LT"/>
                            </w:rPr>
                            <w:t>3</w:t>
                          </w:r>
                        </w:sdtContent>
                      </w:sdt>
                      <w:r>
                        <w:rPr>
                          <w:rFonts w:eastAsia="Calibri"/>
                          <w:szCs w:val="24"/>
                          <w:lang w:eastAsia="lt-LT"/>
                        </w:rPr>
                        <w:t xml:space="preserve">) </w:t>
                      </w:r>
                      <w:r>
                        <w:rPr>
                          <w:color w:val="000000"/>
                          <w:szCs w:val="24"/>
                        </w:rPr>
                        <w:t>savivaldybėms – privažiuojamiesiems prie krašto apsaugos objektų vietinės reikšmės keliams ir vietinės reikšmės keliams, kurie patenka į Lietuvos kariuomenės nurodytus priimančiosios šalies paramos poreikiams būtinus maršrutus, taisyti (remontuoti) ir prižiūrėti.</w:t>
                      </w:r>
                    </w:p>
                  </w:sdtContent>
                </w:sdt>
              </w:sdtContent>
            </w:sdt>
            <w:sdt>
              <w:sdtPr>
                <w:alias w:val="13 str. 6 d."/>
                <w:tag w:val="part_2b231752391c4e629176e8bb72ea1f71"/>
                <w:lock w:val="sdtLocked"/>
                <w:richText/>
              </w:sdtPr>
              <w:sdtContent>
                <w:p>
                  <w:pPr>
                    <w:tabs>
                      <w:tab w:val="left" w:pos="1010"/>
                      <w:tab w:val="left" w:pos="1077"/>
                    </w:tabs>
                    <w:spacing w:line="360" w:lineRule="auto"/>
                    <w:ind w:firstLine="720"/>
                    <w:jc w:val="both"/>
                    <w:rPr>
                      <w:rFonts w:eastAsia="Calibri"/>
                      <w:color w:val="000000"/>
                      <w:szCs w:val="24"/>
                      <w:lang w:eastAsia="lt-LT"/>
                    </w:rPr>
                  </w:pPr>
                  <w:sdt>
                    <w:sdtPr>
                      <w:alias w:val="Numeris"/>
                      <w:tag w:val="nr_2b231752391c4e629176e8bb72ea1f71"/>
                      <w:lock w:val="sdtLocked"/>
                      <w:richText/>
                    </w:sdtPr>
                    <w:sdtContent>
                      <w:r>
                        <w:rPr>
                          <w:rFonts w:eastAsia="Calibri"/>
                          <w:color w:val="000000"/>
                          <w:szCs w:val="24"/>
                          <w:lang w:eastAsia="lt-LT"/>
                        </w:rPr>
                        <w:t>6</w:t>
                      </w:r>
                    </w:sdtContent>
                  </w:sdt>
                  <w:r>
                    <w:rPr>
                      <w:rFonts w:eastAsia="Calibri"/>
                      <w:color w:val="000000"/>
                      <w:szCs w:val="24"/>
                      <w:lang w:eastAsia="lt-LT"/>
                    </w:rPr>
                    <w:t>. Lietuvos Respublikos kultūros ministerijai suteikiama teisė</w:t>
                  </w:r>
                  <w:r>
                    <w:rPr>
                      <w:color w:val="000000"/>
                      <w:szCs w:val="24"/>
                      <w:lang w:eastAsia="lt-LT"/>
                    </w:rPr>
                    <w:t xml:space="preserve"> iš savo asignavimų skirti lėšų </w:t>
                  </w:r>
                  <w:r>
                    <w:rPr>
                      <w:bCs/>
                      <w:iCs/>
                      <w:szCs w:val="24"/>
                      <w:lang w:eastAsia="lt-LT"/>
                    </w:rPr>
                    <w:t>savivaldybių viešosioms bibliotekoms knygoms ir kitiems dokumentams įsigyti ir pervesti jas savivaldybėms kas ketvirtį lygiomis dalimis</w:t>
                  </w:r>
                  <w:r>
                    <w:rPr>
                      <w:bCs/>
                      <w:iCs/>
                      <w:color w:val="2F2F2F"/>
                      <w:szCs w:val="24"/>
                      <w:lang w:eastAsia="lt-LT"/>
                    </w:rPr>
                    <w:t>.</w:t>
                  </w:r>
                </w:p>
              </w:sdtContent>
            </w:sdt>
            <w:sdt>
              <w:sdtPr>
                <w:alias w:val="13 str. 7 d."/>
                <w:tag w:val="part_be38ebf885334add8bcce3b65b3a1972"/>
                <w:lock w:val="sdtLocked"/>
                <w:richText/>
              </w:sdtPr>
              <w:sdtContent>
                <w:p>
                  <w:pPr>
                    <w:tabs>
                      <w:tab w:val="left" w:pos="1010"/>
                      <w:tab w:val="left" w:pos="1077"/>
                    </w:tabs>
                    <w:spacing w:line="360" w:lineRule="auto"/>
                    <w:ind w:firstLine="720"/>
                    <w:jc w:val="both"/>
                    <w:rPr>
                      <w:rFonts w:eastAsia="Calibri"/>
                      <w:color w:val="000000"/>
                      <w:szCs w:val="24"/>
                      <w:lang w:eastAsia="lt-LT"/>
                    </w:rPr>
                  </w:pPr>
                  <w:sdt>
                    <w:sdtPr>
                      <w:alias w:val="Numeris"/>
                      <w:tag w:val="nr_be38ebf885334add8bcce3b65b3a1972"/>
                      <w:lock w:val="sdtLocked"/>
                      <w:richText/>
                    </w:sdtPr>
                    <w:sdtContent>
                      <w:r>
                        <w:rPr>
                          <w:rFonts w:eastAsia="Calibri"/>
                          <w:color w:val="000000"/>
                          <w:szCs w:val="24"/>
                          <w:lang w:eastAsia="lt-LT"/>
                        </w:rPr>
                        <w:t>7</w:t>
                      </w:r>
                    </w:sdtContent>
                  </w:sdt>
                  <w:r>
                    <w:rPr>
                      <w:rFonts w:eastAsia="Calibri"/>
                      <w:color w:val="000000"/>
                      <w:szCs w:val="24"/>
                      <w:lang w:eastAsia="lt-LT"/>
                    </w:rPr>
                    <w:t xml:space="preserve">. Švietimo, mokslo ir sporto ministerijai suteikiama teisė iš savo asignavimų skirti lėšų: </w:t>
                  </w:r>
                </w:p>
                <w:sdt>
                  <w:sdtPr>
                    <w:alias w:val="13 str. 7 d. 1 p."/>
                    <w:tag w:val="part_375eb49024f2422c977ec526c4684b1e"/>
                    <w:lock w:val="sdtLocked"/>
                    <w:richText/>
                  </w:sdtPr>
                  <w:sdtContent>
                    <w:p>
                      <w:pPr>
                        <w:tabs>
                          <w:tab w:val="left" w:pos="851"/>
                          <w:tab w:val="left" w:pos="993"/>
                        </w:tabs>
                        <w:spacing w:line="360" w:lineRule="auto"/>
                        <w:ind w:firstLine="720"/>
                        <w:jc w:val="both"/>
                        <w:rPr>
                          <w:rFonts w:eastAsia="Calibri"/>
                          <w:szCs w:val="24"/>
                          <w:lang w:eastAsia="lt-LT"/>
                        </w:rPr>
                      </w:pPr>
                      <w:sdt>
                        <w:sdtPr>
                          <w:alias w:val="Numeris"/>
                          <w:tag w:val="nr_375eb49024f2422c977ec526c4684b1e"/>
                          <w:lock w:val="sdtLocked"/>
                          <w:richText/>
                        </w:sdtPr>
                        <w:sdtContent>
                          <w:r>
                            <w:rPr>
                              <w:rFonts w:eastAsia="Calibri"/>
                              <w:szCs w:val="24"/>
                              <w:lang w:eastAsia="lt-LT"/>
                            </w:rPr>
                            <w:t>1</w:t>
                          </w:r>
                        </w:sdtContent>
                      </w:sdt>
                      <w:r>
                        <w:rPr>
                          <w:rFonts w:eastAsia="Calibri"/>
                          <w:szCs w:val="24"/>
                          <w:lang w:eastAsia="lt-LT"/>
                        </w:rPr>
                        <w:t>) aukštosioms mokykloms – studentų, 2025 metais priimamų studijuoti pagal trumposios, pirmosios pakopos, vientisųjų, antrosios pakopos ir profesinių studijų programas, studijų išlaidoms apmokėti;</w:t>
                      </w:r>
                    </w:p>
                  </w:sdtContent>
                </w:sdt>
                <w:sdt>
                  <w:sdtPr>
                    <w:alias w:val="13 str. 7 d. 2 p."/>
                    <w:tag w:val="part_4961e3fd54bd487d941ef26e29e45709"/>
                    <w:lock w:val="sdtLocked"/>
                    <w:richText/>
                  </w:sdtPr>
                  <w:sdtContent>
                    <w:p>
                      <w:pPr>
                        <w:tabs>
                          <w:tab w:val="left" w:pos="851"/>
                          <w:tab w:val="left" w:pos="1077"/>
                        </w:tabs>
                        <w:spacing w:line="360" w:lineRule="auto"/>
                        <w:ind w:firstLine="720"/>
                        <w:jc w:val="both"/>
                        <w:rPr>
                          <w:rFonts w:eastAsia="Calibri"/>
                          <w:color w:val="000000"/>
                          <w:szCs w:val="24"/>
                          <w:lang w:eastAsia="lt-LT"/>
                        </w:rPr>
                      </w:pPr>
                      <w:sdt>
                        <w:sdtPr>
                          <w:alias w:val="Numeris"/>
                          <w:tag w:val="nr_4961e3fd54bd487d941ef26e29e45709"/>
                          <w:lock w:val="sdtLocked"/>
                          <w:richText/>
                        </w:sdtPr>
                        <w:sdtContent>
                          <w:r>
                            <w:rPr>
                              <w:rFonts w:eastAsia="Calibri"/>
                              <w:szCs w:val="24"/>
                              <w:lang w:eastAsia="lt-LT"/>
                            </w:rPr>
                            <w:t>2</w:t>
                          </w:r>
                        </w:sdtContent>
                      </w:sdt>
                      <w:r>
                        <w:rPr>
                          <w:rFonts w:eastAsia="Calibri"/>
                          <w:szCs w:val="24"/>
                          <w:lang w:eastAsia="lt-LT"/>
                        </w:rPr>
                        <w:t xml:space="preserve">) savivaldybėms ir valstybinėms mokykloms, vykdančioms ikimokyklinio, priešmokyklinio, bendrojo ugdymo ir </w:t>
                      </w:r>
                      <w:r>
                        <w:rPr>
                          <w:rFonts w:eastAsia="Calibri"/>
                          <w:szCs w:val="24"/>
                          <w:shd w:val="clear" w:color="auto" w:fill="FFFFFF"/>
                          <w:lang w:eastAsia="lt-LT"/>
                        </w:rPr>
                        <w:t xml:space="preserve">profesinio </w:t>
                      </w:r>
                      <w:r>
                        <w:rPr>
                          <w:rFonts w:eastAsia="Calibri"/>
                          <w:szCs w:val="24"/>
                          <w:lang w:eastAsia="lt-LT"/>
                        </w:rPr>
                        <w:t xml:space="preserve">mokymo programas, – valstybinių ir savivaldybių mokyklų pedagoginio personalo (mokytojų, dirbančių pagal ikimokyklinio, priešmokyklinio, bendrojo ugdymo ir profesinio mokymo programas) </w:t>
                      </w:r>
                      <w:r>
                        <w:rPr>
                          <w:rFonts w:eastAsia="Calibri"/>
                          <w:color w:val="000000"/>
                          <w:szCs w:val="24"/>
                          <w:lang w:eastAsia="lt-LT"/>
                        </w:rPr>
                        <w:t xml:space="preserve">optimizavimo </w:t>
                      </w:r>
                      <w:r>
                        <w:rPr>
                          <w:rFonts w:eastAsia="Calibri"/>
                          <w:bCs/>
                          <w:color w:val="000000"/>
                          <w:szCs w:val="24"/>
                          <w:lang w:eastAsia="lt-LT"/>
                        </w:rPr>
                        <w:t>ir</w:t>
                      </w:r>
                      <w:r>
                        <w:rPr>
                          <w:rFonts w:eastAsia="Calibri"/>
                          <w:color w:val="000000"/>
                          <w:szCs w:val="24"/>
                          <w:lang w:eastAsia="lt-LT"/>
                        </w:rPr>
                        <w:t xml:space="preserve"> </w:t>
                      </w:r>
                      <w:r>
                        <w:rPr>
                          <w:rFonts w:eastAsia="Calibri"/>
                          <w:bCs/>
                          <w:color w:val="000000"/>
                          <w:szCs w:val="24"/>
                          <w:lang w:eastAsia="lt-LT"/>
                        </w:rPr>
                        <w:t xml:space="preserve">atnaujinimo </w:t>
                      </w:r>
                      <w:r>
                        <w:rPr>
                          <w:color w:val="000000"/>
                          <w:szCs w:val="24"/>
                          <w:lang w:eastAsia="lt-LT"/>
                        </w:rPr>
                        <w:t>išlaidoms švietimo, mokslo ir sporto ministro nustatyta tvarka</w:t>
                      </w:r>
                      <w:r>
                        <w:rPr>
                          <w:rFonts w:eastAsia="Calibri"/>
                          <w:szCs w:val="24"/>
                          <w:lang w:eastAsia="lt-LT"/>
                        </w:rPr>
                        <w:t xml:space="preserve"> apmokėti</w:t>
                      </w:r>
                      <w:r>
                        <w:rPr>
                          <w:rFonts w:eastAsia="Calibri"/>
                          <w:color w:val="000000"/>
                          <w:szCs w:val="24"/>
                          <w:lang w:eastAsia="lt-LT"/>
                        </w:rPr>
                        <w:t>;</w:t>
                      </w:r>
                    </w:p>
                  </w:sdtContent>
                </w:sdt>
                <w:sdt>
                  <w:sdtPr>
                    <w:alias w:val="13 str. 7 d. 3 p."/>
                    <w:tag w:val="part_609dad4df127482d82a4542b3fdaaf1b"/>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09dad4df127482d82a4542b3fdaaf1b"/>
                          <w:lock w:val="sdtLocked"/>
                          <w:richText/>
                        </w:sdtPr>
                        <w:sdtContent>
                          <w:r>
                            <w:rPr>
                              <w:rFonts w:eastAsia="Calibri"/>
                              <w:szCs w:val="24"/>
                              <w:lang w:eastAsia="lt-LT"/>
                            </w:rPr>
                            <w:t>3</w:t>
                          </w:r>
                        </w:sdtContent>
                      </w:sdt>
                      <w:r>
                        <w:rPr>
                          <w:rFonts w:eastAsia="Calibri"/>
                          <w:szCs w:val="24"/>
                          <w:lang w:eastAsia="lt-LT"/>
                        </w:rPr>
                        <w:t>)</w:t>
                      </w:r>
                      <w:r>
                        <w:rPr>
                          <w:rFonts w:eastAsia="Calibri"/>
                          <w:color w:val="000000"/>
                          <w:szCs w:val="24"/>
                          <w:lang w:eastAsia="lt-LT"/>
                        </w:rPr>
                        <w:t xml:space="preserve"> savivaldybėms – profesinio orientavimo išlaidoms, socialinę riziką patiriančių vaikų, kuriems skirtas privalomas ugdymas pagal ikimokyklinio ugdymo programą, ugdymo, maitinimo ir vežiojimo išlaidoms, taip pat neformaliojo vaikų švietimo teikėjų, išskyrus bendrojo ugdymo mokyklas, patirtoms neformaliojo vaikų švietimo išlaidoms apmokėti;</w:t>
                      </w:r>
                    </w:p>
                  </w:sdtContent>
                </w:sdt>
                <w:sdt>
                  <w:sdtPr>
                    <w:alias w:val="13 str. 7 d. 4 p."/>
                    <w:tag w:val="part_3edef5c986594d5ebbd955ff873f05a0"/>
                    <w:lock w:val="sdtLocked"/>
                    <w:richText/>
                  </w:sdtPr>
                  <w:sdtContent>
                    <w:p>
                      <w:pPr>
                        <w:tabs>
                          <w:tab w:val="left" w:pos="851"/>
                          <w:tab w:val="left" w:pos="1077"/>
                        </w:tabs>
                        <w:spacing w:line="360" w:lineRule="auto"/>
                        <w:ind w:firstLine="720"/>
                        <w:jc w:val="both"/>
                        <w:rPr>
                          <w:rFonts w:eastAsia="Calibri"/>
                          <w:bCs/>
                          <w:color w:val="000000"/>
                          <w:szCs w:val="24"/>
                          <w:lang w:eastAsia="lt-LT"/>
                        </w:rPr>
                      </w:pPr>
                      <w:sdt>
                        <w:sdtPr>
                          <w:alias w:val="Numeris"/>
                          <w:tag w:val="nr_3edef5c986594d5ebbd955ff873f05a0"/>
                          <w:lock w:val="sdtLocked"/>
                          <w:richText/>
                        </w:sdtPr>
                        <w:sdtContent>
                          <w:r>
                            <w:rPr>
                              <w:rFonts w:eastAsia="Calibri"/>
                              <w:color w:val="000000"/>
                              <w:szCs w:val="24"/>
                              <w:lang w:eastAsia="lt-LT"/>
                            </w:rPr>
                            <w:t>4</w:t>
                          </w:r>
                        </w:sdtContent>
                      </w:sdt>
                      <w:r>
                        <w:rPr>
                          <w:rFonts w:eastAsia="Calibri"/>
                          <w:color w:val="000000"/>
                          <w:szCs w:val="24"/>
                          <w:lang w:eastAsia="lt-LT"/>
                        </w:rPr>
                        <w:t xml:space="preserve">) valstybinėms mokslo ir studijų institucijoms – šių institucijų tinklui optimizuoti, mokslo ir studijų kokybei ir prieinamumui </w:t>
                      </w:r>
                      <w:r>
                        <w:rPr>
                          <w:bCs/>
                          <w:color w:val="000000"/>
                          <w:szCs w:val="24"/>
                        </w:rPr>
                        <w:t xml:space="preserve">bei </w:t>
                      </w:r>
                      <w:r>
                        <w:rPr>
                          <w:bCs/>
                          <w:color w:val="000000"/>
                          <w:szCs w:val="24"/>
                          <w:lang w:eastAsia="lt-LT"/>
                        </w:rPr>
                        <w:t>dėstytojų, mokslo darbuotojų, kitų tyrėjų</w:t>
                      </w:r>
                      <w:r>
                        <w:rPr>
                          <w:bCs/>
                          <w:color w:val="2F2F2F"/>
                          <w:szCs w:val="24"/>
                          <w:lang w:eastAsia="lt-LT"/>
                        </w:rPr>
                        <w:t xml:space="preserve"> </w:t>
                      </w:r>
                      <w:r>
                        <w:rPr>
                          <w:bCs/>
                          <w:szCs w:val="24"/>
                          <w:lang w:eastAsia="lt-LT"/>
                        </w:rPr>
                        <w:t>ir neakademinių</w:t>
                      </w:r>
                      <w:r>
                        <w:rPr>
                          <w:b/>
                          <w:bCs/>
                          <w:szCs w:val="24"/>
                          <w:lang w:eastAsia="lt-LT"/>
                        </w:rPr>
                        <w:t xml:space="preserve"> </w:t>
                      </w:r>
                      <w:r>
                        <w:rPr>
                          <w:bCs/>
                          <w:color w:val="000000"/>
                          <w:szCs w:val="24"/>
                        </w:rPr>
                        <w:t xml:space="preserve">darbuotojų darbo apmokėjimo sąlygoms gerinti; </w:t>
                      </w:r>
                    </w:p>
                  </w:sdtContent>
                </w:sdt>
                <w:sdt>
                  <w:sdtPr>
                    <w:alias w:val="13 str. 7 d. 5 p."/>
                    <w:tag w:val="part_4d7d12c506f24f9ba9dc128793ac2852"/>
                    <w:lock w:val="sdtLocked"/>
                    <w:richText/>
                  </w:sdtPr>
                  <w:sdtContent>
                    <w:p>
                      <w:pPr>
                        <w:tabs>
                          <w:tab w:val="left" w:pos="851"/>
                          <w:tab w:val="left" w:pos="1077"/>
                        </w:tabs>
                        <w:spacing w:line="360" w:lineRule="auto"/>
                        <w:ind w:firstLine="720"/>
                        <w:jc w:val="both"/>
                        <w:rPr>
                          <w:color w:val="000000"/>
                          <w:szCs w:val="24"/>
                        </w:rPr>
                      </w:pPr>
                      <w:sdt>
                        <w:sdtPr>
                          <w:alias w:val="Numeris"/>
                          <w:tag w:val="nr_4d7d12c506f24f9ba9dc128793ac2852"/>
                          <w:lock w:val="sdtLocked"/>
                          <w:richText/>
                        </w:sdtPr>
                        <w:sdtContent>
                          <w:r>
                            <w:rPr>
                              <w:color w:val="000000"/>
                              <w:szCs w:val="24"/>
                            </w:rPr>
                            <w:t>5</w:t>
                          </w:r>
                        </w:sdtContent>
                      </w:sdt>
                      <w:r>
                        <w:rPr>
                          <w:color w:val="000000"/>
                          <w:szCs w:val="24"/>
                        </w:rPr>
                        <w:t xml:space="preserve">) savivaldybėms ir (arba) valstybės biudžeto asignavimų valdytojams </w:t>
                      </w:r>
                      <w:r>
                        <w:rPr>
                          <w:rFonts w:eastAsia="Calibri"/>
                          <w:color w:val="000000"/>
                          <w:szCs w:val="24"/>
                          <w:lang w:eastAsia="lt-LT"/>
                        </w:rPr>
                        <w:t xml:space="preserve">– </w:t>
                      </w:r>
                      <w:r>
                        <w:rPr>
                          <w:color w:val="000000"/>
                          <w:szCs w:val="24"/>
                        </w:rPr>
                        <w:t>Vokietijos ginkluotųjų pajėgų brigados narių šeimų narių ugdymo pagal formaliojo ir neformaliojo švietimo programas sąlygų sudarymo (įskaitant infrastruktūrą), ugdymo, švietimo, kitoms su švietimu susijusioms reikmėms finansuoti.</w:t>
                      </w:r>
                    </w:p>
                  </w:sdtContent>
                </w:sdt>
              </w:sdtContent>
            </w:sdt>
            <w:sdt>
              <w:sdtPr>
                <w:alias w:val="13 str. 8 d."/>
                <w:tag w:val="part_a6d3e59f02c4498a8dd191ae0dbe058a"/>
                <w:lock w:val="sdtLocked"/>
                <w:richText/>
              </w:sdtPr>
              <w:sdtContent>
                <w:p>
                  <w:pPr>
                    <w:tabs>
                      <w:tab w:val="left" w:pos="1077"/>
                    </w:tabs>
                    <w:spacing w:line="360" w:lineRule="auto"/>
                    <w:ind w:firstLine="720"/>
                    <w:jc w:val="both"/>
                    <w:rPr>
                      <w:rFonts w:eastAsia="Calibri"/>
                      <w:szCs w:val="24"/>
                      <w:lang w:eastAsia="lt-LT"/>
                    </w:rPr>
                  </w:pPr>
                  <w:sdt>
                    <w:sdtPr>
                      <w:alias w:val="Numeris"/>
                      <w:tag w:val="nr_a6d3e59f02c4498a8dd191ae0dbe058a"/>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szCs w:val="24"/>
                      <w:lang w:eastAsia="lt-LT"/>
                    </w:rPr>
                    <w:t>Kultūros ministerijai, Švietimo, mokslo ir sporto ministerijai ir Lietuvos Respublikos užsienio reikalų ministerijai suteikiama teisė iš savo asignavimų skirti lėšų užsienio subjektams Lietuvos diasporos organizacijų ir įstaigų bendruomeniškumui skatinti, kultūros, švietimo veiklai vykdyti, įskaitant turto įsigijimą ir infrastruktūros šiai veiklai vykdyti gerinimą.</w:t>
                  </w:r>
                </w:p>
                <w:p>
                  <w:pPr>
                    <w:spacing w:line="360" w:lineRule="auto"/>
                    <w:ind w:firstLine="720"/>
                    <w:rPr>
                      <w:szCs w:val="24"/>
                    </w:rPr>
                  </w:pPr>
                </w:p>
              </w:sdtContent>
            </w:sdt>
          </w:sdtContent>
        </w:sdt>
        <w:sdt>
          <w:sdtPr>
            <w:alias w:val="14 str."/>
            <w:tag w:val="part_adcfc37a25024347850fd14611fdb469"/>
            <w:lock w:val="sdtLocked"/>
            <w:richText/>
          </w:sdtPr>
          <w:sdtContent>
            <w:p>
              <w:pPr>
                <w:spacing w:line="360" w:lineRule="auto"/>
                <w:ind w:firstLine="720"/>
                <w:jc w:val="both"/>
                <w:rPr>
                  <w:b/>
                  <w:bCs/>
                  <w:szCs w:val="24"/>
                </w:rPr>
              </w:pPr>
              <w:sdt>
                <w:sdtPr>
                  <w:alias w:val="Numeris"/>
                  <w:tag w:val="nr_adcfc37a25024347850fd14611fdb469"/>
                  <w:lock w:val="sdtLocked"/>
                  <w:richText/>
                </w:sdtPr>
                <w:sdtContent>
                  <w:r>
                    <w:rPr>
                      <w:b/>
                      <w:bCs/>
                      <w:szCs w:val="24"/>
                    </w:rPr>
                    <w:t>14</w:t>
                  </w:r>
                </w:sdtContent>
              </w:sdt>
              <w:r>
                <w:rPr>
                  <w:b/>
                  <w:bCs/>
                  <w:szCs w:val="24"/>
                </w:rPr>
                <w:t xml:space="preserve"> straipsnis. </w:t>
              </w:r>
              <w:sdt>
                <w:sdtPr>
                  <w:alias w:val="Pavadinimas"/>
                  <w:tag w:val="title_adcfc37a25024347850fd14611fdb469"/>
                  <w:lock w:val="sdtLocked"/>
                  <w:richText/>
                </w:sdtPr>
                <w:sdtContent>
                  <w:r>
                    <w:rPr>
                      <w:b/>
                      <w:bCs/>
                      <w:szCs w:val="24"/>
                    </w:rPr>
                    <w:t>Valstybės investicijų 2025 metų programos patvirtinimas</w:t>
                  </w:r>
                </w:sdtContent>
              </w:sdt>
            </w:p>
            <w:sdt>
              <w:sdtPr>
                <w:alias w:val="14 str. 1 d."/>
                <w:tag w:val="part_cfe1bd4566d9407baffd1d4dc28ecf54"/>
                <w:lock w:val="sdtLocked"/>
                <w:richText/>
              </w:sdtPr>
              <w:sdtContent>
                <w:p>
                  <w:pPr>
                    <w:spacing w:line="360" w:lineRule="auto"/>
                    <w:ind w:firstLine="720"/>
                    <w:jc w:val="both"/>
                    <w:rPr>
                      <w:rFonts w:eastAsia="Calibri"/>
                      <w:szCs w:val="24"/>
                      <w:lang w:eastAsia="lt-LT"/>
                    </w:rPr>
                  </w:pPr>
                  <w:r>
                    <w:rPr>
                      <w:rFonts w:eastAsia="Calibri"/>
                      <w:szCs w:val="24"/>
                      <w:lang w:eastAsia="lt-LT"/>
                    </w:rPr>
                    <w:t>Šiuo įstatymu patvirtinama Valstybės investicijų 2025 metų programa (7 priedas).</w:t>
                  </w:r>
                </w:p>
                <w:p>
                  <w:pPr>
                    <w:spacing w:line="360" w:lineRule="auto"/>
                    <w:ind w:firstLine="720"/>
                    <w:jc w:val="both"/>
                    <w:rPr>
                      <w:rFonts w:eastAsia="Calibri"/>
                      <w:szCs w:val="24"/>
                      <w:lang w:eastAsia="lt-LT"/>
                    </w:rPr>
                  </w:pPr>
                </w:p>
              </w:sdtContent>
            </w:sdt>
          </w:sdtContent>
        </w:sdt>
        <w:sdt>
          <w:sdtPr>
            <w:alias w:val="15 str."/>
            <w:tag w:val="part_1693dc4f3b3d4931bd387fa16412528a"/>
            <w:lock w:val="sdtLocked"/>
            <w:richText/>
          </w:sdtPr>
          <w:sdtContent>
            <w:p>
              <w:pPr>
                <w:spacing w:line="360" w:lineRule="auto"/>
                <w:ind w:firstLine="720"/>
                <w:jc w:val="both"/>
                <w:rPr>
                  <w:b/>
                  <w:bCs/>
                  <w:szCs w:val="24"/>
                </w:rPr>
              </w:pPr>
              <w:sdt>
                <w:sdtPr>
                  <w:alias w:val="Numeris"/>
                  <w:tag w:val="nr_1693dc4f3b3d4931bd387fa16412528a"/>
                  <w:lock w:val="sdtLocked"/>
                  <w:richText/>
                </w:sdtPr>
                <w:sdtContent>
                  <w:r>
                    <w:rPr>
                      <w:b/>
                      <w:bCs/>
                      <w:szCs w:val="24"/>
                    </w:rPr>
                    <w:t>15</w:t>
                  </w:r>
                </w:sdtContent>
              </w:sdt>
              <w:r>
                <w:rPr>
                  <w:b/>
                  <w:bCs/>
                  <w:szCs w:val="24"/>
                </w:rPr>
                <w:t xml:space="preserve"> straipsnis. </w:t>
              </w:r>
              <w:sdt>
                <w:sdtPr>
                  <w:alias w:val="Pavadinimas"/>
                  <w:tag w:val="title_1693dc4f3b3d4931bd387fa16412528a"/>
                  <w:lock w:val="sdtLocked"/>
                  <w:richText/>
                </w:sdtPr>
                <w:sdtContent>
                  <w:r>
                    <w:rPr>
                      <w:b/>
                      <w:bCs/>
                      <w:szCs w:val="24"/>
                    </w:rPr>
                    <w:t>2025 metų Rezervinio (stabilizavimo) fondo lėšų sąmatos patvirtinimas</w:t>
                  </w:r>
                </w:sdtContent>
              </w:sdt>
            </w:p>
            <w:sdt>
              <w:sdtPr>
                <w:alias w:val="15 str. 1 d."/>
                <w:tag w:val="part_a9f360aeeecb40b08f08f9d73e80875a"/>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Šiuo įstatymu patvirtinama </w:t>
                  </w:r>
                  <w:r>
                    <w:rPr>
                      <w:szCs w:val="24"/>
                    </w:rPr>
                    <w:t xml:space="preserve">2025 </w:t>
                  </w:r>
                  <w:r>
                    <w:rPr>
                      <w:rFonts w:eastAsia="Calibri"/>
                      <w:szCs w:val="24"/>
                      <w:lang w:eastAsia="lt-LT"/>
                    </w:rPr>
                    <w:t>metų Rezervinio (stabilizavimo) fondo lėšų sąmata (8 priedas).</w:t>
                  </w:r>
                </w:p>
                <w:p>
                  <w:pPr>
                    <w:spacing w:line="360" w:lineRule="auto"/>
                    <w:ind w:firstLine="720"/>
                    <w:jc w:val="both"/>
                    <w:rPr>
                      <w:rFonts w:eastAsia="Calibri"/>
                      <w:szCs w:val="24"/>
                      <w:lang w:eastAsia="lt-LT"/>
                    </w:rPr>
                  </w:pPr>
                </w:p>
              </w:sdtContent>
            </w:sdt>
          </w:sdtContent>
        </w:sdt>
        <w:sdt>
          <w:sdtPr>
            <w:alias w:val="16 str."/>
            <w:tag w:val="part_54f6ebb6078248ae82aa515c20fbc23b"/>
            <w:lock w:val="sdtLocked"/>
            <w:richText/>
          </w:sdtPr>
          <w:sdtContent>
            <w:p>
              <w:pPr>
                <w:spacing w:line="360" w:lineRule="auto"/>
                <w:ind w:firstLine="720"/>
                <w:jc w:val="both"/>
                <w:rPr>
                  <w:b/>
                  <w:bCs/>
                  <w:szCs w:val="24"/>
                </w:rPr>
              </w:pPr>
              <w:sdt>
                <w:sdtPr>
                  <w:alias w:val="Numeris"/>
                  <w:tag w:val="nr_54f6ebb6078248ae82aa515c20fbc23b"/>
                  <w:lock w:val="sdtLocked"/>
                  <w:richText/>
                </w:sdtPr>
                <w:sdtContent>
                  <w:r>
                    <w:rPr>
                      <w:b/>
                      <w:bCs/>
                      <w:szCs w:val="24"/>
                    </w:rPr>
                    <w:t>16</w:t>
                  </w:r>
                </w:sdtContent>
              </w:sdt>
              <w:r>
                <w:rPr>
                  <w:b/>
                  <w:bCs/>
                  <w:szCs w:val="24"/>
                </w:rPr>
                <w:t xml:space="preserve"> straipsnis. </w:t>
              </w:r>
              <w:sdt>
                <w:sdtPr>
                  <w:alias w:val="Pavadinimas"/>
                  <w:tag w:val="title_54f6ebb6078248ae82aa515c20fbc23b"/>
                  <w:lock w:val="sdtLocked"/>
                  <w:richText/>
                </w:sdtPr>
                <w:sdtContent>
                  <w:r>
                    <w:rPr>
                      <w:b/>
                      <w:bCs/>
                      <w:szCs w:val="24"/>
                    </w:rPr>
                    <w:t>2025 metų Valstybės gynybos fondo lėšų sąmatos patvirtinimas</w:t>
                  </w:r>
                </w:sdtContent>
              </w:sdt>
            </w:p>
            <w:sdt>
              <w:sdtPr>
                <w:alias w:val="16 str. 1 d."/>
                <w:tag w:val="part_557dc3ce9309421fa7cc34e4e75b73a1"/>
                <w:lock w:val="sdtLocked"/>
                <w:richText/>
              </w:sdtPr>
              <w:sdtContent>
                <w:p>
                  <w:pPr>
                    <w:spacing w:line="360" w:lineRule="auto"/>
                    <w:ind w:firstLine="720"/>
                    <w:jc w:val="both"/>
                    <w:rPr>
                      <w:szCs w:val="24"/>
                    </w:rPr>
                  </w:pPr>
                  <w:r>
                    <w:rPr>
                      <w:szCs w:val="24"/>
                    </w:rPr>
                    <w:t>Šiuo įstatymu patvirtinama 2025 metų Valstybės gynybos fondo lėšų sąmata (9 priedas).</w:t>
                  </w:r>
                </w:p>
                <w:p>
                  <w:pPr>
                    <w:spacing w:line="360" w:lineRule="auto"/>
                    <w:ind w:firstLine="720"/>
                    <w:jc w:val="both"/>
                    <w:rPr>
                      <w:rFonts w:eastAsia="Calibri"/>
                      <w:szCs w:val="24"/>
                      <w:lang w:eastAsia="lt-LT"/>
                    </w:rPr>
                  </w:pPr>
                </w:p>
              </w:sdtContent>
            </w:sdt>
          </w:sdtContent>
        </w:sdt>
        <w:sdt>
          <w:sdtPr>
            <w:alias w:val="17 str."/>
            <w:tag w:val="part_2a749ee0ab274c078b4ad3692b95906d"/>
            <w:lock w:val="sdtLocked"/>
            <w:richText/>
          </w:sdtPr>
          <w:sdtContent>
            <w:p>
              <w:pPr>
                <w:spacing w:line="360" w:lineRule="auto"/>
                <w:ind w:left="2268" w:hanging="1548"/>
                <w:jc w:val="both"/>
                <w:rPr>
                  <w:b/>
                  <w:bCs/>
                  <w:szCs w:val="24"/>
                </w:rPr>
              </w:pPr>
              <w:sdt>
                <w:sdtPr>
                  <w:alias w:val="Numeris"/>
                  <w:tag w:val="nr_2a749ee0ab274c078b4ad3692b95906d"/>
                  <w:lock w:val="sdtLocked"/>
                  <w:richText/>
                </w:sdtPr>
                <w:sdtContent>
                  <w:r>
                    <w:rPr>
                      <w:b/>
                      <w:bCs/>
                      <w:szCs w:val="24"/>
                    </w:rPr>
                    <w:t>17</w:t>
                  </w:r>
                </w:sdtContent>
              </w:sdt>
              <w:r>
                <w:rPr>
                  <w:b/>
                  <w:bCs/>
                  <w:szCs w:val="24"/>
                </w:rPr>
                <w:t xml:space="preserve"> straipsnis. </w:t>
              </w:r>
              <w:sdt>
                <w:sdtPr>
                  <w:alias w:val="Pavadinimas"/>
                  <w:tag w:val="title_2a749ee0ab274c078b4ad3692b95906d"/>
                  <w:lock w:val="sdtLocked"/>
                  <w:richText/>
                </w:sdtPr>
                <w:sdtContent>
                  <w:r>
                    <w:rPr>
                      <w:b/>
                      <w:bCs/>
                      <w:szCs w:val="24"/>
                    </w:rPr>
                    <w:t>2025–2027</w:t>
                  </w:r>
                  <w:r>
                    <w:rPr>
                      <w:szCs w:val="24"/>
                    </w:rPr>
                    <w:t xml:space="preserve"> </w:t>
                  </w:r>
                  <w:r>
                    <w:rPr>
                      <w:b/>
                      <w:bCs/>
                      <w:szCs w:val="24"/>
                    </w:rPr>
                    <w:t xml:space="preserve">metais valstybės veiklos srityse siekiamų 2021–2030 metų nacionaliniame pažangos plane nustatytų pažangos uždavinių stebėsenos rodiklių reikšmių patvirtinimas </w:t>
                  </w:r>
                </w:sdtContent>
              </w:sdt>
            </w:p>
            <w:sdt>
              <w:sdtPr>
                <w:alias w:val="17 str. 1 d."/>
                <w:tag w:val="part_2d59f3b1517f456e9704488d8bcf00e1"/>
                <w:lock w:val="sdtLocked"/>
                <w:richText/>
              </w:sdtPr>
              <w:sdtContent>
                <w:p>
                  <w:pPr>
                    <w:spacing w:line="360" w:lineRule="auto"/>
                    <w:ind w:firstLine="720"/>
                    <w:jc w:val="both"/>
                    <w:rPr>
                      <w:rFonts w:eastAsia="Calibri"/>
                      <w:szCs w:val="24"/>
                      <w:lang w:eastAsia="lt-LT"/>
                    </w:rPr>
                  </w:pPr>
                  <w:r>
                    <w:rPr>
                      <w:rFonts w:eastAsia="Calibri"/>
                      <w:szCs w:val="24"/>
                      <w:lang w:eastAsia="lt-LT"/>
                    </w:rPr>
                    <w:t>Šiuo įstatymu patvirtinamos 2025</w:t>
                  </w:r>
                  <w:r>
                    <w:rPr>
                      <w:szCs w:val="24"/>
                    </w:rPr>
                    <w:t>–2027</w:t>
                  </w:r>
                  <w:r>
                    <w:rPr>
                      <w:rFonts w:eastAsia="Calibri"/>
                      <w:szCs w:val="24"/>
                      <w:lang w:eastAsia="lt-LT"/>
                    </w:rPr>
                    <w:t xml:space="preserve"> metais valstybės veiklos srityse siekiamų </w:t>
                  </w:r>
                  <w:r>
                    <w:rPr>
                      <w:bCs/>
                      <w:szCs w:val="24"/>
                    </w:rPr>
                    <w:t>2021</w:t>
                  </w:r>
                  <w:r>
                    <w:rPr>
                      <w:rFonts w:eastAsia="Calibri"/>
                      <w:szCs w:val="24"/>
                      <w:lang w:eastAsia="lt-LT"/>
                    </w:rPr>
                    <w:t>–</w:t>
                  </w:r>
                  <w:r>
                    <w:rPr>
                      <w:bCs/>
                      <w:szCs w:val="24"/>
                    </w:rPr>
                    <w:t xml:space="preserve">2030 metų nacionaliniame pažangos plane nustatytų pažangos uždavinių stebėsenos rodiklių reikšmės </w:t>
                  </w:r>
                  <w:r>
                    <w:rPr>
                      <w:rFonts w:eastAsia="Calibri"/>
                      <w:szCs w:val="24"/>
                      <w:lang w:eastAsia="lt-LT"/>
                    </w:rPr>
                    <w:t>(10 priedas).</w:t>
                  </w:r>
                </w:p>
                <w:p>
                  <w:pPr>
                    <w:spacing w:line="360" w:lineRule="auto"/>
                    <w:ind w:firstLine="720"/>
                    <w:jc w:val="both"/>
                    <w:rPr>
                      <w:rFonts w:eastAsia="Calibri"/>
                      <w:color w:val="000000"/>
                      <w:szCs w:val="24"/>
                      <w:lang w:eastAsia="lt-LT"/>
                    </w:rPr>
                  </w:pPr>
                </w:p>
              </w:sdtContent>
            </w:sdt>
          </w:sdtContent>
        </w:sdt>
        <w:sdt>
          <w:sdtPr>
            <w:alias w:val="18 str."/>
            <w:tag w:val="part_3fbabe2a20b84766a596bc031dbaf8ce"/>
            <w:lock w:val="sdtLocked"/>
            <w:richText/>
          </w:sdtPr>
          <w:sdtContent>
            <w:p>
              <w:pPr>
                <w:spacing w:line="360" w:lineRule="auto"/>
                <w:ind w:firstLine="720"/>
                <w:jc w:val="both"/>
                <w:rPr>
                  <w:b/>
                  <w:bCs/>
                  <w:szCs w:val="24"/>
                </w:rPr>
              </w:pPr>
              <w:sdt>
                <w:sdtPr>
                  <w:alias w:val="Numeris"/>
                  <w:tag w:val="nr_3fbabe2a20b84766a596bc031dbaf8ce"/>
                  <w:lock w:val="sdtLocked"/>
                  <w:richText/>
                </w:sdtPr>
                <w:sdtContent>
                  <w:r>
                    <w:rPr>
                      <w:b/>
                      <w:bCs/>
                      <w:szCs w:val="24"/>
                    </w:rPr>
                    <w:t>18</w:t>
                  </w:r>
                </w:sdtContent>
              </w:sdt>
              <w:r>
                <w:rPr>
                  <w:b/>
                  <w:bCs/>
                  <w:szCs w:val="24"/>
                </w:rPr>
                <w:t xml:space="preserve"> straipsnis. </w:t>
              </w:r>
              <w:sdt>
                <w:sdtPr>
                  <w:alias w:val="Pavadinimas"/>
                  <w:tag w:val="title_3fbabe2a20b84766a596bc031dbaf8ce"/>
                  <w:lock w:val="sdtLocked"/>
                  <w:richText/>
                </w:sdtPr>
                <w:sdtContent>
                  <w:r>
                    <w:rPr>
                      <w:b/>
                      <w:bCs/>
                      <w:szCs w:val="24"/>
                    </w:rPr>
                    <w:t>Vidutinio laikotarpio valdžios sektoriaus balanso rodiklio užduotys</w:t>
                  </w:r>
                </w:sdtContent>
              </w:sdt>
            </w:p>
            <w:sdt>
              <w:sdtPr>
                <w:alias w:val="18 str. 1 d."/>
                <w:tag w:val="part_8d28911fca864cd585e6e22295495869"/>
                <w:lock w:val="sdtLocked"/>
                <w:richText/>
              </w:sdtPr>
              <w:sdtContent>
                <w:p>
                  <w:pPr>
                    <w:widowControl w:val="0"/>
                    <w:spacing w:line="360" w:lineRule="auto"/>
                    <w:ind w:firstLine="720"/>
                    <w:jc w:val="both"/>
                    <w:rPr>
                      <w:rFonts w:eastAsia="Calibri"/>
                      <w:szCs w:val="24"/>
                      <w:lang w:eastAsia="lt-LT"/>
                    </w:rPr>
                  </w:pPr>
                  <w:sdt>
                    <w:sdtPr>
                      <w:alias w:val="Numeris"/>
                      <w:tag w:val="nr_8d28911fca864cd585e6e22295495869"/>
                      <w:lock w:val="sdtLocked"/>
                      <w:richText/>
                    </w:sdtPr>
                    <w:sdtContent>
                      <w:r>
                        <w:rPr>
                          <w:szCs w:val="24"/>
                          <w:lang w:eastAsia="lt-LT"/>
                        </w:rPr>
                        <w:t>1</w:t>
                      </w:r>
                    </w:sdtContent>
                  </w:sdt>
                  <w:r>
                    <w:rPr>
                      <w:szCs w:val="24"/>
                      <w:lang w:eastAsia="lt-LT"/>
                    </w:rPr>
                    <w:t xml:space="preserve">. Nustatomas ne blogesnis negu –3,0 procento </w:t>
                  </w:r>
                  <w:r>
                    <w:rPr>
                      <w:color w:val="000000"/>
                      <w:szCs w:val="24"/>
                      <w:lang w:eastAsia="lt-LT"/>
                    </w:rPr>
                    <w:t>bendrojo vidaus produkto</w:t>
                  </w:r>
                  <w:r>
                    <w:rPr>
                      <w:szCs w:val="24"/>
                      <w:lang w:eastAsia="lt-LT"/>
                    </w:rPr>
                    <w:t xml:space="preserve"> 2025 metų valdžios sektoriaus balanso rodiklis.</w:t>
                  </w:r>
                </w:p>
              </w:sdtContent>
            </w:sdt>
            <w:sdt>
              <w:sdtPr>
                <w:alias w:val="18 str. 2 d."/>
                <w:tag w:val="part_fcd6fa9906a34d5e851a76f05ccb2322"/>
                <w:lock w:val="sdtLocked"/>
                <w:richText/>
              </w:sdtPr>
              <w:sdtContent>
                <w:p>
                  <w:pPr>
                    <w:spacing w:line="360" w:lineRule="auto"/>
                    <w:ind w:firstLine="720"/>
                    <w:jc w:val="both"/>
                    <w:rPr>
                      <w:rFonts w:eastAsia="Calibri"/>
                      <w:szCs w:val="24"/>
                      <w:lang w:eastAsia="lt-LT"/>
                    </w:rPr>
                  </w:pPr>
                  <w:sdt>
                    <w:sdtPr>
                      <w:alias w:val="Numeris"/>
                      <w:tag w:val="nr_fcd6fa9906a34d5e851a76f05ccb2322"/>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szCs w:val="24"/>
                    </w:rPr>
                    <w:t>Vidutiniu laikotarpiu valdžios sektoriaus balansas bus gerinamas.</w:t>
                  </w:r>
                </w:p>
                <w:p>
                  <w:pPr>
                    <w:spacing w:line="360" w:lineRule="auto"/>
                    <w:ind w:firstLine="720"/>
                    <w:jc w:val="both"/>
                    <w:rPr>
                      <w:i/>
                      <w:szCs w:val="24"/>
                    </w:rPr>
                  </w:pPr>
                </w:p>
              </w:sdtContent>
            </w:sdt>
          </w:sdtContent>
        </w:sdt>
        <w:sdt>
          <w:sdtPr>
            <w:alias w:val="signatura"/>
            <w:tag w:val="part_106f7519a6be4d16b53186c04d3bdb2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szCs w:val="24"/>
                </w:rPr>
              </w:pPr>
            </w:p>
            <w:p>
              <w:pPr>
                <w:tabs>
                  <w:tab w:val="right" w:pos="9356"/>
                </w:tabs>
                <w:rPr>
                  <w:szCs w:val="24"/>
                </w:rPr>
              </w:pPr>
              <w:r>
                <w:rPr>
                  <w:szCs w:val="24"/>
                </w:rPr>
                <w:t>Respublikos Prezidentas</w:t>
              </w:r>
              <w:r>
                <w:rPr>
                  <w:caps/>
                  <w:szCs w:val="24"/>
                </w:rPr>
                <w:tab/>
              </w:r>
            </w:p>
            <w:p>
              <w:pPr>
                <w:tabs>
                  <w:tab w:val="right" w:pos="9356"/>
                </w:tabs>
                <w:rPr>
                  <w:szCs w:val="24"/>
                </w:rPr>
              </w:pPr>
            </w:p>
            <w:p>
              <w:pPr>
                <w:tabs>
                  <w:tab w:val="right" w:pos="9356"/>
                </w:tabs>
                <w:rPr>
                  <w:szCs w:val="24"/>
                </w:rPr>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8" w:right="850" w:bottom="1138" w:left="1699" w:header="706" w:footer="706" w:gutter="0"/>
                  <w:cols w:space="1296"/>
                  <w:titlePg/>
                  <w:docGrid w:linePitch="326"/>
                </w:sectPr>
              </w:pPr>
            </w:p>
            <w:p>
              <w:pPr>
                <w:tabs>
                  <w:tab w:val="center" w:pos="4819"/>
                  <w:tab w:val="right" w:pos="9638"/>
                </w:tabs>
              </w:pPr>
            </w:p>
          </w:sdtContent>
        </w:sdt>
      </w:sdtContent>
    </w:sdt>
    <w:sdt>
      <w:sdtPr>
        <w:alias w:val="1 pr."/>
        <w:tag w:val="part_44229702ec8444d296171f5da28f1fa0"/>
        <w:lock w:val="sdtLocked"/>
        <w:richText/>
      </w:sdtPr>
      <w:sdtContent>
        <w:p>
          <w:pPr>
            <w:ind w:firstLine="6768"/>
            <w:rPr>
              <w:szCs w:val="24"/>
              <w:lang w:eastAsia="lt-LT"/>
            </w:rPr>
          </w:pPr>
          <w:r>
            <w:rPr>
              <w:szCs w:val="24"/>
              <w:lang w:eastAsia="lt-LT"/>
            </w:rPr>
            <w:t>Lietuvos Respublikos</w:t>
          </w:r>
        </w:p>
        <w:p>
          <w:pPr>
            <w:ind w:firstLine="6768"/>
            <w:rPr>
              <w:szCs w:val="24"/>
              <w:lang w:eastAsia="lt-LT"/>
            </w:rPr>
          </w:pPr>
          <w:r>
            <w:rPr>
              <w:szCs w:val="24"/>
              <w:lang w:eastAsia="lt-LT"/>
            </w:rPr>
            <w:t>2025</w:t>
          </w:r>
          <w:r>
            <w:rPr>
              <w:szCs w:val="24"/>
            </w:rPr>
            <w:t>–2027</w:t>
          </w:r>
          <w:r>
            <w:rPr>
              <w:szCs w:val="24"/>
              <w:lang w:eastAsia="lt-LT"/>
            </w:rPr>
            <w:t xml:space="preserve"> metų biudžeto</w:t>
          </w:r>
        </w:p>
        <w:p>
          <w:pPr>
            <w:ind w:firstLine="6768"/>
            <w:rPr>
              <w:szCs w:val="24"/>
              <w:lang w:eastAsia="lt-LT"/>
            </w:rPr>
          </w:pPr>
          <w:r>
            <w:rPr>
              <w:szCs w:val="24"/>
              <w:lang w:eastAsia="lt-LT"/>
            </w:rPr>
            <w:t>patvirtinimo įstatymo</w:t>
          </w:r>
        </w:p>
        <w:p>
          <w:pPr>
            <w:ind w:firstLine="6768"/>
            <w:rPr>
              <w:szCs w:val="24"/>
              <w:lang w:eastAsia="lt-LT"/>
            </w:rPr>
          </w:pPr>
          <w:sdt>
            <w:sdtPr>
              <w:alias w:val="Numeris"/>
              <w:tag w:val="nr_44229702ec8444d296171f5da28f1fa0"/>
              <w:lock w:val="sdtLocked"/>
              <w:richText/>
            </w:sdtPr>
            <w:sdtContent>
              <w:r>
                <w:rPr>
                  <w:szCs w:val="24"/>
                  <w:lang w:eastAsia="lt-LT"/>
                </w:rPr>
                <w:t>1</w:t>
              </w:r>
            </w:sdtContent>
          </w:sdt>
          <w:r>
            <w:rPr>
              <w:szCs w:val="24"/>
              <w:lang w:eastAsia="lt-LT"/>
            </w:rPr>
            <w:t xml:space="preserve"> priedas</w:t>
          </w:r>
        </w:p>
        <w:p>
          <w:pPr>
            <w:rPr>
              <w:sz w:val="8"/>
              <w:szCs w:val="8"/>
            </w:rPr>
          </w:pPr>
        </w:p>
        <w:p>
          <w:pPr>
            <w:spacing w:line="276" w:lineRule="auto"/>
            <w:ind w:firstLine="720"/>
            <w:jc w:val="center"/>
            <w:rPr>
              <w:b/>
              <w:bCs/>
              <w:szCs w:val="24"/>
              <w:lang w:eastAsia="lt-LT"/>
            </w:rPr>
          </w:pPr>
          <w:sdt>
            <w:sdtPr>
              <w:alias w:val="Pavadinimas"/>
              <w:tag w:val="title_44229702ec8444d296171f5da28f1fa0"/>
              <w:lock w:val="sdtLocked"/>
              <w:richText/>
            </w:sdtPr>
            <w:sdtContent>
              <w:r>
                <w:rPr>
                  <w:b/>
                  <w:bCs/>
                  <w:szCs w:val="24"/>
                  <w:lang w:eastAsia="lt-LT"/>
                </w:rPr>
                <w:t>AGREGUOTOS LIETUVOS RESPUBLIKOS 2025–2027 METŲ KONSOLIDUOTOJO BIUDŽETO PAJAMOS IR 2025–2027 METŲ AGREGUOTAS ASIGNAVIMŲ LIMITAS</w:t>
              </w:r>
            </w:sdtContent>
          </w:sdt>
        </w:p>
        <w:p>
          <w:pPr>
            <w:rPr>
              <w:sz w:val="8"/>
              <w:szCs w:val="8"/>
            </w:rPr>
          </w:pPr>
        </w:p>
        <w:tbl>
          <w:tblPr>
            <w:tblW w:w="9342" w:type="dxa"/>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7"/>
            <w:gridCol w:w="1440"/>
            <w:gridCol w:w="1440"/>
            <w:gridCol w:w="1345"/>
          </w:tblGrid>
          <w:tr>
            <w:trPr>
              <w:tblHeader/>
            </w:trPr>
            <w:tc>
              <w:tcPr>
                <w:tcW w:w="5117" w:type="dxa"/>
                <w:tcBorders>
                  <w:top w:val="nil"/>
                  <w:left w:val="nil"/>
                  <w:bottom w:val="single" w:sz="4" w:space="0" w:color="auto"/>
                  <w:right w:val="nil"/>
                </w:tcBorders>
                <w:vAlign w:val="center"/>
              </w:tcPr>
              <w:p>
                <w:pPr>
                  <w:widowControl w:val="0"/>
                  <w:jc w:val="center"/>
                  <w:rPr>
                    <w:b/>
                    <w:bCs/>
                    <w:szCs w:val="24"/>
                    <w:lang w:eastAsia="lt-LT"/>
                  </w:rPr>
                </w:pPr>
              </w:p>
            </w:tc>
            <w:tc>
              <w:tcPr>
                <w:tcW w:w="1440" w:type="dxa"/>
                <w:tcBorders>
                  <w:top w:val="nil"/>
                  <w:left w:val="nil"/>
                  <w:bottom w:val="single" w:sz="4" w:space="0" w:color="auto"/>
                  <w:right w:val="nil"/>
                </w:tcBorders>
                <w:vAlign w:val="center"/>
              </w:tcPr>
              <w:p>
                <w:pPr>
                  <w:widowControl w:val="0"/>
                  <w:jc w:val="center"/>
                  <w:rPr>
                    <w:b/>
                    <w:bCs/>
                    <w:szCs w:val="24"/>
                    <w:lang w:eastAsia="lt-LT"/>
                  </w:rPr>
                </w:pPr>
              </w:p>
            </w:tc>
            <w:tc>
              <w:tcPr>
                <w:tcW w:w="1440" w:type="dxa"/>
                <w:tcBorders>
                  <w:top w:val="nil"/>
                  <w:left w:val="nil"/>
                  <w:bottom w:val="single" w:sz="4" w:space="0" w:color="auto"/>
                  <w:right w:val="nil"/>
                </w:tcBorders>
                <w:vAlign w:val="center"/>
              </w:tcPr>
              <w:p>
                <w:pPr>
                  <w:widowControl w:val="0"/>
                  <w:jc w:val="center"/>
                  <w:rPr>
                    <w:b/>
                    <w:bCs/>
                    <w:szCs w:val="24"/>
                    <w:lang w:eastAsia="lt-LT"/>
                  </w:rPr>
                </w:pPr>
              </w:p>
            </w:tc>
            <w:tc>
              <w:tcPr>
                <w:tcW w:w="1345" w:type="dxa"/>
                <w:tcBorders>
                  <w:top w:val="nil"/>
                  <w:left w:val="nil"/>
                  <w:bottom w:val="single" w:sz="4" w:space="0" w:color="auto"/>
                  <w:right w:val="nil"/>
                </w:tcBorders>
                <w:vAlign w:val="center"/>
              </w:tcPr>
              <w:p>
                <w:pPr>
                  <w:widowControl w:val="0"/>
                  <w:jc w:val="center"/>
                  <w:rPr>
                    <w:szCs w:val="24"/>
                    <w:lang w:eastAsia="lt-LT"/>
                  </w:rPr>
                </w:pPr>
                <w:r>
                  <w:rPr>
                    <w:szCs w:val="24"/>
                    <w:lang w:eastAsia="lt-LT"/>
                  </w:rPr>
                  <w:t>Tūkst. Eur</w:t>
                </w:r>
              </w:p>
            </w:tc>
          </w:tr>
          <w:tr>
            <w:trPr>
              <w:tblHeader/>
            </w:trPr>
            <w:tc>
              <w:tcPr>
                <w:tcW w:w="5117" w:type="dxa"/>
                <w:tcBorders>
                  <w:top w:val="single" w:sz="4" w:space="0" w:color="auto"/>
                </w:tcBorders>
                <w:vAlign w:val="center"/>
              </w:tcPr>
              <w:p>
                <w:pPr>
                  <w:widowControl w:val="0"/>
                  <w:rPr>
                    <w:b/>
                    <w:bCs/>
                    <w:szCs w:val="24"/>
                    <w:lang w:eastAsia="lt-LT"/>
                  </w:rPr>
                </w:pPr>
                <w:r>
                  <w:rPr>
                    <w:b/>
                    <w:bCs/>
                    <w:szCs w:val="24"/>
                    <w:lang w:eastAsia="lt-LT"/>
                  </w:rPr>
                  <w:t>Agreguotos konsoliduotojo biudžeto pajamos / agreguotas asignavimų limitas</w:t>
                </w:r>
              </w:p>
            </w:tc>
            <w:tc>
              <w:tcPr>
                <w:tcW w:w="1440" w:type="dxa"/>
                <w:tcBorders>
                  <w:top w:val="single" w:sz="4" w:space="0" w:color="auto"/>
                </w:tcBorders>
                <w:vAlign w:val="center"/>
              </w:tcPr>
              <w:p>
                <w:pPr>
                  <w:widowControl w:val="0"/>
                  <w:jc w:val="right"/>
                  <w:rPr>
                    <w:b/>
                    <w:bCs/>
                    <w:szCs w:val="24"/>
                    <w:lang w:eastAsia="lt-LT"/>
                  </w:rPr>
                </w:pPr>
                <w:r>
                  <w:rPr>
                    <w:b/>
                    <w:bCs/>
                    <w:szCs w:val="24"/>
                    <w:lang w:eastAsia="lt-LT"/>
                  </w:rPr>
                  <w:t>2025 m.</w:t>
                </w:r>
              </w:p>
            </w:tc>
            <w:tc>
              <w:tcPr>
                <w:tcW w:w="1440" w:type="dxa"/>
                <w:tcBorders>
                  <w:top w:val="single" w:sz="4" w:space="0" w:color="auto"/>
                </w:tcBorders>
                <w:vAlign w:val="center"/>
              </w:tcPr>
              <w:p>
                <w:pPr>
                  <w:widowControl w:val="0"/>
                  <w:jc w:val="right"/>
                  <w:rPr>
                    <w:b/>
                    <w:bCs/>
                    <w:szCs w:val="24"/>
                    <w:lang w:eastAsia="lt-LT"/>
                  </w:rPr>
                </w:pPr>
                <w:r>
                  <w:rPr>
                    <w:b/>
                    <w:bCs/>
                    <w:szCs w:val="24"/>
                    <w:lang w:eastAsia="lt-LT"/>
                  </w:rPr>
                  <w:t>2026 m.</w:t>
                </w:r>
              </w:p>
            </w:tc>
            <w:tc>
              <w:tcPr>
                <w:tcW w:w="1345" w:type="dxa"/>
                <w:tcBorders>
                  <w:top w:val="single" w:sz="4" w:space="0" w:color="auto"/>
                </w:tcBorders>
                <w:vAlign w:val="center"/>
              </w:tcPr>
              <w:p>
                <w:pPr>
                  <w:widowControl w:val="0"/>
                  <w:jc w:val="right"/>
                  <w:rPr>
                    <w:b/>
                    <w:bCs/>
                    <w:szCs w:val="24"/>
                    <w:lang w:eastAsia="lt-LT"/>
                  </w:rPr>
                </w:pPr>
                <w:r>
                  <w:rPr>
                    <w:b/>
                    <w:bCs/>
                    <w:szCs w:val="24"/>
                    <w:lang w:eastAsia="lt-LT"/>
                  </w:rPr>
                  <w:t>2027 m.</w:t>
                </w:r>
              </w:p>
            </w:tc>
          </w:tr>
          <w:tr>
            <w:tc>
              <w:tcPr>
                <w:tcW w:w="5117" w:type="dxa"/>
                <w:tcBorders>
                  <w:top w:val="single" w:sz="4" w:space="0" w:color="auto"/>
                </w:tcBorders>
                <w:vAlign w:val="center"/>
              </w:tcPr>
              <w:p>
                <w:pPr>
                  <w:widowControl w:val="0"/>
                  <w:rPr>
                    <w:szCs w:val="24"/>
                    <w:lang w:eastAsia="lt-LT"/>
                  </w:rPr>
                </w:pPr>
                <w:r>
                  <w:rPr>
                    <w:szCs w:val="24"/>
                    <w:lang w:eastAsia="lt-LT"/>
                  </w:rPr>
                  <w:t>BIUDŽETŲ PAJAMOS (pinigų principu), iš jų:</w:t>
                </w:r>
              </w:p>
            </w:tc>
            <w:tc>
              <w:tcPr>
                <w:tcW w:w="4225" w:type="dxa"/>
                <w:gridSpan w:val="3"/>
                <w:tcBorders>
                  <w:top w:val="single" w:sz="4" w:space="0" w:color="auto"/>
                </w:tcBorders>
                <w:vAlign w:val="center"/>
              </w:tcPr>
              <w:p>
                <w:pPr>
                  <w:widowControl w:val="0"/>
                  <w:jc w:val="right"/>
                  <w:rPr>
                    <w:szCs w:val="24"/>
                    <w:lang w:eastAsia="lt-LT"/>
                  </w:rPr>
                </w:pPr>
              </w:p>
            </w:tc>
          </w:tr>
          <w:tr>
            <w:tc>
              <w:tcPr>
                <w:tcW w:w="5117" w:type="dxa"/>
                <w:vAlign w:val="center"/>
              </w:tcPr>
              <w:p>
                <w:pPr>
                  <w:widowControl w:val="0"/>
                  <w:rPr>
                    <w:szCs w:val="24"/>
                    <w:lang w:eastAsia="lt-LT"/>
                  </w:rPr>
                </w:pPr>
                <w:r>
                  <w:rPr>
                    <w:szCs w:val="24"/>
                    <w:lang w:eastAsia="lt-LT"/>
                  </w:rPr>
                  <w:t>Valstybės biudžeto pajamos</w:t>
                </w:r>
              </w:p>
            </w:tc>
            <w:tc>
              <w:tcPr>
                <w:tcW w:w="1440" w:type="dxa"/>
                <w:vAlign w:val="center"/>
              </w:tcPr>
              <w:p>
                <w:pPr>
                  <w:widowControl w:val="0"/>
                  <w:jc w:val="right"/>
                  <w:rPr>
                    <w:sz w:val="22"/>
                    <w:szCs w:val="22"/>
                    <w:lang w:eastAsia="lt-LT"/>
                  </w:rPr>
                </w:pPr>
                <w:r>
                  <w:rPr>
                    <w:sz w:val="22"/>
                    <w:szCs w:val="22"/>
                    <w:lang w:eastAsia="lt-LT"/>
                  </w:rPr>
                  <w:t>17 978 765</w:t>
                </w:r>
              </w:p>
            </w:tc>
            <w:tc>
              <w:tcPr>
                <w:tcW w:w="1440" w:type="dxa"/>
                <w:vAlign w:val="center"/>
              </w:tcPr>
              <w:p>
                <w:pPr>
                  <w:widowControl w:val="0"/>
                  <w:jc w:val="right"/>
                  <w:rPr>
                    <w:sz w:val="22"/>
                    <w:szCs w:val="22"/>
                    <w:lang w:eastAsia="lt-LT"/>
                  </w:rPr>
                </w:pPr>
                <w:r>
                  <w:rPr>
                    <w:sz w:val="22"/>
                    <w:szCs w:val="22"/>
                    <w:lang w:eastAsia="lt-LT"/>
                  </w:rPr>
                  <w:t>19 150 066</w:t>
                </w:r>
              </w:p>
            </w:tc>
            <w:tc>
              <w:tcPr>
                <w:tcW w:w="1345" w:type="dxa"/>
                <w:vAlign w:val="center"/>
              </w:tcPr>
              <w:p>
                <w:pPr>
                  <w:widowControl w:val="0"/>
                  <w:jc w:val="right"/>
                  <w:rPr>
                    <w:sz w:val="22"/>
                    <w:szCs w:val="22"/>
                    <w:lang w:eastAsia="lt-LT"/>
                  </w:rPr>
                </w:pPr>
                <w:r>
                  <w:rPr>
                    <w:sz w:val="22"/>
                    <w:szCs w:val="22"/>
                    <w:lang w:eastAsia="lt-LT"/>
                  </w:rPr>
                  <w:t>20 252 845</w:t>
                </w:r>
              </w:p>
            </w:tc>
          </w:tr>
          <w:tr>
            <w:tc>
              <w:tcPr>
                <w:tcW w:w="5117" w:type="dxa"/>
                <w:vAlign w:val="center"/>
              </w:tcPr>
              <w:p>
                <w:pPr>
                  <w:widowControl w:val="0"/>
                  <w:rPr>
                    <w:szCs w:val="24"/>
                    <w:lang w:eastAsia="lt-LT"/>
                  </w:rPr>
                </w:pPr>
                <w:r>
                  <w:rPr>
                    <w:szCs w:val="24"/>
                    <w:lang w:eastAsia="lt-LT"/>
                  </w:rPr>
                  <w:t>Savivaldybių biudžetų pajamos</w:t>
                </w:r>
              </w:p>
            </w:tc>
            <w:tc>
              <w:tcPr>
                <w:tcW w:w="1440" w:type="dxa"/>
                <w:vAlign w:val="center"/>
              </w:tcPr>
              <w:p>
                <w:pPr>
                  <w:widowControl w:val="0"/>
                  <w:jc w:val="right"/>
                  <w:rPr>
                    <w:sz w:val="22"/>
                    <w:szCs w:val="22"/>
                    <w:lang w:eastAsia="lt-LT"/>
                  </w:rPr>
                </w:pPr>
                <w:r>
                  <w:rPr>
                    <w:sz w:val="22"/>
                    <w:szCs w:val="22"/>
                    <w:lang w:eastAsia="lt-LT"/>
                  </w:rPr>
                  <w:t>6 674 599</w:t>
                </w:r>
              </w:p>
            </w:tc>
            <w:tc>
              <w:tcPr>
                <w:tcW w:w="1440" w:type="dxa"/>
                <w:vAlign w:val="center"/>
              </w:tcPr>
              <w:p>
                <w:pPr>
                  <w:widowControl w:val="0"/>
                  <w:jc w:val="right"/>
                  <w:rPr>
                    <w:sz w:val="22"/>
                    <w:szCs w:val="22"/>
                    <w:lang w:eastAsia="lt-LT"/>
                  </w:rPr>
                </w:pPr>
                <w:r>
                  <w:rPr>
                    <w:sz w:val="22"/>
                    <w:szCs w:val="22"/>
                    <w:lang w:eastAsia="lt-LT"/>
                  </w:rPr>
                  <w:t>7 019 746</w:t>
                </w:r>
              </w:p>
            </w:tc>
            <w:tc>
              <w:tcPr>
                <w:tcW w:w="1345" w:type="dxa"/>
                <w:vAlign w:val="center"/>
              </w:tcPr>
              <w:p>
                <w:pPr>
                  <w:widowControl w:val="0"/>
                  <w:jc w:val="right"/>
                  <w:rPr>
                    <w:sz w:val="22"/>
                    <w:szCs w:val="22"/>
                    <w:lang w:eastAsia="lt-LT"/>
                  </w:rPr>
                </w:pPr>
                <w:r>
                  <w:rPr>
                    <w:sz w:val="22"/>
                    <w:szCs w:val="22"/>
                    <w:lang w:eastAsia="lt-LT"/>
                  </w:rPr>
                  <w:t>7 289 784</w:t>
                </w:r>
              </w:p>
            </w:tc>
          </w:tr>
          <w:tr>
            <w:tc>
              <w:tcPr>
                <w:tcW w:w="5117" w:type="dxa"/>
                <w:vAlign w:val="center"/>
              </w:tcPr>
              <w:p>
                <w:pPr>
                  <w:widowControl w:val="0"/>
                  <w:rPr>
                    <w:i/>
                    <w:iCs/>
                    <w:szCs w:val="24"/>
                    <w:lang w:eastAsia="lt-LT"/>
                  </w:rPr>
                </w:pPr>
                <w:r>
                  <w:rPr>
                    <w:i/>
                    <w:iCs/>
                    <w:szCs w:val="24"/>
                    <w:lang w:eastAsia="lt-LT"/>
                  </w:rPr>
                  <w:t>iš jų dotacijos iš valstybės biudžeto</w:t>
                </w:r>
              </w:p>
            </w:tc>
            <w:tc>
              <w:tcPr>
                <w:tcW w:w="1440" w:type="dxa"/>
                <w:vAlign w:val="center"/>
              </w:tcPr>
              <w:p>
                <w:pPr>
                  <w:widowControl w:val="0"/>
                  <w:jc w:val="right"/>
                  <w:rPr>
                    <w:i/>
                    <w:iCs/>
                    <w:sz w:val="22"/>
                    <w:szCs w:val="22"/>
                    <w:lang w:eastAsia="lt-LT"/>
                  </w:rPr>
                </w:pPr>
                <w:r>
                  <w:rPr>
                    <w:i/>
                    <w:iCs/>
                    <w:sz w:val="22"/>
                    <w:szCs w:val="22"/>
                    <w:lang w:eastAsia="lt-LT"/>
                  </w:rPr>
                  <w:t>2 520 073</w:t>
                </w:r>
              </w:p>
            </w:tc>
            <w:tc>
              <w:tcPr>
                <w:tcW w:w="1440" w:type="dxa"/>
                <w:vAlign w:val="center"/>
              </w:tcPr>
              <w:p>
                <w:pPr>
                  <w:widowControl w:val="0"/>
                  <w:jc w:val="right"/>
                  <w:rPr>
                    <w:i/>
                    <w:iCs/>
                    <w:sz w:val="22"/>
                    <w:szCs w:val="22"/>
                    <w:lang w:eastAsia="lt-LT"/>
                  </w:rPr>
                </w:pPr>
                <w:r>
                  <w:rPr>
                    <w:i/>
                    <w:iCs/>
                    <w:sz w:val="22"/>
                    <w:szCs w:val="22"/>
                    <w:lang w:eastAsia="lt-LT"/>
                  </w:rPr>
                  <w:t>2 582 267</w:t>
                </w:r>
              </w:p>
            </w:tc>
            <w:tc>
              <w:tcPr>
                <w:tcW w:w="1345" w:type="dxa"/>
                <w:vAlign w:val="center"/>
              </w:tcPr>
              <w:p>
                <w:pPr>
                  <w:widowControl w:val="0"/>
                  <w:jc w:val="right"/>
                  <w:rPr>
                    <w:i/>
                    <w:iCs/>
                    <w:sz w:val="22"/>
                    <w:szCs w:val="22"/>
                    <w:lang w:eastAsia="lt-LT"/>
                  </w:rPr>
                </w:pPr>
                <w:r>
                  <w:rPr>
                    <w:i/>
                    <w:iCs/>
                    <w:sz w:val="22"/>
                    <w:szCs w:val="22"/>
                    <w:lang w:eastAsia="lt-LT"/>
                  </w:rPr>
                  <w:t>2 597 937</w:t>
                </w:r>
              </w:p>
            </w:tc>
          </w:tr>
          <w:tr>
            <w:tc>
              <w:tcPr>
                <w:tcW w:w="5117" w:type="dxa"/>
                <w:vAlign w:val="center"/>
              </w:tcPr>
              <w:p>
                <w:pPr>
                  <w:widowControl w:val="0"/>
                  <w:rPr>
                    <w:szCs w:val="24"/>
                    <w:lang w:eastAsia="lt-LT"/>
                  </w:rPr>
                </w:pPr>
                <w:r>
                  <w:rPr>
                    <w:szCs w:val="24"/>
                    <w:lang w:eastAsia="lt-LT"/>
                  </w:rPr>
                  <w:t>Valstybės socialinių fondų pajamos, iš jų:</w:t>
                </w:r>
              </w:p>
            </w:tc>
            <w:tc>
              <w:tcPr>
                <w:tcW w:w="1440" w:type="dxa"/>
                <w:vAlign w:val="center"/>
              </w:tcPr>
              <w:p>
                <w:pPr>
                  <w:widowControl w:val="0"/>
                  <w:jc w:val="right"/>
                  <w:rPr>
                    <w:sz w:val="22"/>
                    <w:szCs w:val="22"/>
                    <w:lang w:eastAsia="lt-LT"/>
                  </w:rPr>
                </w:pPr>
                <w:r>
                  <w:rPr>
                    <w:sz w:val="22"/>
                    <w:szCs w:val="22"/>
                    <w:lang w:eastAsia="lt-LT"/>
                  </w:rPr>
                  <w:t>8 763 275</w:t>
                </w:r>
              </w:p>
            </w:tc>
            <w:tc>
              <w:tcPr>
                <w:tcW w:w="1440" w:type="dxa"/>
                <w:vAlign w:val="center"/>
              </w:tcPr>
              <w:p>
                <w:pPr>
                  <w:widowControl w:val="0"/>
                  <w:jc w:val="right"/>
                  <w:rPr>
                    <w:sz w:val="22"/>
                    <w:szCs w:val="22"/>
                    <w:lang w:eastAsia="lt-LT"/>
                  </w:rPr>
                </w:pPr>
                <w:r>
                  <w:rPr>
                    <w:sz w:val="22"/>
                    <w:szCs w:val="22"/>
                    <w:lang w:eastAsia="lt-LT"/>
                  </w:rPr>
                  <w:t>9 428 554</w:t>
                </w:r>
              </w:p>
            </w:tc>
            <w:tc>
              <w:tcPr>
                <w:tcW w:w="1345" w:type="dxa"/>
                <w:vAlign w:val="center"/>
              </w:tcPr>
              <w:p>
                <w:pPr>
                  <w:widowControl w:val="0"/>
                  <w:jc w:val="right"/>
                  <w:rPr>
                    <w:sz w:val="22"/>
                    <w:szCs w:val="22"/>
                    <w:lang w:eastAsia="lt-LT"/>
                  </w:rPr>
                </w:pPr>
                <w:r>
                  <w:rPr>
                    <w:sz w:val="22"/>
                    <w:szCs w:val="22"/>
                    <w:lang w:eastAsia="lt-LT"/>
                  </w:rPr>
                  <w:t>10 121 207</w:t>
                </w:r>
              </w:p>
            </w:tc>
          </w:tr>
          <w:tr>
            <w:tc>
              <w:tcPr>
                <w:tcW w:w="5117" w:type="dxa"/>
                <w:vAlign w:val="center"/>
              </w:tcPr>
              <w:p>
                <w:pPr>
                  <w:widowControl w:val="0"/>
                  <w:rPr>
                    <w:szCs w:val="24"/>
                    <w:lang w:eastAsia="lt-LT"/>
                  </w:rPr>
                </w:pPr>
                <w:r>
                  <w:rPr>
                    <w:szCs w:val="24"/>
                    <w:lang w:eastAsia="lt-LT"/>
                  </w:rPr>
                  <w:t>Valstybinio socialinio draudimo fondo pajamos</w:t>
                </w:r>
              </w:p>
            </w:tc>
            <w:tc>
              <w:tcPr>
                <w:tcW w:w="1440" w:type="dxa"/>
                <w:vAlign w:val="center"/>
              </w:tcPr>
              <w:p>
                <w:pPr>
                  <w:widowControl w:val="0"/>
                  <w:jc w:val="right"/>
                  <w:rPr>
                    <w:sz w:val="22"/>
                    <w:szCs w:val="22"/>
                    <w:lang w:eastAsia="lt-LT"/>
                  </w:rPr>
                </w:pPr>
                <w:r>
                  <w:rPr>
                    <w:sz w:val="22"/>
                    <w:szCs w:val="22"/>
                    <w:lang w:eastAsia="lt-LT"/>
                  </w:rPr>
                  <w:t>8 654 053</w:t>
                </w:r>
              </w:p>
            </w:tc>
            <w:tc>
              <w:tcPr>
                <w:tcW w:w="1440" w:type="dxa"/>
                <w:vAlign w:val="center"/>
              </w:tcPr>
              <w:p>
                <w:pPr>
                  <w:widowControl w:val="0"/>
                  <w:jc w:val="right"/>
                  <w:rPr>
                    <w:sz w:val="22"/>
                    <w:szCs w:val="22"/>
                    <w:lang w:eastAsia="lt-LT"/>
                  </w:rPr>
                </w:pPr>
                <w:r>
                  <w:rPr>
                    <w:sz w:val="22"/>
                    <w:szCs w:val="22"/>
                    <w:lang w:eastAsia="lt-LT"/>
                  </w:rPr>
                  <w:t>9 312 668</w:t>
                </w:r>
              </w:p>
            </w:tc>
            <w:tc>
              <w:tcPr>
                <w:tcW w:w="1345" w:type="dxa"/>
                <w:vAlign w:val="center"/>
              </w:tcPr>
              <w:p>
                <w:pPr>
                  <w:widowControl w:val="0"/>
                  <w:jc w:val="right"/>
                  <w:rPr>
                    <w:sz w:val="22"/>
                    <w:szCs w:val="22"/>
                    <w:lang w:eastAsia="lt-LT"/>
                  </w:rPr>
                </w:pPr>
                <w:r>
                  <w:rPr>
                    <w:sz w:val="22"/>
                    <w:szCs w:val="22"/>
                    <w:lang w:eastAsia="lt-LT"/>
                  </w:rPr>
                  <w:t>9 999 985</w:t>
                </w:r>
              </w:p>
            </w:tc>
          </w:tr>
          <w:tr>
            <w:tc>
              <w:tcPr>
                <w:tcW w:w="5117" w:type="dxa"/>
                <w:vAlign w:val="center"/>
              </w:tcPr>
              <w:p>
                <w:pPr>
                  <w:widowControl w:val="0"/>
                  <w:rPr>
                    <w:i/>
                    <w:iCs/>
                    <w:szCs w:val="24"/>
                    <w:lang w:eastAsia="lt-LT"/>
                  </w:rPr>
                </w:pPr>
                <w:r>
                  <w:rPr>
                    <w:i/>
                    <w:iCs/>
                    <w:szCs w:val="24"/>
                    <w:lang w:eastAsia="lt-LT"/>
                  </w:rPr>
                  <w:t>iš jų iš valstybės biudžeto gaunamos lėšos</w:t>
                </w:r>
              </w:p>
            </w:tc>
            <w:tc>
              <w:tcPr>
                <w:tcW w:w="1440" w:type="dxa"/>
                <w:vAlign w:val="center"/>
              </w:tcPr>
              <w:p>
                <w:pPr>
                  <w:widowControl w:val="0"/>
                  <w:jc w:val="right"/>
                  <w:rPr>
                    <w:i/>
                    <w:iCs/>
                    <w:sz w:val="22"/>
                    <w:szCs w:val="22"/>
                    <w:lang w:eastAsia="lt-LT"/>
                  </w:rPr>
                </w:pPr>
                <w:r>
                  <w:rPr>
                    <w:i/>
                    <w:iCs/>
                    <w:sz w:val="22"/>
                    <w:szCs w:val="22"/>
                    <w:lang w:eastAsia="lt-LT"/>
                  </w:rPr>
                  <w:t>3 438 344</w:t>
                </w:r>
              </w:p>
            </w:tc>
            <w:tc>
              <w:tcPr>
                <w:tcW w:w="1440" w:type="dxa"/>
                <w:vAlign w:val="center"/>
              </w:tcPr>
              <w:p>
                <w:pPr>
                  <w:widowControl w:val="0"/>
                  <w:jc w:val="right"/>
                  <w:rPr>
                    <w:i/>
                    <w:iCs/>
                    <w:sz w:val="22"/>
                    <w:szCs w:val="22"/>
                    <w:lang w:eastAsia="lt-LT"/>
                  </w:rPr>
                </w:pPr>
                <w:r>
                  <w:rPr>
                    <w:i/>
                    <w:iCs/>
                    <w:sz w:val="22"/>
                    <w:szCs w:val="22"/>
                    <w:lang w:eastAsia="lt-LT"/>
                  </w:rPr>
                  <w:t>3 760 521</w:t>
                </w:r>
              </w:p>
            </w:tc>
            <w:tc>
              <w:tcPr>
                <w:tcW w:w="1345" w:type="dxa"/>
                <w:vAlign w:val="center"/>
              </w:tcPr>
              <w:p>
                <w:pPr>
                  <w:widowControl w:val="0"/>
                  <w:jc w:val="right"/>
                  <w:rPr>
                    <w:i/>
                    <w:iCs/>
                    <w:sz w:val="22"/>
                    <w:szCs w:val="22"/>
                    <w:lang w:eastAsia="lt-LT"/>
                  </w:rPr>
                </w:pPr>
                <w:r>
                  <w:rPr>
                    <w:i/>
                    <w:iCs/>
                    <w:sz w:val="22"/>
                    <w:szCs w:val="22"/>
                    <w:lang w:eastAsia="lt-LT"/>
                  </w:rPr>
                  <w:t>4 157 830</w:t>
                </w:r>
              </w:p>
            </w:tc>
          </w:tr>
          <w:tr>
            <w:tc>
              <w:tcPr>
                <w:tcW w:w="5117" w:type="dxa"/>
                <w:vAlign w:val="center"/>
              </w:tcPr>
              <w:p>
                <w:pPr>
                  <w:widowControl w:val="0"/>
                  <w:rPr>
                    <w:szCs w:val="24"/>
                    <w:lang w:eastAsia="lt-LT"/>
                  </w:rPr>
                </w:pPr>
                <w:r>
                  <w:rPr>
                    <w:szCs w:val="24"/>
                    <w:lang w:eastAsia="lt-LT"/>
                  </w:rPr>
                  <w:t>Garantinio fondo pajamos</w:t>
                </w:r>
              </w:p>
            </w:tc>
            <w:tc>
              <w:tcPr>
                <w:tcW w:w="1440" w:type="dxa"/>
                <w:vAlign w:val="center"/>
              </w:tcPr>
              <w:p>
                <w:pPr>
                  <w:widowControl w:val="0"/>
                  <w:jc w:val="right"/>
                  <w:rPr>
                    <w:sz w:val="22"/>
                    <w:szCs w:val="22"/>
                    <w:lang w:eastAsia="lt-LT"/>
                  </w:rPr>
                </w:pPr>
                <w:r>
                  <w:rPr>
                    <w:sz w:val="22"/>
                    <w:szCs w:val="22"/>
                    <w:lang w:eastAsia="lt-LT"/>
                  </w:rPr>
                  <w:t>53 887</w:t>
                </w:r>
              </w:p>
            </w:tc>
            <w:tc>
              <w:tcPr>
                <w:tcW w:w="1440" w:type="dxa"/>
                <w:vAlign w:val="center"/>
              </w:tcPr>
              <w:p>
                <w:pPr>
                  <w:widowControl w:val="0"/>
                  <w:jc w:val="right"/>
                  <w:rPr>
                    <w:sz w:val="22"/>
                    <w:szCs w:val="22"/>
                    <w:lang w:eastAsia="lt-LT"/>
                  </w:rPr>
                </w:pPr>
                <w:r>
                  <w:rPr>
                    <w:sz w:val="22"/>
                    <w:szCs w:val="22"/>
                    <w:lang w:eastAsia="lt-LT"/>
                  </w:rPr>
                  <w:t>56 944</w:t>
                </w:r>
              </w:p>
            </w:tc>
            <w:tc>
              <w:tcPr>
                <w:tcW w:w="1345" w:type="dxa"/>
                <w:vAlign w:val="center"/>
              </w:tcPr>
              <w:p>
                <w:pPr>
                  <w:widowControl w:val="0"/>
                  <w:jc w:val="right"/>
                  <w:rPr>
                    <w:sz w:val="22"/>
                    <w:szCs w:val="22"/>
                    <w:lang w:eastAsia="lt-LT"/>
                  </w:rPr>
                </w:pPr>
                <w:r>
                  <w:rPr>
                    <w:sz w:val="22"/>
                    <w:szCs w:val="22"/>
                    <w:lang w:eastAsia="lt-LT"/>
                  </w:rPr>
                  <w:t>59 305</w:t>
                </w:r>
              </w:p>
            </w:tc>
          </w:tr>
          <w:tr>
            <w:tc>
              <w:tcPr>
                <w:tcW w:w="5117" w:type="dxa"/>
                <w:vAlign w:val="center"/>
              </w:tcPr>
              <w:p>
                <w:pPr>
                  <w:widowControl w:val="0"/>
                  <w:rPr>
                    <w:szCs w:val="24"/>
                    <w:lang w:eastAsia="lt-LT"/>
                  </w:rPr>
                </w:pPr>
                <w:r>
                  <w:rPr>
                    <w:szCs w:val="24"/>
                    <w:lang w:eastAsia="lt-LT"/>
                  </w:rPr>
                  <w:t>Ilgalaikio darbo išmokų fondo pajamos</w:t>
                </w:r>
              </w:p>
            </w:tc>
            <w:tc>
              <w:tcPr>
                <w:tcW w:w="1440" w:type="dxa"/>
                <w:vAlign w:val="center"/>
              </w:tcPr>
              <w:p>
                <w:pPr>
                  <w:widowControl w:val="0"/>
                  <w:jc w:val="right"/>
                  <w:rPr>
                    <w:sz w:val="22"/>
                    <w:szCs w:val="22"/>
                    <w:lang w:eastAsia="lt-LT"/>
                  </w:rPr>
                </w:pPr>
                <w:r>
                  <w:rPr>
                    <w:sz w:val="22"/>
                    <w:szCs w:val="22"/>
                    <w:lang w:eastAsia="lt-LT"/>
                  </w:rPr>
                  <w:t>55 335</w:t>
                </w:r>
              </w:p>
            </w:tc>
            <w:tc>
              <w:tcPr>
                <w:tcW w:w="1440" w:type="dxa"/>
                <w:vAlign w:val="center"/>
              </w:tcPr>
              <w:p>
                <w:pPr>
                  <w:widowControl w:val="0"/>
                  <w:jc w:val="right"/>
                  <w:rPr>
                    <w:sz w:val="22"/>
                    <w:szCs w:val="22"/>
                    <w:lang w:eastAsia="lt-LT"/>
                  </w:rPr>
                </w:pPr>
                <w:r>
                  <w:rPr>
                    <w:sz w:val="22"/>
                    <w:szCs w:val="22"/>
                    <w:lang w:eastAsia="lt-LT"/>
                  </w:rPr>
                  <w:t>58 942</w:t>
                </w:r>
              </w:p>
            </w:tc>
            <w:tc>
              <w:tcPr>
                <w:tcW w:w="1345" w:type="dxa"/>
                <w:vAlign w:val="center"/>
              </w:tcPr>
              <w:p>
                <w:pPr>
                  <w:widowControl w:val="0"/>
                  <w:jc w:val="right"/>
                  <w:rPr>
                    <w:sz w:val="22"/>
                    <w:szCs w:val="22"/>
                    <w:lang w:eastAsia="lt-LT"/>
                  </w:rPr>
                </w:pPr>
                <w:r>
                  <w:rPr>
                    <w:sz w:val="22"/>
                    <w:szCs w:val="22"/>
                    <w:lang w:eastAsia="lt-LT"/>
                  </w:rPr>
                  <w:t>61 917</w:t>
                </w:r>
              </w:p>
            </w:tc>
          </w:tr>
          <w:tr>
            <w:tc>
              <w:tcPr>
                <w:tcW w:w="5117" w:type="dxa"/>
                <w:vAlign w:val="center"/>
              </w:tcPr>
              <w:p>
                <w:pPr>
                  <w:widowControl w:val="0"/>
                  <w:rPr>
                    <w:szCs w:val="24"/>
                    <w:lang w:eastAsia="lt-LT"/>
                  </w:rPr>
                </w:pPr>
                <w:r>
                  <w:rPr>
                    <w:szCs w:val="24"/>
                    <w:lang w:eastAsia="lt-LT"/>
                  </w:rPr>
                  <w:t>Privalomojo sveikatos draudimo fondo pajamos</w:t>
                </w:r>
              </w:p>
            </w:tc>
            <w:tc>
              <w:tcPr>
                <w:tcW w:w="1440" w:type="dxa"/>
                <w:vAlign w:val="center"/>
              </w:tcPr>
              <w:p>
                <w:pPr>
                  <w:widowControl w:val="0"/>
                  <w:jc w:val="right"/>
                  <w:rPr>
                    <w:sz w:val="22"/>
                    <w:szCs w:val="22"/>
                    <w:lang w:eastAsia="lt-LT"/>
                  </w:rPr>
                </w:pPr>
                <w:r>
                  <w:rPr>
                    <w:sz w:val="22"/>
                    <w:szCs w:val="22"/>
                    <w:lang w:eastAsia="lt-LT"/>
                  </w:rPr>
                  <w:t>3 939 769</w:t>
                </w:r>
              </w:p>
            </w:tc>
            <w:tc>
              <w:tcPr>
                <w:tcW w:w="1440" w:type="dxa"/>
                <w:vAlign w:val="center"/>
              </w:tcPr>
              <w:p>
                <w:pPr>
                  <w:widowControl w:val="0"/>
                  <w:jc w:val="right"/>
                  <w:rPr>
                    <w:sz w:val="22"/>
                    <w:szCs w:val="22"/>
                    <w:lang w:eastAsia="lt-LT"/>
                  </w:rPr>
                </w:pPr>
                <w:r>
                  <w:rPr>
                    <w:sz w:val="22"/>
                    <w:szCs w:val="22"/>
                    <w:lang w:eastAsia="lt-LT"/>
                  </w:rPr>
                  <w:t>4 209 998</w:t>
                </w:r>
              </w:p>
            </w:tc>
            <w:tc>
              <w:tcPr>
                <w:tcW w:w="1345" w:type="dxa"/>
                <w:vAlign w:val="center"/>
              </w:tcPr>
              <w:p>
                <w:pPr>
                  <w:widowControl w:val="0"/>
                  <w:jc w:val="right"/>
                  <w:rPr>
                    <w:sz w:val="22"/>
                    <w:szCs w:val="22"/>
                    <w:lang w:eastAsia="lt-LT"/>
                  </w:rPr>
                </w:pPr>
                <w:r>
                  <w:rPr>
                    <w:sz w:val="22"/>
                    <w:szCs w:val="22"/>
                    <w:lang w:eastAsia="lt-LT"/>
                  </w:rPr>
                  <w:t>4 491 115</w:t>
                </w:r>
              </w:p>
            </w:tc>
          </w:tr>
          <w:tr>
            <w:tc>
              <w:tcPr>
                <w:tcW w:w="5117" w:type="dxa"/>
                <w:vAlign w:val="center"/>
              </w:tcPr>
              <w:p>
                <w:pPr>
                  <w:widowControl w:val="0"/>
                  <w:rPr>
                    <w:i/>
                    <w:iCs/>
                    <w:szCs w:val="24"/>
                    <w:lang w:eastAsia="lt-LT"/>
                  </w:rPr>
                </w:pPr>
                <w:r>
                  <w:rPr>
                    <w:i/>
                    <w:iCs/>
                    <w:szCs w:val="24"/>
                    <w:lang w:eastAsia="lt-LT"/>
                  </w:rPr>
                  <w:t>iš jų iš valstybės biudžeto gaunamos lėšos</w:t>
                </w:r>
              </w:p>
            </w:tc>
            <w:tc>
              <w:tcPr>
                <w:tcW w:w="1440" w:type="dxa"/>
                <w:vAlign w:val="center"/>
              </w:tcPr>
              <w:p>
                <w:pPr>
                  <w:widowControl w:val="0"/>
                  <w:jc w:val="right"/>
                  <w:rPr>
                    <w:i/>
                    <w:iCs/>
                    <w:sz w:val="22"/>
                    <w:szCs w:val="22"/>
                    <w:lang w:eastAsia="lt-LT"/>
                  </w:rPr>
                </w:pPr>
                <w:r>
                  <w:rPr>
                    <w:i/>
                    <w:iCs/>
                    <w:sz w:val="22"/>
                    <w:szCs w:val="22"/>
                    <w:lang w:eastAsia="lt-LT"/>
                  </w:rPr>
                  <w:t>1 186 706</w:t>
                </w:r>
              </w:p>
            </w:tc>
            <w:tc>
              <w:tcPr>
                <w:tcW w:w="1440" w:type="dxa"/>
                <w:vAlign w:val="center"/>
              </w:tcPr>
              <w:p>
                <w:pPr>
                  <w:widowControl w:val="0"/>
                  <w:jc w:val="right"/>
                  <w:rPr>
                    <w:i/>
                    <w:iCs/>
                    <w:sz w:val="22"/>
                    <w:szCs w:val="22"/>
                    <w:lang w:eastAsia="lt-LT"/>
                  </w:rPr>
                </w:pPr>
                <w:r>
                  <w:rPr>
                    <w:i/>
                    <w:iCs/>
                    <w:sz w:val="22"/>
                    <w:szCs w:val="22"/>
                    <w:lang w:eastAsia="lt-LT"/>
                  </w:rPr>
                  <w:t>1 288 487</w:t>
                </w:r>
              </w:p>
            </w:tc>
            <w:tc>
              <w:tcPr>
                <w:tcW w:w="1345" w:type="dxa"/>
                <w:vAlign w:val="center"/>
              </w:tcPr>
              <w:p>
                <w:pPr>
                  <w:widowControl w:val="0"/>
                  <w:jc w:val="right"/>
                  <w:rPr>
                    <w:i/>
                    <w:iCs/>
                    <w:sz w:val="22"/>
                    <w:szCs w:val="22"/>
                    <w:lang w:eastAsia="lt-LT"/>
                  </w:rPr>
                </w:pPr>
                <w:r>
                  <w:rPr>
                    <w:i/>
                    <w:iCs/>
                    <w:sz w:val="22"/>
                    <w:szCs w:val="22"/>
                    <w:lang w:eastAsia="lt-LT"/>
                  </w:rPr>
                  <w:t>1 426 754</w:t>
                </w:r>
              </w:p>
            </w:tc>
          </w:tr>
          <w:tr>
            <w:tc>
              <w:tcPr>
                <w:tcW w:w="5117" w:type="dxa"/>
              </w:tcPr>
              <w:p>
                <w:pPr>
                  <w:widowControl w:val="0"/>
                  <w:rPr>
                    <w:b/>
                    <w:bCs/>
                    <w:szCs w:val="24"/>
                    <w:lang w:eastAsia="lt-LT"/>
                  </w:rPr>
                </w:pPr>
                <w:r>
                  <w:rPr>
                    <w:b/>
                    <w:bCs/>
                    <w:szCs w:val="24"/>
                    <w:lang w:eastAsia="lt-LT"/>
                  </w:rPr>
                  <w:t>AGREGUOTOS KONSOLIDUOTOJO BIUDŽETO PAJAMOS</w:t>
                </w:r>
              </w:p>
            </w:tc>
            <w:tc>
              <w:tcPr>
                <w:tcW w:w="1440" w:type="dxa"/>
                <w:vAlign w:val="center"/>
              </w:tcPr>
              <w:p>
                <w:pPr>
                  <w:widowControl w:val="0"/>
                  <w:jc w:val="right"/>
                  <w:rPr>
                    <w:b/>
                    <w:bCs/>
                    <w:szCs w:val="24"/>
                    <w:lang w:eastAsia="lt-LT"/>
                  </w:rPr>
                </w:pPr>
                <w:r>
                  <w:rPr>
                    <w:b/>
                    <w:bCs/>
                    <w:szCs w:val="24"/>
                    <w:lang w:eastAsia="lt-LT"/>
                  </w:rPr>
                  <w:t>30 211 285</w:t>
                </w:r>
              </w:p>
            </w:tc>
            <w:tc>
              <w:tcPr>
                <w:tcW w:w="1440" w:type="dxa"/>
                <w:vAlign w:val="center"/>
              </w:tcPr>
              <w:p>
                <w:pPr>
                  <w:widowControl w:val="0"/>
                  <w:jc w:val="right"/>
                  <w:rPr>
                    <w:b/>
                    <w:bCs/>
                    <w:sz w:val="22"/>
                    <w:szCs w:val="22"/>
                    <w:lang w:eastAsia="lt-LT"/>
                  </w:rPr>
                </w:pPr>
                <w:r>
                  <w:rPr>
                    <w:b/>
                    <w:bCs/>
                    <w:sz w:val="22"/>
                    <w:szCs w:val="22"/>
                    <w:lang w:eastAsia="lt-LT"/>
                  </w:rPr>
                  <w:t>32 177 089</w:t>
                </w:r>
              </w:p>
            </w:tc>
            <w:tc>
              <w:tcPr>
                <w:tcW w:w="1345" w:type="dxa"/>
                <w:vAlign w:val="center"/>
              </w:tcPr>
              <w:p>
                <w:pPr>
                  <w:widowControl w:val="0"/>
                  <w:jc w:val="right"/>
                  <w:rPr>
                    <w:b/>
                    <w:bCs/>
                    <w:sz w:val="22"/>
                    <w:szCs w:val="22"/>
                    <w:lang w:eastAsia="lt-LT"/>
                  </w:rPr>
                </w:pPr>
                <w:r>
                  <w:rPr>
                    <w:b/>
                    <w:bCs/>
                    <w:sz w:val="22"/>
                    <w:szCs w:val="22"/>
                    <w:lang w:eastAsia="lt-LT"/>
                  </w:rPr>
                  <w:t>33 972 430</w:t>
                </w:r>
              </w:p>
            </w:tc>
          </w:tr>
          <w:tr>
            <w:tc>
              <w:tcPr>
                <w:tcW w:w="5117" w:type="dxa"/>
              </w:tcPr>
              <w:p>
                <w:pPr>
                  <w:widowControl w:val="0"/>
                  <w:rPr>
                    <w:szCs w:val="24"/>
                    <w:lang w:eastAsia="lt-LT"/>
                  </w:rPr>
                </w:pPr>
                <w:r>
                  <w:rPr>
                    <w:szCs w:val="24"/>
                    <w:lang w:eastAsia="lt-LT"/>
                  </w:rPr>
                  <w:t>BIUDŽETŲ ASIGNAVIMŲ LIMITAI, iš jų:</w:t>
                </w:r>
              </w:p>
            </w:tc>
            <w:tc>
              <w:tcPr>
                <w:tcW w:w="4225" w:type="dxa"/>
                <w:gridSpan w:val="3"/>
              </w:tcPr>
              <w:p>
                <w:pPr>
                  <w:widowControl w:val="0"/>
                  <w:jc w:val="both"/>
                  <w:rPr>
                    <w:i/>
                    <w:iCs/>
                    <w:szCs w:val="24"/>
                    <w:lang w:eastAsia="lt-LT"/>
                  </w:rPr>
                </w:pPr>
              </w:p>
            </w:tc>
          </w:tr>
          <w:tr>
            <w:tc>
              <w:tcPr>
                <w:tcW w:w="5117" w:type="dxa"/>
              </w:tcPr>
              <w:p>
                <w:pPr>
                  <w:widowControl w:val="0"/>
                  <w:rPr>
                    <w:szCs w:val="24"/>
                    <w:lang w:eastAsia="lt-LT"/>
                  </w:rPr>
                </w:pPr>
                <w:r>
                  <w:rPr>
                    <w:szCs w:val="24"/>
                    <w:lang w:eastAsia="lt-LT"/>
                  </w:rPr>
                  <w:t>Valstybės biudžetui tenkanti asignavimų limito dalis</w:t>
                </w:r>
              </w:p>
            </w:tc>
            <w:tc>
              <w:tcPr>
                <w:tcW w:w="1440" w:type="dxa"/>
                <w:vAlign w:val="center"/>
              </w:tcPr>
              <w:p>
                <w:pPr>
                  <w:widowControl w:val="0"/>
                  <w:jc w:val="right"/>
                  <w:rPr>
                    <w:szCs w:val="24"/>
                    <w:lang w:eastAsia="lt-LT"/>
                  </w:rPr>
                </w:pPr>
                <w:r>
                  <w:rPr>
                    <w:szCs w:val="24"/>
                    <w:lang w:eastAsia="lt-LT"/>
                  </w:rPr>
                  <w:t>23 021 387</w:t>
                </w:r>
              </w:p>
            </w:tc>
            <w:tc>
              <w:tcPr>
                <w:tcW w:w="1440" w:type="dxa"/>
                <w:vAlign w:val="center"/>
              </w:tcPr>
              <w:p>
                <w:pPr>
                  <w:widowControl w:val="0"/>
                  <w:jc w:val="right"/>
                  <w:rPr>
                    <w:sz w:val="22"/>
                    <w:szCs w:val="22"/>
                    <w:lang w:eastAsia="lt-LT"/>
                  </w:rPr>
                </w:pPr>
                <w:r>
                  <w:rPr>
                    <w:sz w:val="22"/>
                    <w:szCs w:val="22"/>
                    <w:lang w:eastAsia="lt-LT"/>
                  </w:rPr>
                  <w:t>23 623 747</w:t>
                </w:r>
              </w:p>
            </w:tc>
            <w:tc>
              <w:tcPr>
                <w:tcW w:w="1345" w:type="dxa"/>
                <w:vAlign w:val="center"/>
              </w:tcPr>
              <w:p>
                <w:pPr>
                  <w:widowControl w:val="0"/>
                  <w:jc w:val="right"/>
                  <w:rPr>
                    <w:sz w:val="22"/>
                    <w:szCs w:val="22"/>
                    <w:lang w:eastAsia="lt-LT"/>
                  </w:rPr>
                </w:pPr>
                <w:r>
                  <w:rPr>
                    <w:sz w:val="22"/>
                    <w:szCs w:val="22"/>
                    <w:lang w:eastAsia="lt-LT"/>
                  </w:rPr>
                  <w:t>23 447 254</w:t>
                </w:r>
              </w:p>
            </w:tc>
          </w:tr>
          <w:tr>
            <w:tc>
              <w:tcPr>
                <w:tcW w:w="5117" w:type="dxa"/>
              </w:tcPr>
              <w:p>
                <w:pPr>
                  <w:widowControl w:val="0"/>
                  <w:rPr>
                    <w:szCs w:val="24"/>
                    <w:lang w:eastAsia="lt-LT"/>
                  </w:rPr>
                </w:pPr>
                <w:r>
                  <w:rPr>
                    <w:szCs w:val="24"/>
                    <w:lang w:eastAsia="lt-LT"/>
                  </w:rPr>
                  <w:t>Savivaldybių biudžetams tenkanti asignavimų limito dalis</w:t>
                </w:r>
              </w:p>
            </w:tc>
            <w:tc>
              <w:tcPr>
                <w:tcW w:w="1440" w:type="dxa"/>
                <w:vAlign w:val="center"/>
              </w:tcPr>
              <w:p>
                <w:pPr>
                  <w:widowControl w:val="0"/>
                  <w:jc w:val="right"/>
                  <w:rPr>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sz w:val="22"/>
                    <w:szCs w:val="22"/>
                    <w:lang w:eastAsia="lt-LT"/>
                  </w:rPr>
                  <w:t>6 674 599</w:t>
                </w:r>
              </w:p>
            </w:tc>
            <w:tc>
              <w:tcPr>
                <w:tcW w:w="1440" w:type="dxa"/>
                <w:vAlign w:val="center"/>
              </w:tcPr>
              <w:p>
                <w:pPr>
                  <w:widowControl w:val="0"/>
                  <w:jc w:val="right"/>
                  <w:rPr>
                    <w:szCs w:val="24"/>
                    <w:lang w:eastAsia="lt-LT"/>
                  </w:rPr>
                </w:pPr>
                <w:r>
                  <w:rPr>
                    <w:sz w:val="22"/>
                    <w:szCs w:val="22"/>
                    <w:lang w:eastAsia="lt-LT"/>
                  </w:rPr>
                  <w:t>7 019 746</w:t>
                </w:r>
              </w:p>
            </w:tc>
            <w:tc>
              <w:tcPr>
                <w:tcW w:w="1345" w:type="dxa"/>
                <w:vAlign w:val="center"/>
              </w:tcPr>
              <w:p>
                <w:pPr>
                  <w:widowControl w:val="0"/>
                  <w:jc w:val="right"/>
                  <w:rPr>
                    <w:szCs w:val="24"/>
                    <w:lang w:eastAsia="lt-LT"/>
                  </w:rPr>
                </w:pPr>
                <w:r>
                  <w:rPr>
                    <w:sz w:val="22"/>
                    <w:szCs w:val="22"/>
                    <w:lang w:eastAsia="lt-LT"/>
                  </w:rPr>
                  <w:t>7 289 784</w:t>
                </w:r>
              </w:p>
            </w:tc>
          </w:tr>
          <w:tr>
            <w:tc>
              <w:tcPr>
                <w:tcW w:w="5117" w:type="dxa"/>
              </w:tcPr>
              <w:p>
                <w:pPr>
                  <w:widowControl w:val="0"/>
                  <w:rPr>
                    <w:i/>
                    <w:iCs/>
                    <w:szCs w:val="24"/>
                    <w:lang w:eastAsia="lt-LT"/>
                  </w:rPr>
                </w:pPr>
                <w:r>
                  <w:rPr>
                    <w:i/>
                    <w:iCs/>
                    <w:szCs w:val="24"/>
                    <w:lang w:eastAsia="lt-LT"/>
                  </w:rPr>
                  <w:t>iš jos dotacijos iš valstybės biudžeto</w:t>
                </w:r>
              </w:p>
            </w:tc>
            <w:tc>
              <w:tcPr>
                <w:tcW w:w="1440" w:type="dxa"/>
                <w:vAlign w:val="center"/>
              </w:tcPr>
              <w:p>
                <w:pPr>
                  <w:widowControl w:val="0"/>
                  <w:jc w:val="right"/>
                  <w:rPr>
                    <w:i/>
                    <w:iCs/>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i/>
                    <w:iCs/>
                    <w:sz w:val="22"/>
                    <w:szCs w:val="22"/>
                    <w:lang w:eastAsia="lt-LT"/>
                  </w:rPr>
                  <w:t>2 520 073</w:t>
                </w:r>
              </w:p>
            </w:tc>
            <w:tc>
              <w:tcPr>
                <w:tcW w:w="1440" w:type="dxa"/>
                <w:vAlign w:val="center"/>
              </w:tcPr>
              <w:p>
                <w:pPr>
                  <w:widowControl w:val="0"/>
                  <w:jc w:val="right"/>
                  <w:rPr>
                    <w:i/>
                    <w:iCs/>
                    <w:szCs w:val="24"/>
                    <w:lang w:eastAsia="lt-LT"/>
                  </w:rPr>
                </w:pPr>
                <w:r>
                  <w:rPr>
                    <w:i/>
                    <w:iCs/>
                    <w:sz w:val="22"/>
                    <w:szCs w:val="22"/>
                    <w:lang w:eastAsia="lt-LT"/>
                  </w:rPr>
                  <w:t>2 582 267</w:t>
                </w:r>
              </w:p>
            </w:tc>
            <w:tc>
              <w:tcPr>
                <w:tcW w:w="1345" w:type="dxa"/>
                <w:vAlign w:val="center"/>
              </w:tcPr>
              <w:p>
                <w:pPr>
                  <w:widowControl w:val="0"/>
                  <w:jc w:val="right"/>
                  <w:rPr>
                    <w:i/>
                    <w:iCs/>
                    <w:szCs w:val="24"/>
                    <w:lang w:eastAsia="lt-LT"/>
                  </w:rPr>
                </w:pPr>
                <w:r>
                  <w:rPr>
                    <w:i/>
                    <w:iCs/>
                    <w:sz w:val="22"/>
                    <w:szCs w:val="22"/>
                    <w:lang w:eastAsia="lt-LT"/>
                  </w:rPr>
                  <w:t>2 597 937</w:t>
                </w:r>
              </w:p>
            </w:tc>
          </w:tr>
          <w:tr>
            <w:tc>
              <w:tcPr>
                <w:tcW w:w="5117" w:type="dxa"/>
              </w:tcPr>
              <w:p>
                <w:pPr>
                  <w:widowControl w:val="0"/>
                  <w:rPr>
                    <w:szCs w:val="24"/>
                    <w:lang w:eastAsia="lt-LT"/>
                  </w:rPr>
                </w:pPr>
                <w:r>
                  <w:rPr>
                    <w:szCs w:val="24"/>
                    <w:lang w:eastAsia="lt-LT"/>
                  </w:rPr>
                  <w:t>Valstybės socialiniams fondams tenkanti asignavimų limito dalis, iš jo:</w:t>
                </w:r>
              </w:p>
            </w:tc>
            <w:tc>
              <w:tcPr>
                <w:tcW w:w="1440" w:type="dxa"/>
                <w:vAlign w:val="center"/>
              </w:tcPr>
              <w:p>
                <w:pPr>
                  <w:widowControl w:val="0"/>
                  <w:jc w:val="right"/>
                  <w:rPr>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7 949 689</w:t>
                </w:r>
              </w:p>
            </w:tc>
            <w:tc>
              <w:tcPr>
                <w:tcW w:w="1440" w:type="dxa"/>
                <w:vAlign w:val="center"/>
              </w:tcPr>
              <w:p>
                <w:pPr>
                  <w:widowControl w:val="0"/>
                  <w:jc w:val="right"/>
                  <w:rPr>
                    <w:szCs w:val="24"/>
                    <w:lang w:eastAsia="lt-LT"/>
                  </w:rPr>
                </w:pPr>
                <w:r>
                  <w:rPr>
                    <w:szCs w:val="24"/>
                    <w:lang w:eastAsia="lt-LT"/>
                  </w:rPr>
                  <w:t>8 724 353</w:t>
                </w:r>
              </w:p>
            </w:tc>
            <w:tc>
              <w:tcPr>
                <w:tcW w:w="1345" w:type="dxa"/>
                <w:vAlign w:val="center"/>
              </w:tcPr>
              <w:p>
                <w:pPr>
                  <w:widowControl w:val="0"/>
                  <w:jc w:val="right"/>
                  <w:rPr>
                    <w:szCs w:val="24"/>
                    <w:lang w:eastAsia="lt-LT"/>
                  </w:rPr>
                </w:pPr>
                <w:r>
                  <w:rPr>
                    <w:szCs w:val="24"/>
                    <w:lang w:eastAsia="lt-LT"/>
                  </w:rPr>
                  <w:t>9 492 953</w:t>
                </w:r>
              </w:p>
            </w:tc>
          </w:tr>
          <w:tr>
            <w:tc>
              <w:tcPr>
                <w:tcW w:w="5117" w:type="dxa"/>
              </w:tcPr>
              <w:p>
                <w:pPr>
                  <w:widowControl w:val="0"/>
                  <w:rPr>
                    <w:szCs w:val="24"/>
                    <w:lang w:eastAsia="lt-LT"/>
                  </w:rPr>
                </w:pPr>
                <w:r>
                  <w:rPr>
                    <w:szCs w:val="24"/>
                    <w:lang w:eastAsia="lt-LT"/>
                  </w:rPr>
                  <w:t>Valstybinio socialinio draudimo fondui tenkanti asignavimų limito dalis</w:t>
                </w:r>
              </w:p>
            </w:tc>
            <w:tc>
              <w:tcPr>
                <w:tcW w:w="1440" w:type="dxa"/>
                <w:vAlign w:val="center"/>
              </w:tcPr>
              <w:p>
                <w:pPr>
                  <w:widowControl w:val="0"/>
                  <w:jc w:val="right"/>
                  <w:rPr>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7 906 367</w:t>
                </w:r>
              </w:p>
            </w:tc>
            <w:tc>
              <w:tcPr>
                <w:tcW w:w="1440" w:type="dxa"/>
                <w:vAlign w:val="center"/>
              </w:tcPr>
              <w:p>
                <w:pPr>
                  <w:widowControl w:val="0"/>
                  <w:jc w:val="right"/>
                  <w:rPr>
                    <w:szCs w:val="24"/>
                    <w:lang w:eastAsia="lt-LT"/>
                  </w:rPr>
                </w:pPr>
                <w:r>
                  <w:rPr>
                    <w:szCs w:val="24"/>
                    <w:lang w:eastAsia="lt-LT"/>
                  </w:rPr>
                  <w:t>8 671 341</w:t>
                </w:r>
              </w:p>
            </w:tc>
            <w:tc>
              <w:tcPr>
                <w:tcW w:w="1345" w:type="dxa"/>
                <w:vAlign w:val="center"/>
              </w:tcPr>
              <w:p>
                <w:pPr>
                  <w:widowControl w:val="0"/>
                  <w:jc w:val="right"/>
                  <w:rPr>
                    <w:szCs w:val="24"/>
                    <w:lang w:eastAsia="lt-LT"/>
                  </w:rPr>
                </w:pPr>
                <w:r>
                  <w:rPr>
                    <w:szCs w:val="24"/>
                    <w:lang w:eastAsia="lt-LT"/>
                  </w:rPr>
                  <w:t>9 428 653</w:t>
                </w:r>
              </w:p>
            </w:tc>
          </w:tr>
          <w:tr>
            <w:tc>
              <w:tcPr>
                <w:tcW w:w="5117" w:type="dxa"/>
              </w:tcPr>
              <w:p>
                <w:pPr>
                  <w:widowControl w:val="0"/>
                  <w:rPr>
                    <w:i/>
                    <w:iCs/>
                    <w:szCs w:val="24"/>
                    <w:lang w:eastAsia="lt-LT"/>
                  </w:rPr>
                </w:pPr>
                <w:r>
                  <w:rPr>
                    <w:i/>
                    <w:iCs/>
                    <w:szCs w:val="24"/>
                    <w:lang w:eastAsia="lt-LT"/>
                  </w:rPr>
                  <w:t>iš jos iš valstybės biudžeto gaunamos lėšos</w:t>
                </w:r>
              </w:p>
            </w:tc>
            <w:tc>
              <w:tcPr>
                <w:tcW w:w="1440" w:type="dxa"/>
                <w:vAlign w:val="center"/>
              </w:tcPr>
              <w:p>
                <w:pPr>
                  <w:widowControl w:val="0"/>
                  <w:jc w:val="right"/>
                  <w:rPr>
                    <w:i/>
                    <w:iCs/>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i/>
                    <w:iCs/>
                    <w:color w:val="000000"/>
                    <w:szCs w:val="24"/>
                    <w:lang w:eastAsia="lt-L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3 438 344</w:t>
                </w:r>
              </w:p>
            </w:tc>
            <w:tc>
              <w:tcPr>
                <w:tcW w:w="1440" w:type="dxa"/>
                <w:vAlign w:val="center"/>
              </w:tcPr>
              <w:p>
                <w:pPr>
                  <w:widowControl w:val="0"/>
                  <w:jc w:val="right"/>
                  <w:rPr>
                    <w:i/>
                    <w:iCs/>
                    <w:szCs w:val="24"/>
                    <w:lang w:eastAsia="lt-LT"/>
                  </w:rPr>
                </w:pPr>
                <w:r>
                  <w:rPr>
                    <w:i/>
                    <w:iCs/>
                    <w:szCs w:val="24"/>
                    <w:lang w:eastAsia="lt-LT"/>
                  </w:rPr>
                  <w:t>3 760 521</w:t>
                </w:r>
              </w:p>
            </w:tc>
            <w:tc>
              <w:tcPr>
                <w:tcW w:w="1345" w:type="dxa"/>
                <w:vAlign w:val="center"/>
              </w:tcPr>
              <w:p>
                <w:pPr>
                  <w:widowControl w:val="0"/>
                  <w:jc w:val="right"/>
                  <w:rPr>
                    <w:i/>
                    <w:iCs/>
                    <w:szCs w:val="24"/>
                    <w:lang w:eastAsia="lt-LT"/>
                  </w:rPr>
                </w:pPr>
                <w:r>
                  <w:rPr>
                    <w:i/>
                    <w:iCs/>
                    <w:szCs w:val="24"/>
                    <w:lang w:eastAsia="lt-LT"/>
                  </w:rPr>
                  <w:t>4 157 830</w:t>
                </w:r>
              </w:p>
            </w:tc>
          </w:tr>
          <w:tr>
            <w:tc>
              <w:tcPr>
                <w:tcW w:w="5117" w:type="dxa"/>
              </w:tcPr>
              <w:p>
                <w:pPr>
                  <w:widowControl w:val="0"/>
                  <w:rPr>
                    <w:szCs w:val="24"/>
                    <w:lang w:eastAsia="lt-LT"/>
                  </w:rPr>
                </w:pPr>
                <w:r>
                  <w:rPr>
                    <w:szCs w:val="24"/>
                    <w:lang w:eastAsia="lt-LT"/>
                  </w:rPr>
                  <w:t>Garantiniam fondui tenkanti asignavimų limito dalis</w:t>
                </w:r>
              </w:p>
            </w:tc>
            <w:tc>
              <w:tcPr>
                <w:tcW w:w="1440" w:type="dxa"/>
                <w:vAlign w:val="center"/>
              </w:tcPr>
              <w:p>
                <w:pPr>
                  <w:widowControl w:val="0"/>
                  <w:jc w:val="right"/>
                  <w:rPr>
                    <w:szCs w:val="24"/>
                    <w:lang w:eastAsia="lt-LT"/>
                  </w:rPr>
                </w:pPr>
                <w:r>
                  <w:rPr>
                    <w:szCs w:val="24"/>
                    <w:lang w:eastAsia="lt-LT"/>
                  </w:rPr>
                  <w:t>28 353</w:t>
                </w:r>
              </w:p>
            </w:tc>
            <w:tc>
              <w:tcPr>
                <w:tcW w:w="1440" w:type="dxa"/>
                <w:vAlign w:val="center"/>
              </w:tcPr>
              <w:p>
                <w:pPr>
                  <w:widowControl w:val="0"/>
                  <w:jc w:val="right"/>
                  <w:rPr>
                    <w:szCs w:val="24"/>
                    <w:lang w:eastAsia="lt-LT"/>
                  </w:rPr>
                </w:pPr>
                <w:r>
                  <w:rPr>
                    <w:szCs w:val="24"/>
                    <w:lang w:eastAsia="lt-LT"/>
                  </w:rPr>
                  <w:t>36 284</w:t>
                </w:r>
              </w:p>
            </w:tc>
            <w:tc>
              <w:tcPr>
                <w:tcW w:w="1345" w:type="dxa"/>
                <w:vAlign w:val="center"/>
              </w:tcPr>
              <w:p>
                <w:pPr>
                  <w:widowControl w:val="0"/>
                  <w:jc w:val="right"/>
                  <w:rPr>
                    <w:szCs w:val="24"/>
                    <w:lang w:eastAsia="lt-LT"/>
                  </w:rPr>
                </w:pPr>
                <w:r>
                  <w:rPr>
                    <w:szCs w:val="24"/>
                    <w:lang w:eastAsia="lt-LT"/>
                  </w:rPr>
                  <w:t>45 785</w:t>
                </w:r>
              </w:p>
            </w:tc>
          </w:tr>
          <w:tr>
            <w:tc>
              <w:tcPr>
                <w:tcW w:w="5117" w:type="dxa"/>
              </w:tcPr>
              <w:p>
                <w:pPr>
                  <w:widowControl w:val="0"/>
                  <w:rPr>
                    <w:szCs w:val="24"/>
                    <w:lang w:eastAsia="lt-LT"/>
                  </w:rPr>
                </w:pPr>
                <w:r>
                  <w:rPr>
                    <w:szCs w:val="24"/>
                    <w:lang w:eastAsia="lt-LT"/>
                  </w:rPr>
                  <w:t>Ilgalaikio darbo išmokų fondui tenkanti asignavimų limito dalis</w:t>
                </w:r>
              </w:p>
            </w:tc>
            <w:tc>
              <w:tcPr>
                <w:tcW w:w="1440" w:type="dxa"/>
                <w:vAlign w:val="center"/>
              </w:tcPr>
              <w:p>
                <w:pPr>
                  <w:widowControl w:val="0"/>
                  <w:jc w:val="right"/>
                  <w:rPr>
                    <w:szCs w:val="24"/>
                    <w:lang w:eastAsia="lt-LT"/>
                  </w:rPr>
                </w:pPr>
                <w:r>
                  <w:rPr>
                    <w:szCs w:val="24"/>
                    <w:lang w:eastAsia="lt-LT"/>
                  </w:rPr>
                  <w:t>14 969</w:t>
                </w:r>
              </w:p>
            </w:tc>
            <w:tc>
              <w:tcPr>
                <w:tcW w:w="1440" w:type="dxa"/>
                <w:vAlign w:val="center"/>
              </w:tcPr>
              <w:p>
                <w:pPr>
                  <w:widowControl w:val="0"/>
                  <w:jc w:val="right"/>
                  <w:rPr>
                    <w:szCs w:val="24"/>
                    <w:lang w:eastAsia="lt-LT"/>
                  </w:rPr>
                </w:pPr>
                <w:r>
                  <w:rPr>
                    <w:szCs w:val="24"/>
                    <w:lang w:eastAsia="lt-LT"/>
                  </w:rPr>
                  <w:t>16 728</w:t>
                </w:r>
              </w:p>
            </w:tc>
            <w:tc>
              <w:tcPr>
                <w:tcW w:w="1345" w:type="dxa"/>
                <w:vAlign w:val="center"/>
              </w:tcPr>
              <w:p>
                <w:pPr>
                  <w:widowControl w:val="0"/>
                  <w:jc w:val="right"/>
                  <w:rPr>
                    <w:szCs w:val="24"/>
                    <w:lang w:eastAsia="lt-LT"/>
                  </w:rPr>
                </w:pPr>
                <w:r>
                  <w:rPr>
                    <w:szCs w:val="24"/>
                    <w:lang w:eastAsia="lt-LT"/>
                  </w:rPr>
                  <w:t>18 515</w:t>
                </w:r>
              </w:p>
            </w:tc>
          </w:tr>
          <w:tr>
            <w:tc>
              <w:tcPr>
                <w:tcW w:w="5117" w:type="dxa"/>
              </w:tcPr>
              <w:p>
                <w:pPr>
                  <w:widowControl w:val="0"/>
                  <w:rPr>
                    <w:szCs w:val="24"/>
                    <w:lang w:eastAsia="lt-LT"/>
                  </w:rPr>
                </w:pPr>
                <w:r>
                  <w:rPr>
                    <w:szCs w:val="24"/>
                    <w:lang w:eastAsia="lt-LT"/>
                  </w:rPr>
                  <w:t>Privalomojo sveikatos draudimo fondui tenkanti asignavimų limito dalis</w:t>
                </w:r>
              </w:p>
            </w:tc>
            <w:tc>
              <w:tcPr>
                <w:tcW w:w="1440" w:type="dxa"/>
                <w:vAlign w:val="center"/>
              </w:tcPr>
              <w:p>
                <w:pPr>
                  <w:widowControl w:val="0"/>
                  <w:jc w:val="right"/>
                  <w:rPr>
                    <w:szCs w:val="24"/>
                    <w:lang w:eastAsia="lt-LT"/>
                  </w:rPr>
                </w:pPr>
                <w:r>
                  <w:rPr>
                    <w:szCs w:val="24"/>
                    <w:lang w:eastAsia="lt-LT"/>
                  </w:rPr>
                  <w:t>3 939 769</w:t>
                </w:r>
              </w:p>
            </w:tc>
            <w:tc>
              <w:tcPr>
                <w:tcW w:w="1440" w:type="dxa"/>
                <w:vAlign w:val="center"/>
              </w:tcPr>
              <w:p>
                <w:pPr>
                  <w:widowControl w:val="0"/>
                  <w:jc w:val="right"/>
                  <w:rPr>
                    <w:szCs w:val="24"/>
                    <w:lang w:eastAsia="lt-LT"/>
                  </w:rPr>
                </w:pPr>
                <w:r>
                  <w:rPr>
                    <w:szCs w:val="24"/>
                    <w:lang w:eastAsia="lt-LT"/>
                  </w:rPr>
                  <w:t>4 209 998</w:t>
                </w:r>
              </w:p>
            </w:tc>
            <w:tc>
              <w:tcPr>
                <w:tcW w:w="1345" w:type="dxa"/>
                <w:vAlign w:val="center"/>
              </w:tcPr>
              <w:p>
                <w:pPr>
                  <w:widowControl w:val="0"/>
                  <w:jc w:val="right"/>
                  <w:rPr>
                    <w:szCs w:val="24"/>
                    <w:lang w:eastAsia="lt-LT"/>
                  </w:rPr>
                </w:pPr>
                <w:r>
                  <w:rPr>
                    <w:szCs w:val="24"/>
                    <w:lang w:eastAsia="lt-LT"/>
                  </w:rPr>
                  <w:t>4 491 115</w:t>
                </w:r>
              </w:p>
            </w:tc>
          </w:tr>
          <w:tr>
            <w:tc>
              <w:tcPr>
                <w:tcW w:w="5117" w:type="dxa"/>
              </w:tcPr>
              <w:p>
                <w:pPr>
                  <w:widowControl w:val="0"/>
                  <w:rPr>
                    <w:i/>
                    <w:iCs/>
                    <w:szCs w:val="24"/>
                    <w:lang w:eastAsia="lt-LT"/>
                  </w:rPr>
                </w:pPr>
                <w:r>
                  <w:rPr>
                    <w:i/>
                    <w:iCs/>
                    <w:szCs w:val="24"/>
                    <w:lang w:eastAsia="lt-LT"/>
                  </w:rPr>
                  <w:t>iš jos iš valstybės biudžeto gaunamos lėšos</w:t>
                </w:r>
              </w:p>
            </w:tc>
            <w:tc>
              <w:tcPr>
                <w:tcW w:w="1440" w:type="dxa"/>
                <w:vAlign w:val="center"/>
              </w:tcPr>
              <w:p>
                <w:pPr>
                  <w:widowControl w:val="0"/>
                  <w:jc w:val="right"/>
                  <w:rPr>
                    <w:i/>
                    <w:iCs/>
                    <w:szCs w:val="24"/>
                    <w:lang w:eastAsia="lt-LT"/>
                  </w:rPr>
                </w:pPr>
                <w:r>
                  <w:rPr>
                    <w:i/>
                    <w:iCs/>
                    <w:szCs w:val="24"/>
                    <w:lang w:eastAsia="lt-LT"/>
                  </w:rPr>
                  <w:t>1 186 706</w:t>
                </w:r>
              </w:p>
            </w:tc>
            <w:tc>
              <w:tcPr>
                <w:tcW w:w="1440" w:type="dxa"/>
                <w:vAlign w:val="center"/>
              </w:tcPr>
              <w:p>
                <w:pPr>
                  <w:widowControl w:val="0"/>
                  <w:jc w:val="right"/>
                  <w:rPr>
                    <w:i/>
                    <w:iCs/>
                    <w:szCs w:val="24"/>
                    <w:lang w:eastAsia="lt-LT"/>
                  </w:rPr>
                </w:pPr>
                <w:r>
                  <w:rPr>
                    <w:i/>
                    <w:iCs/>
                    <w:szCs w:val="24"/>
                    <w:lang w:eastAsia="lt-LT"/>
                  </w:rPr>
                  <w:t>1 288 487</w:t>
                </w:r>
              </w:p>
            </w:tc>
            <w:tc>
              <w:tcPr>
                <w:tcW w:w="1345" w:type="dxa"/>
                <w:vAlign w:val="center"/>
              </w:tcPr>
              <w:p>
                <w:pPr>
                  <w:widowControl w:val="0"/>
                  <w:jc w:val="right"/>
                  <w:rPr>
                    <w:i/>
                    <w:iCs/>
                    <w:szCs w:val="24"/>
                    <w:lang w:eastAsia="lt-LT"/>
                  </w:rPr>
                </w:pPr>
                <w:r>
                  <w:rPr>
                    <w:i/>
                    <w:iCs/>
                    <w:szCs w:val="24"/>
                    <w:lang w:eastAsia="lt-LT"/>
                  </w:rPr>
                  <w:t>1 426 754</w:t>
                </w:r>
              </w:p>
            </w:tc>
          </w:tr>
          <w:tr>
            <w:tc>
              <w:tcPr>
                <w:tcW w:w="5117" w:type="dxa"/>
              </w:tcPr>
              <w:p>
                <w:pPr>
                  <w:widowControl w:val="0"/>
                  <w:rPr>
                    <w:b/>
                    <w:bCs/>
                    <w:szCs w:val="24"/>
                    <w:lang w:eastAsia="lt-LT"/>
                  </w:rPr>
                </w:pPr>
                <w:r>
                  <w:rPr>
                    <w:b/>
                    <w:bCs/>
                    <w:szCs w:val="24"/>
                    <w:lang w:eastAsia="lt-LT"/>
                  </w:rPr>
                  <w:t>AGREGUOTAS ASIGNAVIMŲ LIMITAS</w:t>
                </w:r>
              </w:p>
            </w:tc>
            <w:tc>
              <w:tcPr>
                <w:tcW w:w="1440" w:type="dxa"/>
                <w:vAlign w:val="center"/>
              </w:tcPr>
              <w:p>
                <w:pPr>
                  <w:widowControl w:val="0"/>
                  <w:jc w:val="right"/>
                  <w:rPr>
                    <w:b/>
                    <w:bCs/>
                    <w:szCs w:val="24"/>
                    <w:lang w:eastAsia="lt-LT"/>
                  </w:rPr>
                </w:pPr>
                <w:r>
                  <w:rPr>
                    <w:b/>
                    <w:bCs/>
                    <w:szCs w:val="24"/>
                    <w:lang w:eastAsia="lt-LT"/>
                  </w:rPr>
                  <w:t>34 440 321</w:t>
                </w:r>
              </w:p>
            </w:tc>
            <w:tc>
              <w:tcPr>
                <w:tcW w:w="1440" w:type="dxa"/>
                <w:vAlign w:val="center"/>
              </w:tcPr>
              <w:p>
                <w:pPr>
                  <w:widowControl w:val="0"/>
                  <w:jc w:val="right"/>
                  <w:rPr>
                    <w:b/>
                    <w:bCs/>
                    <w:szCs w:val="24"/>
                    <w:lang w:eastAsia="lt-LT"/>
                  </w:rPr>
                </w:pPr>
                <w:r>
                  <w:rPr>
                    <w:b/>
                    <w:bCs/>
                    <w:szCs w:val="24"/>
                    <w:lang w:eastAsia="lt-LT"/>
                  </w:rPr>
                  <w:t>35 946 569</w:t>
                </w:r>
              </w:p>
            </w:tc>
            <w:tc>
              <w:tcPr>
                <w:tcW w:w="1345" w:type="dxa"/>
                <w:vAlign w:val="center"/>
              </w:tcPr>
              <w:p>
                <w:pPr>
                  <w:widowControl w:val="0"/>
                  <w:jc w:val="right"/>
                  <w:rPr>
                    <w:b/>
                    <w:bCs/>
                    <w:szCs w:val="24"/>
                    <w:lang w:eastAsia="lt-LT"/>
                  </w:rPr>
                </w:pPr>
                <w:r>
                  <w:rPr>
                    <w:b/>
                    <w:bCs/>
                    <w:szCs w:val="24"/>
                    <w:lang w:eastAsia="lt-LT"/>
                  </w:rPr>
                  <w:t>36 538 585</w:t>
                </w:r>
              </w:p>
            </w:tc>
          </w:tr>
        </w:tbl>
        <w:p>
          <w:pPr>
            <w:jc w:val="center"/>
            <w:rPr>
              <w:szCs w:val="24"/>
              <w:lang w:eastAsia="lt-LT"/>
            </w:rPr>
          </w:pPr>
        </w:p>
        <w:p>
          <w:pPr>
            <w:jc w:val="center"/>
            <w:rPr>
              <w:szCs w:val="24"/>
              <w:lang w:eastAsia="lt-LT"/>
            </w:rPr>
          </w:pPr>
          <w:r>
            <w:rPr>
              <w:szCs w:val="24"/>
              <w:lang w:eastAsia="lt-LT"/>
            </w:rPr>
            <w:t>_______________________</w:t>
          </w:r>
        </w:p>
        <w:p>
          <w:pPr>
            <w:rPr>
              <w:szCs w:val="24"/>
              <w:lang w:eastAsia="lt-LT"/>
            </w:rPr>
            <w:sectPr>
              <w:pgSz w:w="11906" w:h="16838"/>
              <w:pgMar w:top="1418" w:right="851" w:bottom="1134" w:left="1701" w:header="567" w:footer="567" w:gutter="0"/>
              <w:pgNumType w:start="1"/>
              <w:cols w:space="1296"/>
              <w:titlePg/>
              <w:docGrid w:linePitch="360"/>
            </w:sectPr>
          </w:pPr>
        </w:p>
        <w:p>
          <w:pPr>
            <w:tabs>
              <w:tab w:val="center" w:pos="4819"/>
              <w:tab w:val="right" w:pos="9638"/>
            </w:tabs>
          </w:pPr>
        </w:p>
      </w:sdtContent>
    </w:sdt>
    <w:sdt>
      <w:sdtPr>
        <w:alias w:val="2 pr."/>
        <w:tag w:val="part_c0dd1e31895645e49e41c965b6e303b7"/>
        <w:lock w:val="sdtLocked"/>
        <w:richText/>
      </w:sdtPr>
      <w:sdtContent>
        <w:p>
          <w:pPr>
            <w:ind w:firstLine="6768"/>
            <w:rPr>
              <w:szCs w:val="24"/>
              <w:lang w:eastAsia="lt-LT"/>
            </w:rPr>
          </w:pPr>
          <w:r>
            <w:rPr>
              <w:szCs w:val="24"/>
              <w:lang w:eastAsia="lt-LT"/>
            </w:rPr>
            <w:t>Lietuvos Respublikos</w:t>
          </w:r>
        </w:p>
        <w:p>
          <w:pPr>
            <w:ind w:firstLine="6768"/>
            <w:rPr>
              <w:szCs w:val="24"/>
              <w:lang w:eastAsia="lt-LT"/>
            </w:rPr>
          </w:pPr>
          <w:r>
            <w:rPr>
              <w:szCs w:val="24"/>
              <w:lang w:eastAsia="lt-LT"/>
            </w:rPr>
            <w:t>2025</w:t>
          </w:r>
          <w:r>
            <w:rPr>
              <w:szCs w:val="24"/>
            </w:rPr>
            <w:t>–2027</w:t>
          </w:r>
          <w:r>
            <w:rPr>
              <w:szCs w:val="24"/>
              <w:lang w:eastAsia="lt-LT"/>
            </w:rPr>
            <w:t xml:space="preserve"> metų biudžeto</w:t>
          </w:r>
        </w:p>
        <w:p>
          <w:pPr>
            <w:ind w:firstLine="6768"/>
            <w:rPr>
              <w:szCs w:val="24"/>
              <w:lang w:eastAsia="lt-LT"/>
            </w:rPr>
          </w:pPr>
          <w:r>
            <w:rPr>
              <w:szCs w:val="24"/>
              <w:lang w:eastAsia="lt-LT"/>
            </w:rPr>
            <w:t>patvirtinimo įstatymo</w:t>
          </w:r>
        </w:p>
        <w:p>
          <w:pPr>
            <w:ind w:firstLine="6768"/>
            <w:rPr>
              <w:szCs w:val="24"/>
              <w:lang w:eastAsia="lt-LT"/>
            </w:rPr>
          </w:pPr>
          <w:sdt>
            <w:sdtPr>
              <w:alias w:val="Numeris"/>
              <w:tag w:val="nr_c0dd1e31895645e49e41c965b6e303b7"/>
              <w:lock w:val="sdtLocked"/>
              <w:richText/>
            </w:sdtPr>
            <w:sdtContent>
              <w:r>
                <w:rPr>
                  <w:szCs w:val="24"/>
                  <w:lang w:eastAsia="lt-LT"/>
                </w:rPr>
                <w:t>2</w:t>
              </w:r>
            </w:sdtContent>
          </w:sdt>
          <w:r>
            <w:rPr>
              <w:szCs w:val="24"/>
              <w:lang w:eastAsia="lt-LT"/>
            </w:rPr>
            <w:t xml:space="preserve"> priedas</w:t>
          </w:r>
        </w:p>
        <w:p>
          <w:pPr>
            <w:spacing w:line="360" w:lineRule="auto"/>
            <w:jc w:val="center"/>
            <w:rPr>
              <w:b/>
              <w:bCs/>
              <w:szCs w:val="24"/>
              <w:lang w:eastAsia="lt-LT"/>
            </w:rPr>
          </w:pPr>
        </w:p>
        <w:sdt>
          <w:sdtPr>
            <w:alias w:val="Pavadinimas"/>
            <w:tag w:val="title_c0dd1e31895645e49e41c965b6e303b7"/>
            <w:lock w:val="sdtLocked"/>
            <w:richText/>
          </w:sdtPr>
          <w:sdtContent>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2025 METŲ VALSTYBĖS BIUDŽETO PAJAMOS</w:t>
              </w:r>
            </w:p>
          </w:sdtContent>
        </w:sdt>
        <w:p>
          <w:pPr>
            <w:jc w:val="center"/>
            <w:rPr>
              <w:b/>
              <w:bCs/>
              <w:szCs w:val="24"/>
              <w:lang w:eastAsia="lt-LT"/>
            </w:rPr>
          </w:pPr>
        </w:p>
        <w:tbl>
          <w:tblPr>
            <w:tblW w:w="8892" w:type="dxa"/>
            <w:tblInd w:w="108" w:type="dxa"/>
            <w:tblLook w:val="04A0" w:firstRow="1" w:lastRow="0" w:firstColumn="1" w:lastColumn="0" w:noHBand="0" w:noVBand="1"/>
          </w:tblPr>
          <w:tblGrid>
            <w:gridCol w:w="7362"/>
            <w:gridCol w:w="1530"/>
          </w:tblGrid>
          <w:tr>
            <w:trPr>
              <w:trHeight w:val="315"/>
              <w:tblHeader/>
            </w:trPr>
            <w:tc>
              <w:tcPr>
                <w:tcW w:w="7362" w:type="dxa"/>
                <w:tcBorders>
                  <w:top w:val="nil"/>
                  <w:left w:val="nil"/>
                  <w:bottom w:val="nil"/>
                  <w:right w:val="nil"/>
                </w:tcBorders>
                <w:shd w:val="clear" w:color="auto" w:fill="auto"/>
                <w:vAlign w:val="bottom"/>
                <w:hideMark/>
              </w:tcPr>
              <w:p>
                <w:pPr>
                  <w:mirrorIndents/>
                  <w:rPr>
                    <w:szCs w:val="24"/>
                    <w:lang w:eastAsia="lt-LT"/>
                  </w:rPr>
                </w:pPr>
              </w:p>
            </w:tc>
            <w:tc>
              <w:tcPr>
                <w:tcW w:w="1530" w:type="dxa"/>
                <w:tcBorders>
                  <w:top w:val="nil"/>
                  <w:left w:val="nil"/>
                  <w:bottom w:val="nil"/>
                  <w:right w:val="nil"/>
                </w:tcBorders>
                <w:shd w:val="clear" w:color="auto" w:fill="auto"/>
                <w:vAlign w:val="bottom"/>
                <w:hideMark/>
              </w:tcPr>
              <w:p>
                <w:pPr>
                  <w:mirrorIndents/>
                  <w:jc w:val="right"/>
                  <w:rPr>
                    <w:szCs w:val="24"/>
                    <w:lang w:eastAsia="lt-LT"/>
                  </w:rPr>
                </w:pPr>
                <w:r>
                  <w:rPr>
                    <w:szCs w:val="24"/>
                    <w:lang w:eastAsia="lt-LT"/>
                  </w:rPr>
                  <w:t>Tūkst. Eur</w:t>
                </w:r>
              </w:p>
            </w:tc>
          </w:tr>
          <w:tr>
            <w:trPr>
              <w:trHeight w:val="600"/>
              <w:tblHeader/>
            </w:trPr>
            <w:tc>
              <w:tcPr>
                <w:tcW w:w="7362" w:type="dxa"/>
                <w:tcBorders>
                  <w:top w:val="single" w:sz="4" w:space="0" w:color="auto"/>
                  <w:left w:val="single" w:sz="4" w:space="0" w:color="auto"/>
                  <w:bottom w:val="single" w:sz="4" w:space="0" w:color="auto"/>
                  <w:right w:val="single" w:sz="4" w:space="0" w:color="auto"/>
                </w:tcBorders>
                <w:shd w:val="clear" w:color="auto" w:fill="auto"/>
                <w:vAlign w:val="center"/>
                <w:hideMark/>
              </w:tcPr>
              <w:p>
                <w:pPr>
                  <w:mirrorIndents/>
                  <w:jc w:val="center"/>
                  <w:rPr>
                    <w:szCs w:val="24"/>
                    <w:lang w:eastAsia="lt-LT"/>
                  </w:rPr>
                </w:pPr>
                <w:r>
                  <w:rPr>
                    <w:szCs w:val="24"/>
                    <w:lang w:eastAsia="lt-LT"/>
                  </w:rPr>
                  <w:t>Pajamos</w:t>
                </w:r>
              </w:p>
            </w:tc>
            <w:tc>
              <w:tcPr>
                <w:tcW w:w="1530" w:type="dxa"/>
                <w:tcBorders>
                  <w:top w:val="single" w:sz="4" w:space="0" w:color="auto"/>
                  <w:left w:val="nil"/>
                  <w:bottom w:val="single" w:sz="4" w:space="0" w:color="auto"/>
                  <w:right w:val="single" w:sz="4" w:space="0" w:color="auto"/>
                </w:tcBorders>
                <w:shd w:val="clear" w:color="auto" w:fill="auto"/>
                <w:noWrap/>
                <w:vAlign w:val="center"/>
                <w:hideMark/>
              </w:tcPr>
              <w:p>
                <w:pPr>
                  <w:mirrorIndents/>
                  <w:jc w:val="center"/>
                  <w:rPr>
                    <w:szCs w:val="24"/>
                    <w:lang w:eastAsia="lt-LT"/>
                  </w:rPr>
                </w:pPr>
                <w:r>
                  <w:rPr>
                    <w:szCs w:val="24"/>
                    <w:lang w:eastAsia="lt-LT"/>
                  </w:rPr>
                  <w:t>Iš viso</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15 435 923</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14 730 770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Pajamų ir pelno 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5 376 799</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Gyventojų pajamų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3 389 189</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Pelno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1 880 610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tcPr>
              <w:p>
                <w:pPr>
                  <w:mirrorIndents/>
                  <w:jc w:val="both"/>
                  <w:rPr>
                    <w:szCs w:val="24"/>
                    <w:lang w:eastAsia="lt-LT"/>
                  </w:rPr>
                </w:pPr>
                <w:r>
                  <w:rPr>
                    <w:szCs w:val="24"/>
                    <w:lang w:eastAsia="lt-LT"/>
                  </w:rPr>
                  <w:t>Laikinasis solidarumo įnašas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107 000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Turto 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15 000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Nekilnojamojo turto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15 000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Prekių ir paslaugų 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9 218 971</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Pridėtinės vertės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6 831 868</w:t>
                </w:r>
              </w:p>
            </w:tc>
          </w:tr>
          <w:tr>
            <w:trPr>
              <w:trHeight w:val="300"/>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Atskaitymai nuo pajamų pagal Lietuvos Respublikos miškų įstatymą</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34 425</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Akcizai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2 181 097</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Loterijų ir lošimų 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76 500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Transporto priemonių 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61 967</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Mokesčiai už aplinkos teršimą</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33 114</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Tarptautinės prekybos ir sandorių mokesčiai</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120 000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KITOS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705 153</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Turto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265 876</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Palūkanos už paskolas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29 726</w:t>
                </w:r>
              </w:p>
            </w:tc>
          </w:tr>
          <w:tr>
            <w:trPr>
              <w:trHeight w:val="372"/>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Palūkanos už indėlius, depozitus, sąskaitų likučius ir vertybinius popierius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61 255</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Lietuvos banko pelno įmokos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14 000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Dividendai ir valstybės įmonių pelno įmokos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131 561</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Mokesčiai už valstybinius gamtos išteklius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25 122</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Angliavandenilių išteklių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1 523</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Mokestis už valstybės turto naudojimą patikėjimo teise</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2 689</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Pajamos už prekes ir paslaugas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295 509</w:t>
                </w:r>
              </w:p>
            </w:tc>
          </w:tr>
          <w:tr>
            <w:trPr>
              <w:trHeight w:val="34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rPr>
                    <w:szCs w:val="24"/>
                    <w:lang w:eastAsia="lt-LT"/>
                  </w:rPr>
                </w:pPr>
                <w:r>
                  <w:rPr>
                    <w:szCs w:val="24"/>
                    <w:lang w:eastAsia="lt-LT"/>
                  </w:rPr>
                  <w:t>Biudžetinių įstaigų pajamos už prekes ir paslaugas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119 340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Pajamos už ilgalaikio ir trumpalaikio materialiojo turto nuomą</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3 066</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Konsulinis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15 501</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Žyminis mokestis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13 712</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Rinkliavos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62 632</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Kitos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81 258</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Pajamos iš baudų, konfiskuoto turto ir kitų netesybų</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100 336</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Kitos neišvardytos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43 432</w:t>
                </w:r>
              </w:p>
            </w:tc>
          </w:tr>
          <w:tr>
            <w:trPr>
              <w:trHeight w:val="903"/>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rPr>
                    <w:b/>
                    <w:bCs/>
                    <w:szCs w:val="24"/>
                    <w:lang w:eastAsia="lt-LT"/>
                  </w:rPr>
                </w:pPr>
                <w:r>
                  <w:rPr>
                    <w:b/>
                    <w:bCs/>
                    <w:szCs w:val="24"/>
                    <w:lang w:eastAsia="lt-LT"/>
                  </w:rPr>
                  <w:t>SANDORIŲ DĖL MATERIALIOJO IR NEMATERIALIOJO TURTO REALIZAVIMO, FINANSINIO TURTO SUMAŽĖJIMO IR FINANSINIŲ ĮSIPAREIGOJIMŲ PRISIĖMIMO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96 912</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Materialiojo ir nematerialiojo turto realizavimo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95 258</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Žemės realizavimo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19 323</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Kito materialiojo ir nematerialiojo turto realizavimo pajamos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75 935</w:t>
                </w:r>
              </w:p>
            </w:tc>
          </w:tr>
          <w:tr>
            <w:trPr>
              <w:trHeight w:val="630"/>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Finansinio turto sumažėjimo pajamos (finansinio turto pardavimo pajamos / grįžusios finansinės investicijos)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1 654</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szCs w:val="24"/>
                    <w:lang w:eastAsia="lt-LT"/>
                  </w:rPr>
                </w:pPr>
                <w:r>
                  <w:rPr>
                    <w:szCs w:val="24"/>
                    <w:lang w:eastAsia="lt-LT"/>
                  </w:rPr>
                  <w:t>Akcijos ir kitos gautinos sumos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szCs w:val="24"/>
                  </w:rPr>
                </w:pPr>
                <w:r>
                  <w:t>1 654</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IŠ VISO</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15 532 835</w:t>
                </w:r>
              </w:p>
            </w:tc>
          </w:tr>
          <w:tr>
            <w:trPr>
              <w:trHeight w:val="426"/>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Europos Sąjungos ir kitos tarptautinės finansinės paramos lėšos</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2 445 930</w:t>
                </w:r>
              </w:p>
            </w:tc>
          </w:tr>
          <w:tr>
            <w:trPr>
              <w:trHeight w:val="315"/>
            </w:trPr>
            <w:tc>
              <w:tcPr>
                <w:tcW w:w="7362" w:type="dxa"/>
                <w:tcBorders>
                  <w:top w:val="single" w:sz="4" w:space="0" w:color="auto"/>
                  <w:left w:val="single" w:sz="4" w:space="0" w:color="auto"/>
                  <w:bottom w:val="single" w:sz="4" w:space="0" w:color="auto"/>
                  <w:right w:val="single" w:sz="4" w:space="0" w:color="auto"/>
                </w:tcBorders>
                <w:shd w:val="clear" w:color="auto" w:fill="auto"/>
                <w:hideMark/>
              </w:tcPr>
              <w:p>
                <w:pPr>
                  <w:mirrorIndents/>
                  <w:jc w:val="both"/>
                  <w:rPr>
                    <w:b/>
                    <w:bCs/>
                    <w:szCs w:val="24"/>
                    <w:lang w:eastAsia="lt-LT"/>
                  </w:rPr>
                </w:pPr>
                <w:r>
                  <w:rPr>
                    <w:b/>
                    <w:bCs/>
                    <w:szCs w:val="24"/>
                    <w:lang w:eastAsia="lt-LT"/>
                  </w:rPr>
                  <w:t>IŠ VISO</w:t>
                </w:r>
              </w:p>
            </w:tc>
            <w:tc>
              <w:tcPr>
                <w:tcW w:w="1530" w:type="dxa"/>
                <w:tcBorders>
                  <w:top w:val="single" w:sz="4" w:space="0" w:color="auto"/>
                  <w:left w:val="nil"/>
                  <w:bottom w:val="single" w:sz="4" w:space="0" w:color="auto"/>
                  <w:right w:val="single" w:sz="4" w:space="0" w:color="auto"/>
                </w:tcBorders>
                <w:shd w:val="clear" w:color="auto" w:fill="auto"/>
                <w:vAlign w:val="center"/>
              </w:tcPr>
              <w:p>
                <w:pPr>
                  <w:jc w:val="right"/>
                  <w:rPr>
                    <w:b/>
                    <w:bCs/>
                    <w:szCs w:val="24"/>
                  </w:rPr>
                </w:pPr>
                <w:r>
                  <w:rPr>
                    <w:b/>
                    <w:bCs/>
                  </w:rPr>
                  <w:t>17 978 765</w:t>
                </w:r>
              </w:p>
            </w:tc>
          </w:tr>
        </w:tbl>
        <w:p>
          <w:pPr>
            <w:jc w:val="center"/>
            <w:rPr>
              <w:b/>
              <w:bCs/>
              <w:szCs w:val="24"/>
              <w:lang w:eastAsia="lt-LT"/>
            </w:rPr>
          </w:pPr>
        </w:p>
        <w:p>
          <w:pPr>
            <w:jc w:val="center"/>
            <w:rPr>
              <w:b/>
              <w:bCs/>
              <w:szCs w:val="24"/>
              <w:lang w:eastAsia="lt-LT"/>
            </w:rPr>
          </w:pPr>
        </w:p>
        <w:p>
          <w:pPr>
            <w:jc w:val="center"/>
            <w:rPr>
              <w:szCs w:val="24"/>
              <w:lang w:eastAsia="lt-LT"/>
            </w:rPr>
          </w:pPr>
          <w:r>
            <w:rPr>
              <w:szCs w:val="24"/>
              <w:lang w:eastAsia="lt-LT"/>
            </w:rPr>
            <w:t>_______________________</w:t>
          </w:r>
        </w:p>
        <w:p>
          <w:pPr>
            <w:jc w:val="center"/>
            <w:rPr>
              <w:szCs w:val="24"/>
              <w:lang w:eastAsia="lt-LT"/>
            </w:rPr>
          </w:pPr>
        </w:p>
        <w:p>
          <w:pPr>
            <w:rPr>
              <w:szCs w:val="24"/>
            </w:rPr>
          </w:pPr>
        </w:p>
        <w:p>
          <w:pPr>
            <w:ind w:firstLine="5954"/>
            <w:rPr>
              <w:szCs w:val="24"/>
            </w:rPr>
            <w:sectPr>
              <w:pgSz w:w="11906" w:h="16838"/>
              <w:pgMar w:top="1418" w:right="851" w:bottom="1134" w:left="1701" w:header="567" w:footer="567" w:gutter="0"/>
              <w:pgNumType w:start="1"/>
              <w:cols w:space="1296"/>
              <w:titlePg/>
              <w:docGrid w:linePitch="360"/>
            </w:sectPr>
          </w:pPr>
        </w:p>
        <w:p>
          <w:pPr>
            <w:tabs>
              <w:tab w:val="center" w:pos="4819"/>
              <w:tab w:val="right" w:pos="9638"/>
            </w:tabs>
          </w:pPr>
        </w:p>
      </w:sdtContent>
    </w:sdt>
    <w:sdt>
      <w:sdtPr>
        <w:alias w:val="3 pr."/>
        <w:tag w:val="part_daf08178210b4f389109823d72abc67f"/>
        <w:lock w:val="sdtLocked"/>
        <w:richText/>
      </w:sdtPr>
      <w:sdtContent>
        <w:p>
          <w:pPr>
            <w:ind w:firstLine="6768"/>
            <w:rPr>
              <w:szCs w:val="24"/>
              <w:lang w:eastAsia="lt-LT"/>
            </w:rPr>
          </w:pPr>
          <w:r>
            <w:rPr>
              <w:szCs w:val="24"/>
              <w:lang w:eastAsia="lt-LT"/>
            </w:rPr>
            <w:t>Lietuvos Respublikos</w:t>
          </w:r>
        </w:p>
        <w:p>
          <w:pPr>
            <w:ind w:firstLine="6768"/>
            <w:rPr>
              <w:szCs w:val="24"/>
              <w:lang w:eastAsia="lt-LT"/>
            </w:rPr>
          </w:pPr>
          <w:r>
            <w:rPr>
              <w:szCs w:val="24"/>
              <w:lang w:eastAsia="lt-LT"/>
            </w:rPr>
            <w:t>2025</w:t>
          </w:r>
          <w:r>
            <w:rPr>
              <w:szCs w:val="24"/>
            </w:rPr>
            <w:t>–2027</w:t>
          </w:r>
          <w:r>
            <w:rPr>
              <w:szCs w:val="24"/>
              <w:lang w:eastAsia="lt-LT"/>
            </w:rPr>
            <w:t xml:space="preserve"> metų biudžeto</w:t>
          </w:r>
        </w:p>
        <w:p>
          <w:pPr>
            <w:ind w:firstLine="6768"/>
            <w:rPr>
              <w:szCs w:val="24"/>
              <w:lang w:eastAsia="lt-LT"/>
            </w:rPr>
          </w:pPr>
          <w:r>
            <w:rPr>
              <w:szCs w:val="24"/>
              <w:lang w:eastAsia="lt-LT"/>
            </w:rPr>
            <w:t>patvirtinimo įstatymo</w:t>
          </w:r>
        </w:p>
        <w:p>
          <w:pPr>
            <w:ind w:firstLine="6768"/>
            <w:rPr>
              <w:szCs w:val="24"/>
              <w:lang w:eastAsia="lt-LT"/>
            </w:rPr>
          </w:pPr>
          <w:sdt>
            <w:sdtPr>
              <w:alias w:val="Numeris"/>
              <w:tag w:val="nr_daf08178210b4f389109823d72abc67f"/>
              <w:lock w:val="sdtLocked"/>
              <w:richText/>
            </w:sdtPr>
            <w:sdtContent>
              <w:r>
                <w:rPr>
                  <w:szCs w:val="24"/>
                  <w:lang w:eastAsia="lt-LT"/>
                </w:rPr>
                <w:t>3</w:t>
              </w:r>
            </w:sdtContent>
          </w:sdt>
          <w:r>
            <w:rPr>
              <w:szCs w:val="24"/>
              <w:lang w:eastAsia="lt-LT"/>
            </w:rPr>
            <w:t xml:space="preserve"> priedas</w:t>
          </w:r>
        </w:p>
        <w:p>
          <w:pPr>
            <w:spacing w:line="360" w:lineRule="auto"/>
            <w:rPr>
              <w:szCs w:val="24"/>
            </w:rPr>
          </w:pPr>
        </w:p>
        <w:sdt>
          <w:sdtPr>
            <w:alias w:val="Pavadinimas"/>
            <w:tag w:val="title_daf08178210b4f389109823d72abc67f"/>
            <w:lock w:val="sdtLocked"/>
            <w:richText/>
          </w:sdtPr>
          <w:sdtContent>
            <w:p>
              <w:pPr>
                <w:jc w:val="center"/>
                <w:rPr>
                  <w:b/>
                  <w:szCs w:val="24"/>
                </w:rPr>
              </w:pPr>
              <w:r>
                <w:rPr>
                  <w:b/>
                  <w:szCs w:val="24"/>
                </w:rPr>
                <w:t>LIETUVOS RESPUBLIKOS</w:t>
              </w:r>
            </w:p>
            <w:p>
              <w:pPr>
                <w:jc w:val="center"/>
                <w:rPr>
                  <w:b/>
                  <w:szCs w:val="24"/>
                </w:rPr>
              </w:pPr>
              <w:r>
                <w:rPr>
                  <w:b/>
                  <w:bCs/>
                  <w:szCs w:val="24"/>
                  <w:lang w:eastAsia="lt-LT"/>
                </w:rPr>
                <w:t>2025</w:t>
              </w:r>
              <w:r>
                <w:rPr>
                  <w:b/>
                  <w:bCs/>
                  <w:szCs w:val="24"/>
                </w:rPr>
                <w:t>–2027</w:t>
              </w:r>
              <w:r>
                <w:rPr>
                  <w:b/>
                  <w:bCs/>
                  <w:szCs w:val="24"/>
                  <w:lang w:eastAsia="lt-LT"/>
                </w:rPr>
                <w:t xml:space="preserve"> </w:t>
              </w:r>
              <w:r>
                <w:rPr>
                  <w:b/>
                  <w:bCs/>
                  <w:szCs w:val="24"/>
                </w:rPr>
                <w:t>METŲ</w:t>
              </w:r>
              <w:r>
                <w:rPr>
                  <w:b/>
                  <w:szCs w:val="24"/>
                </w:rPr>
                <w:t xml:space="preserve"> VALSTYBĖS BIUDŽETO ASIGNAVIMAI</w:t>
              </w:r>
            </w:p>
          </w:sdtContent>
        </w:sdt>
        <w:tbl>
          <w:tblPr>
            <w:tblW w:w="9678" w:type="dxa"/>
            <w:tblInd w:w="-108" w:type="dxa"/>
            <w:tblLook w:val="04A0" w:firstRow="1" w:lastRow="0" w:firstColumn="1" w:lastColumn="0" w:noHBand="0" w:noVBand="1"/>
          </w:tblPr>
          <w:tblGrid>
            <w:gridCol w:w="18"/>
            <w:gridCol w:w="5504"/>
            <w:gridCol w:w="1440"/>
            <w:gridCol w:w="1358"/>
            <w:gridCol w:w="1358"/>
          </w:tblGrid>
          <w:tr>
            <w:trPr>
              <w:trHeight w:val="312"/>
              <w:tblHeader/>
            </w:trPr>
            <w:tc>
              <w:tcPr>
                <w:tcW w:w="5522" w:type="dxa"/>
                <w:gridSpan w:val="2"/>
                <w:tcBorders>
                  <w:top w:val="nil"/>
                  <w:left w:val="nil"/>
                  <w:bottom w:val="single" w:sz="4" w:space="0" w:color="auto"/>
                  <w:right w:val="nil"/>
                </w:tcBorders>
                <w:shd w:val="clear" w:color="auto" w:fill="auto"/>
                <w:hideMark/>
              </w:tcPr>
              <w:p>
                <w:pPr>
                  <w:rPr>
                    <w:szCs w:val="24"/>
                    <w:lang w:eastAsia="lt-LT"/>
                  </w:rPr>
                </w:pPr>
              </w:p>
            </w:tc>
            <w:tc>
              <w:tcPr>
                <w:tcW w:w="1440" w:type="dxa"/>
                <w:tcBorders>
                  <w:top w:val="nil"/>
                  <w:left w:val="nil"/>
                  <w:bottom w:val="single" w:sz="4" w:space="0" w:color="auto"/>
                  <w:right w:val="nil"/>
                </w:tcBorders>
                <w:shd w:val="clear" w:color="auto" w:fill="auto"/>
                <w:noWrap/>
                <w:hideMark/>
              </w:tcPr>
              <w:p>
                <w:pPr>
                  <w:jc w:val="right"/>
                  <w:rPr>
                    <w:color w:val="000000"/>
                    <w:szCs w:val="24"/>
                    <w:lang w:eastAsia="lt-LT"/>
                  </w:rPr>
                </w:pPr>
              </w:p>
            </w:tc>
            <w:tc>
              <w:tcPr>
                <w:tcW w:w="1358" w:type="dxa"/>
                <w:tcBorders>
                  <w:top w:val="nil"/>
                  <w:left w:val="nil"/>
                  <w:bottom w:val="single" w:sz="4" w:space="0" w:color="auto"/>
                  <w:right w:val="nil"/>
                </w:tcBorders>
              </w:tcPr>
              <w:p>
                <w:pPr>
                  <w:jc w:val="right"/>
                  <w:rPr>
                    <w:color w:val="000000"/>
                    <w:szCs w:val="24"/>
                    <w:lang w:eastAsia="lt-LT"/>
                  </w:rPr>
                </w:pPr>
              </w:p>
            </w:tc>
            <w:tc>
              <w:tcPr>
                <w:tcW w:w="1358" w:type="dxa"/>
                <w:tcBorders>
                  <w:top w:val="nil"/>
                  <w:left w:val="nil"/>
                  <w:bottom w:val="single" w:sz="4" w:space="0" w:color="auto"/>
                  <w:right w:val="nil"/>
                </w:tcBorders>
              </w:tcPr>
              <w:p>
                <w:pPr>
                  <w:jc w:val="right"/>
                  <w:rPr>
                    <w:color w:val="000000"/>
                    <w:szCs w:val="24"/>
                    <w:lang w:eastAsia="lt-LT"/>
                  </w:rPr>
                </w:pPr>
                <w:r>
                  <w:rPr>
                    <w:color w:val="000000"/>
                    <w:szCs w:val="24"/>
                    <w:lang w:eastAsia="lt-LT"/>
                  </w:rPr>
                  <w:t>Tūkst. Eur</w:t>
                </w:r>
              </w:p>
            </w:tc>
          </w:tr>
          <w:tr>
            <w:trPr>
              <w:trHeight w:val="870"/>
              <w:tblHeader/>
            </w:trPr>
            <w:tc>
              <w:tcPr>
                <w:tcW w:w="552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Valstybės veiklos sritys / valstybės biudžeto asignavimų valdytojai</w:t>
                </w:r>
              </w:p>
            </w:tc>
            <w:tc>
              <w:tcPr>
                <w:tcW w:w="144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2025 m.</w:t>
                </w:r>
              </w:p>
            </w:tc>
            <w:tc>
              <w:tcPr>
                <w:tcW w:w="135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Cs w:val="24"/>
                    <w:lang w:eastAsia="lt-LT"/>
                  </w:rPr>
                </w:pPr>
                <w:r>
                  <w:rPr>
                    <w:b/>
                    <w:bCs/>
                    <w:color w:val="000000"/>
                    <w:szCs w:val="24"/>
                    <w:lang w:eastAsia="lt-LT"/>
                  </w:rPr>
                  <w:t>2026 m.</w:t>
                </w:r>
              </w:p>
            </w:tc>
            <w:tc>
              <w:tcPr>
                <w:tcW w:w="135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Cs w:val="24"/>
                    <w:lang w:eastAsia="lt-LT"/>
                  </w:rPr>
                </w:pPr>
                <w:r>
                  <w:rPr>
                    <w:b/>
                    <w:bCs/>
                    <w:color w:val="000000"/>
                    <w:szCs w:val="24"/>
                    <w:lang w:eastAsia="lt-LT"/>
                  </w:rPr>
                  <w:t>2027 m.</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I SKYRIUS. VALSTYBĖS VALDYMAS, REGIONINĖ POLITIKA IR VIEŠASIS ADMINISTRAVIMAS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264 243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261 857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273 352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Prezidento kanceliarija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8 620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9 078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8 883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Seimo kanceliarija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52 727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55 494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54 248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valstybės kontrolė</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9 084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8 815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8 811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vyriausioji rinkimų komisija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9 078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8 915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29 871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 xml:space="preserve">iš jų asignavimai politinėms partijoms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5 502 </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5 502 </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5 502 </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Vyriausioji tarnybinės etikos komisija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1 596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1 617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1 689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Vyriausybės kanceliarija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22 801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22 309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22 473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 xml:space="preserve">iš jų lėšos kompensacijai už nusavintą Lietuvos žydų privatų turtą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5 285 </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5 285 </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5 285 </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Viešojo valdymo agentūra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3 229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4 338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2 676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vidaus reikalų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157 108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151 291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144 701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II SKYRIUS. APLINKA, MIŠKAI, KLIMATO KAITA IR ŽEMĖS TVARKYMAS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751 159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578 839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652 005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aplinkos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751 159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578 839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652 005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III SKYRIUS. ENERGETIKA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790 568</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743 192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461 802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Valstybinė energetikos reguliavimo taryba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10 116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10 536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10 536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Valstybinė atominės energetikos saugos inspekcija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2 533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2 688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2 508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energetikos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777 919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729 968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448 758</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IV SKYRIUS. VIEŠIEJI FINANSAI IR OFICIALIOJI STATISTIKA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1 769 549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2 078 492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2 431 189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finansų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t>1 745 372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2 053 982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t>2 406 269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iš jų:</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rPr>
                    <w:szCs w:val="24"/>
                    <w:lang w:eastAsia="lt-LT"/>
                  </w:rPr>
                </w:pPr>
              </w:p>
            </w:tc>
            <w:tc>
              <w:tcPr>
                <w:tcW w:w="1358" w:type="dxa"/>
                <w:tcBorders>
                  <w:top w:val="single" w:sz="4" w:space="0" w:color="auto"/>
                  <w:left w:val="single" w:sz="4" w:space="0" w:color="auto"/>
                  <w:bottom w:val="single" w:sz="4" w:space="0" w:color="auto"/>
                  <w:right w:val="single" w:sz="4" w:space="0" w:color="auto"/>
                </w:tcBorders>
              </w:tcPr>
              <w:p>
                <w:pPr>
                  <w:rPr>
                    <w:szCs w:val="24"/>
                    <w:lang w:eastAsia="lt-LT"/>
                  </w:rPr>
                </w:pPr>
              </w:p>
            </w:tc>
            <w:tc>
              <w:tcPr>
                <w:tcW w:w="1358"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 xml:space="preserve">Rezervinio (stabilizavimo) fondo lėšos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71 812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81 624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86 075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 xml:space="preserve">Lietuvos Respublikos Vyriausybės rezervas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1 448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1 448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1 448</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 xml:space="preserve">lėšos tradicinių Lietuvos religinių bendruomenių, bendrijų ir centrų maldos namams atstatyti ir kitoms reikmėms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1 900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1 900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1 900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Valstybės duomenų agentūra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24 177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24 510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24 920</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V SKYRIUS. EKONOMIKOS KONKURENCINGUMAS IR VALSTYBĖS INFORMACINIAI IŠTEKLIAI</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869 357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956 467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364 677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konkurencijos taryba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3 487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3 527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3 522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val="en-US" w:eastAsia="lt-LT"/>
                  </w:rPr>
                </w:pPr>
                <w:r>
                  <w:rPr>
                    <w:szCs w:val="24"/>
                    <w:lang w:eastAsia="lt-LT"/>
                  </w:rPr>
                  <w:t>Lietuvos Respublikos ekonomikos ir inovacijų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861 219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948 427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356 639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Viešųjų pirkimų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4 651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4 513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4 516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VI SKYRIUS. VALSTYBĖS SAUGUMAS IR GYNYBA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szCs w:val="24"/>
                    <w:lang w:eastAsia="lt-LT"/>
                  </w:rPr>
                </w:pPr>
                <w:r>
                  <w:rPr>
                    <w:b/>
                    <w:bCs/>
                    <w:color w:val="000000"/>
                  </w:rPr>
                  <w:t>2 609 166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2 674 776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2 799 781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valstybės saugumo departamentas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53 021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47 605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47 875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specialiųjų tyrimų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18 541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18 666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18 787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krašto apsaugos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2 508 143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2 578 234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2 705 131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iš jų:</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Valstybės gynybos fondo lėšos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240 157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328 052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358 877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tcPr>
              <w:p>
                <w:pPr>
                  <w:rPr>
                    <w:szCs w:val="24"/>
                    <w:highlight w:val="yellow"/>
                    <w:lang w:eastAsia="lt-LT"/>
                  </w:rPr>
                </w:pPr>
                <w:r>
                  <w:rPr>
                    <w:szCs w:val="24"/>
                    <w:lang w:eastAsia="lt-LT"/>
                  </w:rPr>
                  <w:t>lėšos Lietuvos šaulių sąjungai</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20 718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23 031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29 891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vadovybės apsaugos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28 921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29 731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27 448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žvalgybos kontrolierių įstaiga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540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540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540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VII SKYRIUS. VIEŠASIS SAUGUMAS</w:t>
                </w:r>
              </w:p>
            </w:tc>
            <w:tc>
              <w:tcPr>
                <w:tcW w:w="1440" w:type="dxa"/>
                <w:tcBorders>
                  <w:top w:val="nil"/>
                  <w:left w:val="nil"/>
                  <w:bottom w:val="nil"/>
                  <w:right w:val="nil"/>
                </w:tcBorders>
                <w:shd w:val="clear" w:color="auto" w:fill="auto"/>
                <w:noWrap/>
              </w:tcPr>
              <w:p>
                <w:pPr>
                  <w:jc w:val="right"/>
                  <w:rPr>
                    <w:b/>
                    <w:bCs/>
                    <w:szCs w:val="24"/>
                    <w:lang w:eastAsia="lt-LT"/>
                  </w:rPr>
                </w:pPr>
                <w:r>
                  <w:rPr>
                    <w:b/>
                    <w:bCs/>
                    <w:color w:val="000000"/>
                  </w:rPr>
                  <w:t>838 465</w:t>
                </w:r>
              </w:p>
            </w:tc>
            <w:tc>
              <w:tcPr>
                <w:tcW w:w="1358" w:type="dxa"/>
                <w:tcBorders>
                  <w:top w:val="nil"/>
                  <w:left w:val="nil"/>
                  <w:bottom w:val="nil"/>
                  <w:right w:val="nil"/>
                </w:tcBorders>
                <w:shd w:val="clear" w:color="auto" w:fill="auto"/>
              </w:tcPr>
              <w:p>
                <w:pPr>
                  <w:jc w:val="right"/>
                  <w:rPr>
                    <w:b/>
                    <w:bCs/>
                    <w:szCs w:val="24"/>
                    <w:lang w:eastAsia="lt-LT"/>
                  </w:rPr>
                </w:pPr>
                <w:r>
                  <w:rPr>
                    <w:b/>
                    <w:bCs/>
                    <w:color w:val="000000"/>
                  </w:rPr>
                  <w:t>831 093</w:t>
                </w:r>
              </w:p>
            </w:tc>
            <w:tc>
              <w:tcPr>
                <w:tcW w:w="1358" w:type="dxa"/>
                <w:tcBorders>
                  <w:top w:val="nil"/>
                  <w:left w:val="nil"/>
                  <w:bottom w:val="nil"/>
                  <w:right w:val="nil"/>
                </w:tcBorders>
                <w:shd w:val="clear" w:color="auto" w:fill="auto"/>
              </w:tcPr>
              <w:p>
                <w:pPr>
                  <w:jc w:val="right"/>
                  <w:rPr>
                    <w:b/>
                    <w:bCs/>
                    <w:szCs w:val="24"/>
                    <w:lang w:eastAsia="lt-LT"/>
                  </w:rPr>
                </w:pPr>
                <w:r>
                  <w:rPr>
                    <w:b/>
                    <w:bCs/>
                    <w:color w:val="000000"/>
                  </w:rPr>
                  <w:t>796 287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vidaus reikalų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838 465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831 093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796 287</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VIII SKYRIUS. KULTŪRA IR VISUOMENĖS INFORMAVIMAS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471 504</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479 662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479 499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valstybinė kultūros paveldo komisija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483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479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485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Etninės kultūros globos taryba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355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357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353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gyventojų genocido ir rezistencijos tyrimo centras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4 923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4 805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4 805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radijo ir televizijos komisija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1 200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1 200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1 200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Valstybinė lietuvių kalbos komisija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1 063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1 063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1 063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Žurnalistų etikos inspektoriaus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782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782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782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Viešoji įstaiga „Lietuvos nacionalinis radijas ir televizija“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79 642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87 786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97 165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Kultūros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256 778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261 680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249 618</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Tautinių mažumų departamentas prie Lietuvos Respublikos Vyriausybės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1 524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1 524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1 524</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vyriausiojo archyvaro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13 310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13 300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13 495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nacionalinė Martyno Mažvydo biblioteka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14 043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14 275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13 655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nacionalinis muziejus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16 191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19 032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18 577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nacionalinis dailės muziejus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17 249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11 321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11 424</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Nacionalinis M. K. Čiurlionio dailės muziejus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5 720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5 448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5 448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nacionalinis operos ir baleto teatras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21 003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21 103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24 848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nacionalinis dramos teatras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8 092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6 092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6 092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Nacionalinis Kauno dramos teatras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4 319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4 319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4 319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Koncertinė įstaiga Lietuvos nacionalinė filharmonija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8 731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9 035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8 585</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Nacionalinis muziejus Lietuvos Didžiosios Kunigaikštystės valdovų rūmai</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5 548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5 513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5 513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Viešoji įstaiga Medijų rėmimo fondas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10 548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10 548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10 548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IX SKYRIUS. SOCIALINĖ APSAUGA IR UŽIMTUMAS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szCs w:val="24"/>
                    <w:lang w:eastAsia="lt-LT"/>
                  </w:rPr>
                  <w:t>6 720 947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szCs w:val="24"/>
                    <w:lang w:eastAsia="lt-LT"/>
                  </w:rPr>
                  <w:t>7 150 412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szCs w:val="24"/>
                    <w:lang w:eastAsia="lt-LT"/>
                  </w:rPr>
                  <w:t>7 516 039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Nacionalinė šeimos taryba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118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120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socialinės apsaugos ir darbo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6 720 829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7 150 292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7 515 921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X SKYRIUS. TRANSPORTAS IR RYŠIAI</w:t>
                </w:r>
              </w:p>
            </w:tc>
            <w:tc>
              <w:tcPr>
                <w:tcW w:w="1440" w:type="dxa"/>
                <w:tcBorders>
                  <w:top w:val="nil"/>
                  <w:left w:val="nil"/>
                  <w:bottom w:val="nil"/>
                  <w:right w:val="nil"/>
                </w:tcBorders>
                <w:shd w:val="clear" w:color="auto" w:fill="auto"/>
                <w:noWrap/>
              </w:tcPr>
              <w:p>
                <w:pPr>
                  <w:jc w:val="right"/>
                  <w:rPr>
                    <w:b/>
                    <w:bCs/>
                    <w:szCs w:val="24"/>
                    <w:lang w:eastAsia="lt-LT"/>
                  </w:rPr>
                </w:pPr>
                <w:r>
                  <w:rPr>
                    <w:b/>
                    <w:bCs/>
                    <w:color w:val="000000"/>
                  </w:rPr>
                  <w:t>1 143 698</w:t>
                </w:r>
              </w:p>
            </w:tc>
            <w:tc>
              <w:tcPr>
                <w:tcW w:w="1358" w:type="dxa"/>
                <w:tcBorders>
                  <w:top w:val="nil"/>
                  <w:left w:val="nil"/>
                  <w:bottom w:val="nil"/>
                  <w:right w:val="nil"/>
                </w:tcBorders>
                <w:shd w:val="clear" w:color="auto" w:fill="auto"/>
              </w:tcPr>
              <w:p>
                <w:pPr>
                  <w:jc w:val="right"/>
                  <w:rPr>
                    <w:b/>
                    <w:bCs/>
                    <w:szCs w:val="24"/>
                    <w:lang w:eastAsia="lt-LT"/>
                  </w:rPr>
                </w:pPr>
                <w:r>
                  <w:rPr>
                    <w:b/>
                    <w:bCs/>
                    <w:color w:val="000000"/>
                  </w:rPr>
                  <w:t>1 026 330</w:t>
                </w:r>
              </w:p>
            </w:tc>
            <w:tc>
              <w:tcPr>
                <w:tcW w:w="1358" w:type="dxa"/>
                <w:tcBorders>
                  <w:top w:val="nil"/>
                  <w:left w:val="nil"/>
                  <w:bottom w:val="nil"/>
                  <w:right w:val="nil"/>
                </w:tcBorders>
                <w:shd w:val="clear" w:color="auto" w:fill="auto"/>
              </w:tcPr>
              <w:p>
                <w:pPr>
                  <w:jc w:val="right"/>
                  <w:rPr>
                    <w:b/>
                    <w:bCs/>
                    <w:szCs w:val="24"/>
                    <w:lang w:eastAsia="lt-LT"/>
                  </w:rPr>
                </w:pPr>
                <w:r>
                  <w:rPr>
                    <w:b/>
                    <w:bCs/>
                    <w:color w:val="000000"/>
                  </w:rPr>
                  <w:t>878 345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ryšių reguliavimo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9 981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10 360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10 360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susisiekimo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1 133 717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1 015 970</w:t>
                </w:r>
              </w:p>
            </w:tc>
            <w:tc>
              <w:tcPr>
                <w:tcW w:w="1358" w:type="dxa"/>
                <w:tcBorders>
                  <w:top w:val="single" w:sz="4" w:space="0" w:color="auto"/>
                  <w:left w:val="single" w:sz="4" w:space="0" w:color="auto"/>
                  <w:bottom w:val="single" w:sz="4" w:space="0" w:color="auto"/>
                  <w:right w:val="single" w:sz="4" w:space="0" w:color="auto"/>
                </w:tcBorders>
              </w:tcPr>
              <w:p>
                <w:pPr>
                  <w:ind w:firstLine="62"/>
                  <w:jc w:val="right"/>
                  <w:rPr>
                    <w:szCs w:val="24"/>
                    <w:lang w:eastAsia="lt-LT"/>
                  </w:rPr>
                </w:pPr>
                <w:r>
                  <w:rPr>
                    <w:color w:val="000000"/>
                  </w:rPr>
                  <w:t>867 985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XI SKYRIUS. SVEIKATA</w:t>
                </w:r>
              </w:p>
            </w:tc>
            <w:tc>
              <w:tcPr>
                <w:tcW w:w="1440" w:type="dxa"/>
                <w:tcBorders>
                  <w:top w:val="nil"/>
                  <w:left w:val="nil"/>
                  <w:bottom w:val="nil"/>
                  <w:right w:val="nil"/>
                </w:tcBorders>
                <w:shd w:val="clear" w:color="auto" w:fill="auto"/>
                <w:noWrap/>
              </w:tcPr>
              <w:p>
                <w:pPr>
                  <w:jc w:val="right"/>
                  <w:rPr>
                    <w:b/>
                    <w:bCs/>
                    <w:szCs w:val="24"/>
                    <w:lang w:eastAsia="lt-LT"/>
                  </w:rPr>
                </w:pPr>
                <w:r>
                  <w:rPr>
                    <w:b/>
                    <w:bCs/>
                    <w:color w:val="000000"/>
                  </w:rPr>
                  <w:t>1 632 285</w:t>
                </w:r>
              </w:p>
            </w:tc>
            <w:tc>
              <w:tcPr>
                <w:tcW w:w="1358" w:type="dxa"/>
                <w:tcBorders>
                  <w:top w:val="nil"/>
                  <w:left w:val="nil"/>
                  <w:bottom w:val="nil"/>
                  <w:right w:val="nil"/>
                </w:tcBorders>
                <w:shd w:val="clear" w:color="auto" w:fill="auto"/>
              </w:tcPr>
              <w:p>
                <w:pPr>
                  <w:jc w:val="right"/>
                  <w:rPr>
                    <w:b/>
                    <w:bCs/>
                    <w:szCs w:val="24"/>
                    <w:lang w:eastAsia="lt-LT"/>
                  </w:rPr>
                </w:pPr>
                <w:r>
                  <w:rPr>
                    <w:b/>
                    <w:bCs/>
                    <w:color w:val="000000"/>
                  </w:rPr>
                  <w:t>1 658 261</w:t>
                </w:r>
              </w:p>
            </w:tc>
            <w:tc>
              <w:tcPr>
                <w:tcW w:w="1358" w:type="dxa"/>
                <w:tcBorders>
                  <w:top w:val="nil"/>
                  <w:left w:val="nil"/>
                  <w:bottom w:val="nil"/>
                  <w:right w:val="nil"/>
                </w:tcBorders>
                <w:shd w:val="clear" w:color="auto" w:fill="auto"/>
              </w:tcPr>
              <w:p>
                <w:pPr>
                  <w:jc w:val="right"/>
                  <w:rPr>
                    <w:b/>
                    <w:bCs/>
                    <w:szCs w:val="24"/>
                    <w:lang w:eastAsia="lt-LT"/>
                  </w:rPr>
                </w:pPr>
                <w:r>
                  <w:rPr>
                    <w:b/>
                    <w:bCs/>
                    <w:color w:val="000000"/>
                  </w:rPr>
                  <w:t>1 687 330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Nacionalinė sveikatos taryba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107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sveikatos apsaugos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1 630 694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1 656 599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1 685 692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Narkotikų, tabako ir alkoholio kontrolės departamentas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1 484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1 555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1 531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XII SKYRIUS. ŠVIETIMAS, MOKSLAS IR SPORTAS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szCs w:val="24"/>
                    <w:lang w:eastAsia="lt-LT"/>
                  </w:rPr>
                </w:pPr>
                <w:r>
                  <w:rPr>
                    <w:b/>
                    <w:bCs/>
                    <w:color w:val="000000"/>
                  </w:rPr>
                  <w:t>3 410 499</w:t>
                </w:r>
              </w:p>
            </w:tc>
            <w:tc>
              <w:tcPr>
                <w:tcW w:w="1358" w:type="dxa"/>
                <w:tcBorders>
                  <w:top w:val="single" w:sz="4" w:space="0" w:color="auto"/>
                  <w:left w:val="nil"/>
                  <w:bottom w:val="single" w:sz="4" w:space="0" w:color="auto"/>
                  <w:right w:val="single" w:sz="4" w:space="0" w:color="auto"/>
                </w:tcBorders>
                <w:shd w:val="clear" w:color="auto" w:fill="auto"/>
              </w:tcPr>
              <w:p>
                <w:pPr>
                  <w:jc w:val="right"/>
                  <w:rPr>
                    <w:b/>
                    <w:bCs/>
                    <w:szCs w:val="24"/>
                    <w:lang w:eastAsia="lt-LT"/>
                  </w:rPr>
                </w:pPr>
                <w:r>
                  <w:rPr>
                    <w:b/>
                    <w:bCs/>
                    <w:color w:val="000000"/>
                  </w:rPr>
                  <w:t>3 571 923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3 485 953</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akademinės etikos ir procedūrų kontrolieriaus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426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432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432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mokslo taryba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66 449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66 401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66 401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mokslų akademija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8 155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6 613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6 615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švietimo, mokslo ir sporto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2 823 357</w:t>
                </w:r>
              </w:p>
            </w:tc>
            <w:tc>
              <w:tcPr>
                <w:tcW w:w="1358" w:type="dxa"/>
                <w:tcBorders>
                  <w:top w:val="single" w:sz="4" w:space="0" w:color="auto"/>
                  <w:left w:val="nil"/>
                  <w:bottom w:val="single" w:sz="4" w:space="0" w:color="auto"/>
                  <w:right w:val="single" w:sz="4" w:space="0" w:color="auto"/>
                </w:tcBorders>
                <w:shd w:val="clear" w:color="auto" w:fill="auto"/>
              </w:tcPr>
              <w:p>
                <w:pPr>
                  <w:jc w:val="right"/>
                  <w:rPr>
                    <w:szCs w:val="24"/>
                    <w:lang w:eastAsia="lt-LT"/>
                  </w:rPr>
                </w:pPr>
                <w:r>
                  <w:rPr>
                    <w:color w:val="000000"/>
                  </w:rPr>
                  <w:t>2 991 008</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2 905 155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Vilniaus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153 961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153 961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153 961</w:t>
                </w:r>
              </w:p>
            </w:tc>
          </w:tr>
          <w:tr>
            <w:trPr>
              <w:gridBefore w:val="1"/>
              <w:wBefore w:w="18" w:type="dxa"/>
              <w:trHeight w:val="303"/>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 xml:space="preserve">iš jų: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r>
                  <w:rPr>
                    <w:szCs w:val="24"/>
                    <w:lang w:eastAsia="lt-LT"/>
                  </w:rPr>
                  <w:t>lėšos valstybinės reikšmės Vilniaus universiteto bibliotekos veiklai užtikrinti</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5 645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5 645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5 645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Vytauto Didžiojo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45 733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45 733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45 733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Kauno technologijos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60 567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60 567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60 527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Vilniaus Gedimino technikos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45 680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45 680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45 605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Klaipėdos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15 723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15 723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15 723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Mykolo Romerio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12 157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12 157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12 157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sveikatos mokslų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61 129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57 051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57 051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Vilniaus dailės akademija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15 447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15 447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15 447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sporto universitetas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7 607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7 607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7 567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muzikos ir teatro akademija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14 900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14 892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14 877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energetikos institutas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8 452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8 452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8 452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Nacionalinis vėžio institutas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2 749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2 718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2 780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kultūros tyrimų institutas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3 609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3 609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3 609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istorijos institutas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6 040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6 040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6 040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Lietuvių literatūros ir tautosakos institutas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4 288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4 288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4 288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Lietuvių kalbos institutas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3 322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3 313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3 313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socialinių mokslų centras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4 752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4 720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4 719</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Valstybinis mokslinių tyrimų institutas Inovatyvios medicinos centras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3 398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2 918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2 918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agrarinių ir miškų mokslų centras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10 305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10 305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10 305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Gamtos tyrimų centras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11 644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11 639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11 629</w:t>
                </w:r>
              </w:p>
            </w:tc>
          </w:tr>
          <w:tr>
            <w:trPr>
              <w:gridBefore w:val="1"/>
              <w:wBefore w:w="18" w:type="dxa"/>
              <w:trHeight w:val="624"/>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Valstybinis mokslinių tyrimų institutas Fizinių ir technologijos mokslų centras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20 379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20 379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20 379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Kauno kunigų seminarija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122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122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122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Vilniaus Šv. Juozapo kunigų seminarija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XIII SKYRIUS. TEISINGUMAS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365 013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364 577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365 673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Konstitucinis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2 755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2 921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2 612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Aukščiausiasis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5 873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5 873</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5 873</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vyriausiasis administracinis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3 916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3 916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3 916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apeliacinis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5 709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5 709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5 709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rPr>
                  <w:t>Vilniaus apygardos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8 456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8 456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8 456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Kauno apygardos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6 598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6 598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6 598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Klaipėdos apygardos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3 999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3 999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3 999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Šiaulių apygardos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2 860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2 860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2 860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Panevėžio apygardos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2 854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2 854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2 854</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Vilniaus miesto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14 852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14 852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14 852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Kauno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11 864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11 864</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11 864</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Klaipėdos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8 389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8 389</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8 389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Šiaulių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7 425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7 425</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7 425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Panevėžio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5 762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5 762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5 762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Alytaus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4 292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4 292</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4 292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Marijampolės apylinkės teismas</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3 566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3 566</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3 566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Tauragės apylinkės teismas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3 346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3 346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3 346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Telšių apylinkės teismas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2 649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2 649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2 649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Utenos apylinkės teismas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4 471</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4 471</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4 471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Vilniaus regiono apylinkės teismas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5 466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5 466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5 466</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Regionų administracinis teismas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7 493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7 501</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7 501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Nacionalinė teismų administracija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15 506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15 990</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16 647</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generalinė prokuratūra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58 653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58 615</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58 615</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Seimo kontrolierių įstaiga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1 808</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1 819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1 802</w:t>
                </w:r>
              </w:p>
            </w:tc>
          </w:tr>
          <w:tr>
            <w:trPr>
              <w:gridBefore w:val="1"/>
              <w:wBefore w:w="18" w:type="dxa"/>
              <w:trHeight w:val="280"/>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vaiko teisių apsaugos kontrolieriaus įstaiga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879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872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849</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Lygių galimybių kontrolieriaus tarnyba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957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933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921</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teisingumo ministerija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157 969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157 018</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157 822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administracinių ginčų komisija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3 526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3 473</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3 475</w:t>
                </w:r>
              </w:p>
            </w:tc>
          </w:tr>
          <w:tr>
            <w:trPr>
              <w:gridBefore w:val="1"/>
              <w:wBefore w:w="18" w:type="dxa"/>
              <w:trHeight w:val="341"/>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Mokestinių ginčų komisija prie Lietuvos Respublikos Vyriausybės</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922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882</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868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Valstybinė duomenų apsaugos inspekcija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szCs w:val="24"/>
                    <w:lang w:eastAsia="lt-LT"/>
                  </w:rPr>
                </w:pPr>
                <w:r>
                  <w:rPr>
                    <w:color w:val="000000"/>
                  </w:rPr>
                  <w:t>2 198</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2 206</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eastAsia="lt-LT"/>
                  </w:rPr>
                </w:pPr>
                <w:r>
                  <w:rPr>
                    <w:color w:val="000000"/>
                  </w:rPr>
                  <w:t>2 214</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XIV SKYRIUS. UŽSIENIO POLITIKA</w:t>
                </w:r>
              </w:p>
            </w:tc>
            <w:tc>
              <w:tcPr>
                <w:tcW w:w="1440" w:type="dxa"/>
                <w:tcBorders>
                  <w:top w:val="single" w:sz="4" w:space="0" w:color="auto"/>
                  <w:left w:val="nil"/>
                  <w:bottom w:val="single" w:sz="4" w:space="0" w:color="auto"/>
                  <w:right w:val="single" w:sz="4" w:space="0" w:color="auto"/>
                </w:tcBorders>
                <w:shd w:val="clear" w:color="auto" w:fill="auto"/>
                <w:noWrap/>
              </w:tcPr>
              <w:p>
                <w:pPr>
                  <w:jc w:val="right"/>
                  <w:rPr>
                    <w:b/>
                    <w:bCs/>
                    <w:szCs w:val="24"/>
                    <w:lang w:eastAsia="lt-LT"/>
                  </w:rPr>
                </w:pPr>
                <w:r>
                  <w:rPr>
                    <w:b/>
                    <w:bCs/>
                    <w:color w:val="000000"/>
                  </w:rPr>
                  <w:t>129 577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162 097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169 100</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užsienio reikalų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129 577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162 097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169 100</w:t>
                </w:r>
              </w:p>
            </w:tc>
          </w:tr>
          <w:tr>
            <w:trPr>
              <w:gridBefore w:val="1"/>
              <w:wBefore w:w="18" w:type="dxa"/>
              <w:trHeight w:val="936"/>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 xml:space="preserve">XV SKYRIUS. ŽEMĖS IR MAISTO ŪKIS, KAIMO PLĖTRA, ŽUVININKYSTĖ IR VETERINARIJA </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szCs w:val="24"/>
                    <w:lang w:eastAsia="lt-LT"/>
                  </w:rPr>
                </w:pPr>
                <w:r>
                  <w:rPr>
                    <w:b/>
                    <w:bCs/>
                    <w:color w:val="000000"/>
                  </w:rPr>
                  <w:t>1 255 357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1 085 769</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1 086 222</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žemės ūkio ministerija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1 224 200</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1 054 368</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1 054 568</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Valstybinė maisto ir veterinarijos tarnyba</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color w:val="000000"/>
                  </w:rPr>
                  <w:t>31 157</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31 401</w:t>
                </w:r>
              </w:p>
            </w:tc>
            <w:tc>
              <w:tcPr>
                <w:tcW w:w="1358"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color w:val="000000"/>
                  </w:rPr>
                  <w:t>31 654</w:t>
                </w:r>
              </w:p>
            </w:tc>
          </w:tr>
          <w:tr>
            <w:trPr>
              <w:gridBefore w:val="1"/>
              <w:wBefore w:w="18" w:type="dxa"/>
              <w:trHeight w:val="312"/>
            </w:trPr>
            <w:tc>
              <w:tcPr>
                <w:tcW w:w="5504" w:type="dxa"/>
                <w:tcBorders>
                  <w:top w:val="single" w:sz="4" w:space="0" w:color="auto"/>
                  <w:left w:val="single" w:sz="4" w:space="0" w:color="auto"/>
                  <w:bottom w:val="single" w:sz="4" w:space="0" w:color="auto"/>
                  <w:right w:val="single" w:sz="4" w:space="0" w:color="auto"/>
                </w:tcBorders>
                <w:shd w:val="clear" w:color="auto" w:fill="auto"/>
                <w:hideMark/>
              </w:tcPr>
              <w:p>
                <w:pPr>
                  <w:rPr>
                    <w:b/>
                    <w:bCs/>
                    <w:szCs w:val="24"/>
                    <w:lang w:eastAsia="lt-LT"/>
                  </w:rPr>
                </w:pPr>
                <w:r>
                  <w:rPr>
                    <w:b/>
                    <w:bCs/>
                    <w:szCs w:val="24"/>
                    <w:lang w:eastAsia="lt-LT"/>
                  </w:rPr>
                  <w:t>IŠ VISO</w:t>
                </w:r>
              </w:p>
            </w:tc>
            <w:tc>
              <w:tcPr>
                <w:tcW w:w="1440"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szCs w:val="24"/>
                    <w:lang w:eastAsia="lt-LT"/>
                  </w:rPr>
                </w:pPr>
                <w:r>
                  <w:rPr>
                    <w:b/>
                    <w:bCs/>
                    <w:color w:val="000000"/>
                  </w:rPr>
                  <w:t>23 021 387</w:t>
                </w:r>
              </w:p>
            </w:tc>
            <w:tc>
              <w:tcPr>
                <w:tcW w:w="1358" w:type="dxa"/>
                <w:tcBorders>
                  <w:top w:val="single" w:sz="4" w:space="0" w:color="auto"/>
                  <w:left w:val="nil"/>
                  <w:bottom w:val="single" w:sz="4" w:space="0" w:color="auto"/>
                  <w:right w:val="single" w:sz="4" w:space="0" w:color="auto"/>
                </w:tcBorders>
                <w:shd w:val="clear" w:color="auto" w:fill="auto"/>
              </w:tcPr>
              <w:p>
                <w:pPr>
                  <w:jc w:val="right"/>
                  <w:rPr>
                    <w:b/>
                    <w:bCs/>
                    <w:szCs w:val="24"/>
                    <w:lang w:eastAsia="lt-LT"/>
                  </w:rPr>
                </w:pPr>
                <w:r>
                  <w:rPr>
                    <w:b/>
                    <w:bCs/>
                    <w:color w:val="000000"/>
                  </w:rPr>
                  <w:t>23 623 747</w:t>
                </w:r>
              </w:p>
            </w:tc>
            <w:tc>
              <w:tcPr>
                <w:tcW w:w="1358" w:type="dxa"/>
                <w:tcBorders>
                  <w:top w:val="single" w:sz="4" w:space="0" w:color="auto"/>
                  <w:left w:val="single" w:sz="4" w:space="0" w:color="auto"/>
                  <w:bottom w:val="single" w:sz="4" w:space="0" w:color="auto"/>
                  <w:right w:val="single" w:sz="4" w:space="0" w:color="auto"/>
                </w:tcBorders>
                <w:shd w:val="clear" w:color="auto" w:fill="auto"/>
              </w:tcPr>
              <w:p>
                <w:pPr>
                  <w:jc w:val="right"/>
                  <w:rPr>
                    <w:b/>
                    <w:bCs/>
                    <w:szCs w:val="24"/>
                    <w:lang w:eastAsia="lt-LT"/>
                  </w:rPr>
                </w:pPr>
                <w:r>
                  <w:rPr>
                    <w:b/>
                    <w:bCs/>
                    <w:color w:val="000000"/>
                  </w:rPr>
                  <w:t>23 447 254</w:t>
                </w:r>
              </w:p>
            </w:tc>
          </w:tr>
        </w:tbl>
        <w:p>
          <w:pPr>
            <w:jc w:val="center"/>
            <w:rPr>
              <w:szCs w:val="24"/>
            </w:rPr>
          </w:pPr>
          <w:r>
            <w:rPr>
              <w:szCs w:val="24"/>
            </w:rPr>
            <w:t>_______________________</w:t>
          </w:r>
        </w:p>
        <w:p>
          <w:pPr>
            <w:rPr>
              <w:szCs w:val="24"/>
            </w:rPr>
            <w:sectPr>
              <w:pgSz w:w="11906" w:h="16838"/>
              <w:pgMar w:top="1418" w:right="851" w:bottom="1134" w:left="1701" w:header="567" w:footer="567" w:gutter="0"/>
              <w:pgNumType w:start="1"/>
              <w:cols w:space="1296"/>
              <w:titlePg/>
              <w:docGrid w:linePitch="360"/>
            </w:sectPr>
          </w:pPr>
        </w:p>
        <w:p>
          <w:pPr>
            <w:tabs>
              <w:tab w:val="center" w:pos="4819"/>
              <w:tab w:val="right" w:pos="9638"/>
            </w:tabs>
          </w:pPr>
        </w:p>
      </w:sdtContent>
    </w:sdt>
    <w:sdt>
      <w:sdtPr>
        <w:alias w:val="4 pr."/>
        <w:tag w:val="part_1054463761814a3889d1b8485ceaf2aa"/>
        <w:lock w:val="sdtLocked"/>
        <w:richText/>
      </w:sdtPr>
      <w:sdtContent>
        <w:p>
          <w:pPr>
            <w:ind w:firstLine="6480"/>
            <w:rPr>
              <w:szCs w:val="24"/>
              <w:lang w:eastAsia="lt-LT"/>
            </w:rPr>
          </w:pPr>
          <w:r>
            <w:rPr>
              <w:szCs w:val="24"/>
              <w:lang w:eastAsia="lt-LT"/>
            </w:rPr>
            <w:t>Lietuvos Respublikos</w:t>
          </w:r>
        </w:p>
        <w:p>
          <w:pPr>
            <w:ind w:firstLine="6480"/>
            <w:rPr>
              <w:szCs w:val="24"/>
              <w:lang w:eastAsia="lt-LT"/>
            </w:rPr>
          </w:pPr>
          <w:r>
            <w:rPr>
              <w:szCs w:val="24"/>
              <w:lang w:eastAsia="lt-LT"/>
            </w:rPr>
            <w:t>2025</w:t>
          </w:r>
          <w:r>
            <w:rPr>
              <w:szCs w:val="24"/>
            </w:rPr>
            <w:t>–2027</w:t>
          </w:r>
          <w:r>
            <w:rPr>
              <w:szCs w:val="24"/>
              <w:lang w:eastAsia="lt-LT"/>
            </w:rPr>
            <w:t xml:space="preserve"> metų biudžeto</w:t>
          </w:r>
        </w:p>
        <w:p>
          <w:pPr>
            <w:ind w:firstLine="6480"/>
            <w:rPr>
              <w:szCs w:val="24"/>
              <w:lang w:eastAsia="lt-LT"/>
            </w:rPr>
          </w:pPr>
          <w:r>
            <w:rPr>
              <w:szCs w:val="24"/>
              <w:lang w:eastAsia="lt-LT"/>
            </w:rPr>
            <w:t>patvirtinimo įstatymo</w:t>
          </w:r>
        </w:p>
        <w:p>
          <w:pPr>
            <w:ind w:firstLine="6480"/>
            <w:rPr>
              <w:szCs w:val="24"/>
              <w:lang w:eastAsia="lt-LT"/>
            </w:rPr>
          </w:pPr>
          <w:sdt>
            <w:sdtPr>
              <w:alias w:val="Numeris"/>
              <w:tag w:val="nr_1054463761814a3889d1b8485ceaf2aa"/>
              <w:lock w:val="sdtLocked"/>
              <w:richText/>
            </w:sdtPr>
            <w:sdtContent>
              <w:r>
                <w:rPr>
                  <w:szCs w:val="24"/>
                  <w:lang w:eastAsia="lt-LT"/>
                </w:rPr>
                <w:t>4</w:t>
              </w:r>
            </w:sdtContent>
          </w:sdt>
          <w:r>
            <w:rPr>
              <w:szCs w:val="24"/>
              <w:lang w:eastAsia="lt-LT"/>
            </w:rPr>
            <w:t xml:space="preserve"> priedas</w:t>
          </w:r>
        </w:p>
        <w:p>
          <w:pPr>
            <w:ind w:firstLine="5670"/>
            <w:jc w:val="center"/>
            <w:rPr>
              <w:szCs w:val="24"/>
              <w:lang w:eastAsia="lt-LT"/>
            </w:rPr>
          </w:pPr>
        </w:p>
        <w:p>
          <w:pPr>
            <w:jc w:val="center"/>
            <w:rPr>
              <w:b/>
              <w:bCs/>
              <w:color w:val="000000"/>
              <w:szCs w:val="24"/>
              <w:lang w:eastAsia="lt-LT"/>
            </w:rPr>
          </w:pPr>
          <w:sdt>
            <w:sdtPr>
              <w:alias w:val="Pavadinimas"/>
              <w:tag w:val="title_1054463761814a3889d1b8485ceaf2aa"/>
              <w:lock w:val="sdtLocked"/>
              <w:richText/>
            </w:sdtPr>
            <w:sdtContent>
              <w:r>
                <w:rPr>
                  <w:b/>
                  <w:bCs/>
                  <w:color w:val="000000"/>
                  <w:szCs w:val="24"/>
                  <w:lang w:eastAsia="lt-LT"/>
                </w:rPr>
                <w:t>BIUDŽETINIŲ ĮSTAIGŲ, KURIOS YRA VALSTYBĖS BIUDŽETO ASIGNAVIMŲ VALDYTOJOS, 2025</w:t>
              </w:r>
              <w:r>
                <w:rPr>
                  <w:b/>
                  <w:bCs/>
                  <w:szCs w:val="24"/>
                  <w:lang w:eastAsia="lt-LT"/>
                </w:rPr>
                <w:t xml:space="preserve"> </w:t>
              </w:r>
              <w:r>
                <w:rPr>
                  <w:b/>
                  <w:bCs/>
                  <w:color w:val="000000"/>
                  <w:szCs w:val="24"/>
                  <w:lang w:eastAsia="lt-LT"/>
                </w:rPr>
                <w:t>METŲ PAJAMOS</w:t>
              </w:r>
            </w:sdtContent>
          </w:sdt>
        </w:p>
        <w:p>
          <w:pPr>
            <w:jc w:val="center"/>
            <w:rPr>
              <w:szCs w:val="24"/>
              <w:lang w:eastAsia="lt-LT"/>
            </w:rPr>
          </w:pPr>
        </w:p>
        <w:p>
          <w:pPr>
            <w:jc w:val="right"/>
            <w:rPr>
              <w:szCs w:val="24"/>
              <w:lang w:eastAsia="lt-LT"/>
            </w:rPr>
          </w:pPr>
          <w:r>
            <w:rPr>
              <w:szCs w:val="24"/>
              <w:lang w:eastAsia="lt-LT"/>
            </w:rPr>
            <w:t>Tūkst. Eur</w:t>
          </w:r>
        </w:p>
        <w:tbl>
          <w:tblPr>
            <w:tblW w:w="9405" w:type="dxa"/>
            <w:tblInd w:w="88" w:type="dxa"/>
            <w:tblLook w:val="04A0" w:firstRow="1" w:lastRow="0" w:firstColumn="1" w:lastColumn="0" w:noHBand="0" w:noVBand="1"/>
          </w:tblPr>
          <w:tblGrid>
            <w:gridCol w:w="8187"/>
            <w:gridCol w:w="1218"/>
          </w:tblGrid>
          <w:tr>
            <w:trPr>
              <w:trHeight w:val="1997"/>
              <w:tblHeader/>
            </w:trPr>
            <w:tc>
              <w:tcPr>
                <w:tcW w:w="818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Valstybės veiklos sritys / biudžetinės įstaigos, kurios yra valstybės biudžeto asignavimų valdytojos</w:t>
                </w:r>
              </w:p>
            </w:tc>
            <w:tc>
              <w:tcPr>
                <w:tcW w:w="1218"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Iš viso</w:t>
                </w:r>
              </w:p>
            </w:tc>
          </w:tr>
          <w:tr>
            <w:trPr>
              <w:trHeight w:val="332"/>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b/>
                    <w:bCs/>
                    <w:color w:val="000000"/>
                    <w:szCs w:val="24"/>
                    <w:lang w:eastAsia="lt-LT"/>
                  </w:rPr>
                </w:pPr>
                <w:r>
                  <w:rPr>
                    <w:b/>
                    <w:bCs/>
                    <w:color w:val="000000"/>
                    <w:szCs w:val="24"/>
                    <w:lang w:eastAsia="lt-LT"/>
                  </w:rPr>
                  <w:t>I SKYRIUS. VALSTYBĖS VALDYMAS, REGIONINĖ POLITIKA IR VIEŠASIS ADMINISTRAVIMAS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szCs w:val="24"/>
                    <w:lang w:eastAsia="lt-LT"/>
                  </w:rPr>
                </w:pPr>
                <w:r>
                  <w:rPr>
                    <w:b/>
                    <w:bCs/>
                    <w:szCs w:val="24"/>
                    <w:lang w:eastAsia="lt-LT"/>
                  </w:rPr>
                  <w:t>52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Prezidento kanceliarija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Seimo kanceliarija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Vyriausybės kanceliarija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vidaus reikalų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II SKYRIUS. APLINKA, MIŠKAI, KLIMATO KAITA IR ŽEMĖS TVARKYMAS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67 713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aplinkos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67 713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III SKYRIUS. ENERGETIKA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10 070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Valstybinė energetikos reguliavimo taryba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10 070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IV SKYRIUS. VIEŠIEJI FINANSAI IR OFICIALIOJI STATISTIKA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82 502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finansų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82 482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Valstybės duomenų agentūra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20</w:t>
                </w:r>
              </w:p>
            </w:tc>
          </w:tr>
          <w:tr>
            <w:trPr>
              <w:trHeight w:val="630"/>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b/>
                    <w:bCs/>
                    <w:color w:val="000000"/>
                    <w:szCs w:val="24"/>
                    <w:lang w:eastAsia="lt-LT"/>
                  </w:rPr>
                </w:pPr>
                <w:r>
                  <w:rPr>
                    <w:b/>
                    <w:bCs/>
                    <w:color w:val="000000"/>
                    <w:szCs w:val="24"/>
                    <w:lang w:eastAsia="lt-LT"/>
                  </w:rPr>
                  <w:t>V SKYRIUS. EKONOMIKOS KONKURENCINGUMAS IR VALSTYBĖS INFORMACINIAI IŠTEKLIAI</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41 872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ekonomikos ir inovacijų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41 672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konkurencijos taryba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tcPr>
              <w:p>
                <w:pPr>
                  <w:rPr>
                    <w:b/>
                    <w:bCs/>
                    <w:color w:val="000000"/>
                    <w:szCs w:val="24"/>
                    <w:lang w:eastAsia="lt-LT"/>
                  </w:rPr>
                </w:pPr>
                <w:r>
                  <w:rPr>
                    <w:b/>
                    <w:bCs/>
                    <w:color w:val="000000"/>
                    <w:szCs w:val="24"/>
                    <w:lang w:eastAsia="lt-LT"/>
                  </w:rPr>
                  <w:t>VI SKYRIUS. VALSTYBĖS SAUGUMAS IR GYNYBA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241 254</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krašto apsaugos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241 102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valstybės saugumo departamentas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150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specialiųjų tyrimų tarnyba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VII SKYRIUS. VIEŠASIS SAUGUMAS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10 248</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szCs w:val="24"/>
                    <w:lang w:eastAsia="lt-LT"/>
                  </w:rPr>
                </w:pPr>
                <w:r>
                  <w:rPr>
                    <w:szCs w:val="24"/>
                    <w:lang w:eastAsia="lt-LT"/>
                  </w:rPr>
                  <w:t>Lietuvos Respublikos vidaus reikalų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szCs w:val="24"/>
                    <w:lang w:eastAsia="lt-LT"/>
                  </w:rPr>
                </w:pPr>
                <w:r>
                  <w:rPr>
                    <w:szCs w:val="24"/>
                    <w:lang w:eastAsia="lt-LT"/>
                  </w:rPr>
                  <w:t>10 248</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tcPr>
              <w:p>
                <w:pPr>
                  <w:rPr>
                    <w:b/>
                    <w:bCs/>
                    <w:color w:val="000000"/>
                    <w:szCs w:val="24"/>
                    <w:lang w:eastAsia="lt-LT"/>
                  </w:rPr>
                </w:pPr>
                <w:r>
                  <w:rPr>
                    <w:b/>
                    <w:bCs/>
                    <w:color w:val="000000"/>
                    <w:szCs w:val="24"/>
                    <w:lang w:eastAsia="lt-LT"/>
                  </w:rPr>
                  <w:t>VIII SKYRIUS. KULTŪRA IR VISUOMENĖS INFORMAVIMAS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28 536</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kultūros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17 511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vyriausiojo archyvaro tarnyba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645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gyventojų genocido ir rezistencijos tyrimo centras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180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nacionalinė Martyno Mažvydo biblioteka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350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nacionalinis muziejus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500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nacionalinis dailės muziejus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500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Nacionalinis M. K. Čiurlionio dailės muziejus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500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nacionalinis operos ir baleto teatras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4 000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nacionalinis dramos teatras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1 000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Koncertinė įstaiga Lietuvos nacionalinė filharmonija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800</w:t>
                </w:r>
              </w:p>
            </w:tc>
          </w:tr>
          <w:tr>
            <w:trPr>
              <w:trHeight w:val="368"/>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Nacionalinis muziejus Lietuvos Didžiosios Kunigaikštystės valdovų rūmai</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450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radijo ir televizijos komisija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1 200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Nacionalinis Kauno dramos teatras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900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tcPr>
              <w:p>
                <w:pPr>
                  <w:rPr>
                    <w:b/>
                    <w:bCs/>
                    <w:color w:val="000000"/>
                    <w:szCs w:val="24"/>
                    <w:lang w:eastAsia="lt-LT"/>
                  </w:rPr>
                </w:pPr>
                <w:r>
                  <w:rPr>
                    <w:b/>
                    <w:bCs/>
                    <w:color w:val="000000"/>
                    <w:szCs w:val="24"/>
                    <w:lang w:eastAsia="lt-LT"/>
                  </w:rPr>
                  <w:t>IX SKYRIUS. SOCIALINĖ APSAUGA IR UŽIMTUMAS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38 220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socialinės apsaugos ir darbo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38 220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X SKYRIUS. TRANSPORTAS IR RYŠIAI</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9 859</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susisiekimo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297</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ryšių reguliavimo tarnyba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9 562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XI SKYRIUS. SVEIKATA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6 125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sveikatos apsaugos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6 125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XII SKYRIUS. ŠVIETIMAS, MOKSLAS IR SPORTAS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5 726</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švietimo, mokslo ir sporto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5 213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mokslų akademija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74</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Lietuvių kalbos institutas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29</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istorijos institutas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Lietuvių literatūros ir tautosakos institutas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kultūros tyrimų institutas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socialinių mokslų centras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XIII SKYRIUS. TEISINGUMAS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3 607</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teisingumo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3 498</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Nacionalinė teismų administracija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Aukščiausiasis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generalinė prokuratūra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apeliacinis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Vilniaus apygardos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Kauno apygardos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Klaipėdos apygardos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10</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Šiaulių apygardos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Panevėžio apygardos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Klaipėdos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3</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Panevėžio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Alytaus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Marijampolės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Telšių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Vilniaus regiono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Regionų administracinis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7</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Vilniaus miesto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Kauno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14</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Šiaulių apylinkės teismas</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1</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noWrap/>
                <w:hideMark/>
              </w:tcPr>
              <w:p>
                <w:pPr>
                  <w:rPr>
                    <w:b/>
                    <w:bCs/>
                    <w:color w:val="000000"/>
                    <w:szCs w:val="24"/>
                    <w:lang w:eastAsia="lt-LT"/>
                  </w:rPr>
                </w:pPr>
                <w:r>
                  <w:rPr>
                    <w:b/>
                    <w:bCs/>
                    <w:color w:val="000000"/>
                    <w:szCs w:val="24"/>
                    <w:lang w:eastAsia="lt-LT"/>
                  </w:rPr>
                  <w:t>XIV SKYRIUS. UŽSIENIO POLITIKA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25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užsienio reikalų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25</w:t>
                </w:r>
              </w:p>
            </w:tc>
          </w:tr>
          <w:tr>
            <w:trPr>
              <w:trHeight w:val="630"/>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b/>
                    <w:bCs/>
                    <w:color w:val="000000"/>
                    <w:szCs w:val="24"/>
                    <w:lang w:eastAsia="lt-LT"/>
                  </w:rPr>
                </w:pPr>
                <w:r>
                  <w:rPr>
                    <w:b/>
                    <w:bCs/>
                    <w:color w:val="000000"/>
                    <w:szCs w:val="24"/>
                    <w:lang w:eastAsia="lt-LT"/>
                  </w:rPr>
                  <w:t xml:space="preserve">XV SKYRIUS. ŽEMĖS IR MAISTO ŪKIS, KAIMO PLĖTRA, ŽUVININKYSTĖ IR VETERINARIJA </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4 085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color w:val="000000"/>
                    <w:szCs w:val="24"/>
                    <w:lang w:eastAsia="lt-LT"/>
                  </w:rPr>
                </w:pPr>
                <w:r>
                  <w:rPr>
                    <w:color w:val="000000"/>
                    <w:szCs w:val="24"/>
                    <w:lang w:eastAsia="lt-LT"/>
                  </w:rPr>
                  <w:t>Lietuvos Respublikos žemės ūkio ministerija</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color w:val="000000"/>
                    <w:szCs w:val="24"/>
                    <w:lang w:eastAsia="lt-LT"/>
                  </w:rPr>
                </w:pPr>
                <w:r>
                  <w:rPr>
                    <w:color w:val="000000"/>
                    <w:szCs w:val="24"/>
                    <w:lang w:eastAsia="lt-LT"/>
                  </w:rPr>
                  <w:t>4 085</w:t>
                </w:r>
              </w:p>
            </w:tc>
          </w:tr>
          <w:tr>
            <w:trPr>
              <w:trHeight w:val="315"/>
            </w:trPr>
            <w:tc>
              <w:tcPr>
                <w:tcW w:w="8187" w:type="dxa"/>
                <w:tcBorders>
                  <w:top w:val="single" w:sz="4" w:space="0" w:color="auto"/>
                  <w:left w:val="single" w:sz="4" w:space="0" w:color="auto"/>
                  <w:bottom w:val="single" w:sz="4" w:space="0" w:color="auto"/>
                  <w:right w:val="single" w:sz="4" w:space="0" w:color="auto"/>
                </w:tcBorders>
                <w:shd w:val="clear" w:color="auto" w:fill="auto"/>
                <w:hideMark/>
              </w:tcPr>
              <w:p>
                <w:pPr>
                  <w:rPr>
                    <w:b/>
                    <w:bCs/>
                    <w:color w:val="000000"/>
                    <w:szCs w:val="24"/>
                    <w:lang w:eastAsia="lt-LT"/>
                  </w:rPr>
                </w:pPr>
                <w:r>
                  <w:rPr>
                    <w:b/>
                    <w:bCs/>
                    <w:color w:val="000000"/>
                    <w:szCs w:val="24"/>
                    <w:lang w:eastAsia="lt-LT"/>
                  </w:rPr>
                  <w:t>IŠ VISO</w:t>
                </w:r>
              </w:p>
            </w:tc>
            <w:tc>
              <w:tcPr>
                <w:tcW w:w="1218" w:type="dxa"/>
                <w:tcBorders>
                  <w:top w:val="single" w:sz="4" w:space="0" w:color="auto"/>
                  <w:left w:val="single" w:sz="4" w:space="0" w:color="auto"/>
                  <w:bottom w:val="single" w:sz="4" w:space="0" w:color="auto"/>
                  <w:right w:val="single" w:sz="4" w:space="0" w:color="auto"/>
                </w:tcBorders>
                <w:shd w:val="clear" w:color="auto" w:fill="auto"/>
                <w:noWrap/>
              </w:tcPr>
              <w:p>
                <w:pPr>
                  <w:jc w:val="right"/>
                  <w:rPr>
                    <w:b/>
                    <w:bCs/>
                    <w:color w:val="000000"/>
                    <w:szCs w:val="24"/>
                    <w:lang w:eastAsia="lt-LT"/>
                  </w:rPr>
                </w:pPr>
                <w:r>
                  <w:rPr>
                    <w:b/>
                    <w:bCs/>
                    <w:color w:val="000000"/>
                    <w:szCs w:val="24"/>
                    <w:lang w:eastAsia="lt-LT"/>
                  </w:rPr>
                  <w:t>549 894</w:t>
                </w:r>
              </w:p>
            </w:tc>
          </w:tr>
        </w:tbl>
        <w:p>
          <w:pPr>
            <w:jc w:val="center"/>
            <w:rPr>
              <w:szCs w:val="24"/>
            </w:rPr>
          </w:pPr>
          <w:r>
            <w:rPr>
              <w:szCs w:val="24"/>
            </w:rPr>
            <w:t>_________________________</w:t>
          </w:r>
        </w:p>
        <w:p>
          <w:pPr>
            <w:jc w:val="both"/>
            <w:rPr>
              <w:szCs w:val="24"/>
              <w:lang w:eastAsia="lt-LT"/>
            </w:rPr>
          </w:pPr>
        </w:p>
        <w:p>
          <w:pPr>
            <w:ind w:firstLine="5670"/>
            <w:rPr>
              <w:szCs w:val="24"/>
              <w:lang w:eastAsia="lt-LT"/>
            </w:rPr>
          </w:pPr>
        </w:p>
        <w:p>
          <w:pPr>
            <w:ind w:firstLine="5670"/>
            <w:rPr>
              <w:szCs w:val="24"/>
              <w:lang w:eastAsia="lt-LT"/>
            </w:rPr>
          </w:pPr>
        </w:p>
        <w:p>
          <w:pPr>
            <w:rPr>
              <w:szCs w:val="24"/>
              <w:lang w:eastAsia="lt-LT"/>
            </w:rPr>
            <w:sectPr>
              <w:pgSz w:w="11907" w:h="16840" w:code="9"/>
              <w:pgMar w:top="1134" w:right="851" w:bottom="1134" w:left="1701" w:header="706" w:footer="706" w:gutter="0"/>
              <w:pgNumType w:start="1"/>
              <w:cols w:space="1296"/>
              <w:titlePg/>
              <w:docGrid w:linePitch="326"/>
            </w:sectPr>
          </w:pPr>
        </w:p>
        <w:p>
          <w:pPr>
            <w:tabs>
              <w:tab w:val="center" w:pos="4819"/>
              <w:tab w:val="right" w:pos="9638"/>
            </w:tabs>
          </w:pPr>
        </w:p>
      </w:sdtContent>
    </w:sdt>
    <w:sdt>
      <w:sdtPr>
        <w:alias w:val="5 pr."/>
        <w:tag w:val="part_df6e63e565d344b89498bfd06f3cc9a9"/>
        <w:lock w:val="sdtLocked"/>
        <w:richText/>
      </w:sdtPr>
      <w:sdtContent>
        <w:p>
          <w:pPr>
            <w:ind w:firstLine="6480"/>
            <w:rPr>
              <w:szCs w:val="24"/>
              <w:lang w:eastAsia="lt-LT"/>
            </w:rPr>
          </w:pPr>
          <w:r>
            <w:rPr>
              <w:szCs w:val="24"/>
              <w:lang w:eastAsia="lt-LT"/>
            </w:rPr>
            <w:t>Lietuvos Respublikos</w:t>
          </w:r>
        </w:p>
        <w:p>
          <w:pPr>
            <w:ind w:firstLine="6480"/>
            <w:rPr>
              <w:szCs w:val="24"/>
              <w:lang w:eastAsia="lt-LT"/>
            </w:rPr>
          </w:pPr>
          <w:r>
            <w:rPr>
              <w:szCs w:val="24"/>
              <w:lang w:eastAsia="lt-LT"/>
            </w:rPr>
            <w:t>2025</w:t>
          </w:r>
          <w:r>
            <w:rPr>
              <w:szCs w:val="24"/>
            </w:rPr>
            <w:t>–2027</w:t>
          </w:r>
          <w:r>
            <w:rPr>
              <w:szCs w:val="24"/>
              <w:lang w:eastAsia="lt-LT"/>
            </w:rPr>
            <w:t xml:space="preserve"> metų biudžeto</w:t>
          </w:r>
        </w:p>
        <w:p>
          <w:pPr>
            <w:ind w:firstLine="6480"/>
            <w:rPr>
              <w:szCs w:val="24"/>
              <w:lang w:eastAsia="lt-LT"/>
            </w:rPr>
          </w:pPr>
          <w:r>
            <w:rPr>
              <w:szCs w:val="24"/>
              <w:lang w:eastAsia="lt-LT"/>
            </w:rPr>
            <w:t>patvirtinimo įstatymo</w:t>
          </w:r>
        </w:p>
        <w:p>
          <w:pPr>
            <w:ind w:firstLine="6480"/>
            <w:rPr>
              <w:szCs w:val="24"/>
              <w:lang w:eastAsia="lt-LT"/>
            </w:rPr>
          </w:pPr>
          <w:sdt>
            <w:sdtPr>
              <w:alias w:val="Numeris"/>
              <w:tag w:val="nr_df6e63e565d344b89498bfd06f3cc9a9"/>
              <w:lock w:val="sdtLocked"/>
              <w:richText/>
            </w:sdtPr>
            <w:sdtContent>
              <w:r>
                <w:rPr>
                  <w:szCs w:val="24"/>
                  <w:lang w:eastAsia="lt-LT"/>
                </w:rPr>
                <w:t>5</w:t>
              </w:r>
            </w:sdtContent>
          </w:sdt>
          <w:r>
            <w:rPr>
              <w:szCs w:val="24"/>
              <w:lang w:eastAsia="lt-LT"/>
            </w:rPr>
            <w:t xml:space="preserve"> priedas</w:t>
          </w:r>
        </w:p>
        <w:p>
          <w:pPr>
            <w:ind w:right="4366"/>
            <w:rPr>
              <w:szCs w:val="24"/>
            </w:rPr>
          </w:pPr>
        </w:p>
        <w:sdt>
          <w:sdtPr>
            <w:alias w:val="Pavadinimas"/>
            <w:tag w:val="title_df6e63e565d344b89498bfd06f3cc9a9"/>
            <w:lock w:val="sdtLocked"/>
            <w:richText/>
          </w:sdtPr>
          <w:sdtContent>
            <w:p>
              <w:pPr>
                <w:ind w:left="1140"/>
                <w:jc w:val="center"/>
                <w:rPr>
                  <w:b/>
                  <w:szCs w:val="24"/>
                </w:rPr>
              </w:pPr>
              <w:r>
                <w:rPr>
                  <w:b/>
                  <w:szCs w:val="24"/>
                </w:rPr>
                <w:t>LIETUVOS RESPUBLIKOS</w:t>
              </w:r>
            </w:p>
            <w:p>
              <w:pPr>
                <w:jc w:val="center"/>
                <w:rPr>
                  <w:b/>
                  <w:szCs w:val="24"/>
                </w:rPr>
              </w:pPr>
              <w:r>
                <w:rPr>
                  <w:b/>
                  <w:szCs w:val="24"/>
                </w:rPr>
                <w:t>2025 METŲ SAVIVALDYBIŲ BIUDŽETAMS PROGNOZUOJAMOS PAJAMOS IŠ GYVENTOJŲ PAJAMŲ MOKESČIO IR IŠ JŲ APSKAIČIUOTOS SUMOS SEIMO IR VYRIAUSYBĖS SPRENDIMAMS ĮGYVENDINTI,</w:t>
              </w:r>
            </w:p>
            <w:p>
              <w:pPr>
                <w:jc w:val="center"/>
                <w:rPr>
                  <w:szCs w:val="24"/>
                </w:rPr>
              </w:pPr>
              <w:r>
                <w:rPr>
                  <w:b/>
                  <w:szCs w:val="24"/>
                </w:rPr>
                <w:t xml:space="preserve">SAVIVALDYBIŲ BIUDŽETAMS SKIRIAMŲ PAJAMŲ IŠ GYVENTOJŲ PAJAMŲ MOKESČIO DALYS (PROCENTAIS) </w:t>
              </w:r>
            </w:p>
          </w:sdtContent>
        </w:sdt>
        <w:p>
          <w:pPr>
            <w:jc w:val="center"/>
            <w:rPr>
              <w:szCs w:val="24"/>
            </w:rPr>
          </w:pPr>
        </w:p>
        <w:p>
          <w:pPr>
            <w:ind w:right="-284"/>
            <w:jc w:val="right"/>
            <w:rPr>
              <w:szCs w:val="24"/>
            </w:rPr>
          </w:pPr>
          <w:r>
            <w:rPr>
              <w:szCs w:val="24"/>
            </w:rPr>
            <w:t>Tūkst. Eur</w:t>
          </w:r>
        </w:p>
        <w:tbl>
          <w:tblPr>
            <w:tblW w:w="990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0"/>
            <w:gridCol w:w="1980"/>
            <w:gridCol w:w="1710"/>
            <w:gridCol w:w="1530"/>
            <w:gridCol w:w="1440"/>
            <w:gridCol w:w="1080"/>
          </w:tblGrid>
          <w:tr>
            <w:trPr>
              <w:trHeight w:val="655"/>
              <w:tblHeader/>
            </w:trPr>
            <w:tc>
              <w:tcPr>
                <w:tcW w:w="2160" w:type="dxa"/>
                <w:vMerge w:val="restart"/>
                <w:vAlign w:val="center"/>
              </w:tcPr>
              <w:p>
                <w:pPr>
                  <w:ind w:left="27" w:hanging="27"/>
                  <w:jc w:val="center"/>
                  <w:rPr>
                    <w:szCs w:val="24"/>
                    <w:lang w:eastAsia="lt-LT"/>
                  </w:rPr>
                </w:pPr>
                <w:r>
                  <w:rPr>
                    <w:szCs w:val="24"/>
                    <w:lang w:eastAsia="lt-LT"/>
                  </w:rPr>
                  <w:t>Savivaldybės pavadinimas</w:t>
                </w:r>
              </w:p>
            </w:tc>
            <w:tc>
              <w:tcPr>
                <w:tcW w:w="1980" w:type="dxa"/>
                <w:vMerge w:val="restart"/>
                <w:vAlign w:val="center"/>
              </w:tcPr>
              <w:p>
                <w:pPr>
                  <w:ind w:left="-108" w:right="-108"/>
                  <w:jc w:val="center"/>
                  <w:rPr>
                    <w:szCs w:val="24"/>
                    <w:lang w:eastAsia="lt-LT"/>
                  </w:rPr>
                </w:pPr>
                <w:r>
                  <w:rPr>
                    <w:szCs w:val="24"/>
                    <w:lang w:eastAsia="lt-LT"/>
                  </w:rPr>
                  <w:t>Prognozuojamos pajamos iš gyventojų pajamų mokesčio (toliau – GPM), išskyrus fiksuoto dydžio GPM, mokamą už pajamas, gaunamas iš veiklos, kuria verčiamasi turint verslo liudijimą</w:t>
                </w:r>
              </w:p>
            </w:tc>
            <w:tc>
              <w:tcPr>
                <w:tcW w:w="4680" w:type="dxa"/>
                <w:gridSpan w:val="3"/>
              </w:tcPr>
              <w:p>
                <w:pPr>
                  <w:jc w:val="center"/>
                  <w:rPr>
                    <w:szCs w:val="24"/>
                    <w:lang w:eastAsia="lt-LT"/>
                  </w:rPr>
                </w:pPr>
                <w:r>
                  <w:rPr>
                    <w:szCs w:val="24"/>
                    <w:lang w:eastAsia="lt-LT"/>
                  </w:rPr>
                  <w:t>iš jų – apskaičiuotos sumos, kurios naudojamos kintamajai GPM daliai (proc.) apskaičiuoti</w:t>
                </w:r>
              </w:p>
            </w:tc>
            <w:tc>
              <w:tcPr>
                <w:tcW w:w="1080" w:type="dxa"/>
                <w:vMerge w:val="restart"/>
                <w:vAlign w:val="center"/>
              </w:tcPr>
              <w:p>
                <w:pPr>
                  <w:ind w:left="-107" w:firstLine="141"/>
                  <w:jc w:val="center"/>
                  <w:rPr>
                    <w:szCs w:val="24"/>
                    <w:lang w:eastAsia="lt-LT"/>
                  </w:rPr>
                </w:pPr>
                <w:r>
                  <w:rPr>
                    <w:szCs w:val="24"/>
                    <w:lang w:eastAsia="lt-LT"/>
                  </w:rPr>
                  <w:t>Pajamų iš GPM dalys (proc.)</w:t>
                </w:r>
              </w:p>
            </w:tc>
          </w:tr>
          <w:tr>
            <w:trPr>
              <w:cantSplit/>
              <w:trHeight w:val="2558"/>
              <w:tblHeader/>
            </w:trPr>
            <w:tc>
              <w:tcPr>
                <w:tcW w:w="2160" w:type="dxa"/>
                <w:vMerge/>
                <w:vAlign w:val="center"/>
              </w:tcPr>
              <w:p>
                <w:pPr>
                  <w:ind w:left="27" w:hanging="27"/>
                  <w:rPr>
                    <w:b/>
                    <w:bCs/>
                    <w:szCs w:val="24"/>
                    <w:lang w:eastAsia="lt-LT"/>
                  </w:rPr>
                </w:pPr>
              </w:p>
            </w:tc>
            <w:tc>
              <w:tcPr>
                <w:tcW w:w="1980" w:type="dxa"/>
                <w:vMerge/>
              </w:tcPr>
              <w:p>
                <w:pPr>
                  <w:jc w:val="center"/>
                  <w:rPr>
                    <w:b/>
                    <w:bCs/>
                    <w:szCs w:val="24"/>
                    <w:lang w:eastAsia="lt-LT"/>
                  </w:rPr>
                </w:pPr>
              </w:p>
            </w:tc>
            <w:tc>
              <w:tcPr>
                <w:tcW w:w="1710" w:type="dxa"/>
                <w:vAlign w:val="center"/>
              </w:tcPr>
              <w:p>
                <w:pPr>
                  <w:jc w:val="center"/>
                  <w:rPr>
                    <w:szCs w:val="24"/>
                    <w:lang w:eastAsia="lt-LT"/>
                  </w:rPr>
                </w:pPr>
                <w:r>
                  <w:rPr>
                    <w:szCs w:val="24"/>
                    <w:lang w:eastAsia="lt-LT"/>
                  </w:rPr>
                  <w:t>2018–2024 metų sumos kintamajai gyventojų pajamų mokesčio daliai apskaičiuoti</w:t>
                </w:r>
              </w:p>
            </w:tc>
            <w:tc>
              <w:tcPr>
                <w:tcW w:w="1530" w:type="dxa"/>
                <w:vAlign w:val="center"/>
              </w:tcPr>
              <w:p>
                <w:pPr>
                  <w:ind w:left="-110"/>
                  <w:jc w:val="center"/>
                  <w:rPr>
                    <w:szCs w:val="24"/>
                    <w:lang w:eastAsia="lt-LT"/>
                  </w:rPr>
                </w:pPr>
                <w:r>
                  <w:rPr>
                    <w:szCs w:val="24"/>
                    <w:lang w:eastAsia="lt-LT"/>
                  </w:rPr>
                  <w:t>darbo užmokesčiui dėl minimaliosios mėnesinės algos padidinimo didinti</w:t>
                </w:r>
              </w:p>
            </w:tc>
            <w:tc>
              <w:tcPr>
                <w:tcW w:w="1440" w:type="dxa"/>
                <w:vAlign w:val="center"/>
              </w:tcPr>
              <w:p>
                <w:pPr>
                  <w:ind w:right="-114"/>
                  <w:jc w:val="center"/>
                  <w:rPr>
                    <w:szCs w:val="24"/>
                    <w:lang w:eastAsia="lt-LT"/>
                  </w:rPr>
                </w:pPr>
                <w:r>
                  <w:rPr>
                    <w:szCs w:val="24"/>
                    <w:lang w:eastAsia="lt-LT"/>
                  </w:rPr>
                  <w:t>kultūros ir meno darbuotojų darbo užmokesčiui didinti</w:t>
                </w:r>
              </w:p>
            </w:tc>
            <w:tc>
              <w:tcPr>
                <w:tcW w:w="1080" w:type="dxa"/>
                <w:vMerge/>
              </w:tcPr>
              <w:p>
                <w:pPr>
                  <w:jc w:val="center"/>
                  <w:rPr>
                    <w:b/>
                    <w:sz w:val="20"/>
                    <w:szCs w:val="24"/>
                    <w:lang w:eastAsia="lt-LT"/>
                  </w:rPr>
                </w:pPr>
              </w:p>
            </w:tc>
          </w:tr>
          <w:tr>
            <w:trPr>
              <w:trHeight w:val="187"/>
            </w:trPr>
            <w:tc>
              <w:tcPr>
                <w:tcW w:w="2160" w:type="dxa"/>
              </w:tcPr>
              <w:p>
                <w:pPr>
                  <w:ind w:left="27" w:hanging="27"/>
                  <w:rPr>
                    <w:szCs w:val="24"/>
                    <w:lang w:eastAsia="lt-LT"/>
                  </w:rPr>
                </w:pPr>
                <w:r>
                  <w:rPr>
                    <w:szCs w:val="24"/>
                    <w:lang w:eastAsia="lt-LT"/>
                  </w:rPr>
                  <w:t>Vilniaus miesto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726 134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62 122</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6 243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154</w:t>
                </w:r>
              </w:p>
            </w:tc>
            <w:tc>
              <w:tcPr>
                <w:tcW w:w="1080" w:type="dxa"/>
              </w:tcPr>
              <w:p>
                <w:pPr>
                  <w:ind w:right="-113"/>
                  <w:jc w:val="right"/>
                  <w:rPr>
                    <w:szCs w:val="24"/>
                    <w:lang w:val="en-US" w:eastAsia="lt-LT"/>
                  </w:rPr>
                </w:pPr>
                <w:r>
                  <w:rPr>
                    <w:szCs w:val="24"/>
                    <w:lang w:eastAsia="lt-LT"/>
                  </w:rPr>
                  <w:t>20,8804</w:t>
                </w:r>
              </w:p>
            </w:tc>
          </w:tr>
          <w:tr>
            <w:tc>
              <w:tcPr>
                <w:tcW w:w="2160" w:type="dxa"/>
              </w:tcPr>
              <w:p>
                <w:pPr>
                  <w:ind w:left="27" w:hanging="27"/>
                  <w:rPr>
                    <w:szCs w:val="24"/>
                    <w:lang w:eastAsia="lt-LT"/>
                  </w:rPr>
                </w:pPr>
                <w:r>
                  <w:rPr>
                    <w:szCs w:val="24"/>
                    <w:lang w:eastAsia="lt-LT"/>
                  </w:rPr>
                  <w:t>Alytaus miesto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56 815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10 367</w:t>
                </w:r>
              </w:p>
            </w:tc>
            <w:tc>
              <w:tcPr>
                <w:tcW w:w="1530" w:type="dxa"/>
                <w:tcBorders>
                  <w:top w:val="nil"/>
                  <w:left w:val="single" w:sz="4" w:space="0" w:color="auto"/>
                  <w:bottom w:val="single" w:sz="4" w:space="0" w:color="auto"/>
                  <w:right w:val="single" w:sz="4" w:space="0" w:color="auto"/>
                </w:tcBorders>
                <w:shd w:val="clear" w:color="auto" w:fill="auto"/>
              </w:tcPr>
              <w:p>
                <w:pPr>
                  <w:ind w:firstLine="62"/>
                  <w:jc w:val="right"/>
                  <w:rPr>
                    <w:szCs w:val="24"/>
                    <w:lang w:val="en-US" w:eastAsia="lt-LT"/>
                  </w:rPr>
                </w:pPr>
                <w:r>
                  <w:rPr>
                    <w:szCs w:val="24"/>
                    <w:lang w:eastAsia="lt-LT"/>
                  </w:rPr>
                  <w:t>518</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72</w:t>
                </w:r>
              </w:p>
            </w:tc>
            <w:tc>
              <w:tcPr>
                <w:tcW w:w="1080" w:type="dxa"/>
              </w:tcPr>
              <w:p>
                <w:pPr>
                  <w:jc w:val="right"/>
                  <w:rPr>
                    <w:szCs w:val="24"/>
                    <w:lang w:val="en-US" w:eastAsia="lt-LT"/>
                  </w:rPr>
                </w:pPr>
                <w:r>
                  <w:rPr>
                    <w:szCs w:val="24"/>
                    <w:lang w:eastAsia="lt-LT"/>
                  </w:rPr>
                  <w:t>1,6338</w:t>
                </w:r>
              </w:p>
            </w:tc>
          </w:tr>
          <w:tr>
            <w:tc>
              <w:tcPr>
                <w:tcW w:w="2160" w:type="dxa"/>
              </w:tcPr>
              <w:p>
                <w:pPr>
                  <w:ind w:left="27" w:hanging="27"/>
                  <w:rPr>
                    <w:szCs w:val="24"/>
                    <w:lang w:eastAsia="lt-LT"/>
                  </w:rPr>
                </w:pPr>
                <w:r>
                  <w:rPr>
                    <w:szCs w:val="24"/>
                    <w:lang w:eastAsia="lt-LT"/>
                  </w:rPr>
                  <w:t>Birštono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9 835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4 219</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141</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21</w:t>
                </w:r>
              </w:p>
            </w:tc>
            <w:tc>
              <w:tcPr>
                <w:tcW w:w="1080" w:type="dxa"/>
              </w:tcPr>
              <w:p>
                <w:pPr>
                  <w:jc w:val="right"/>
                  <w:rPr>
                    <w:szCs w:val="24"/>
                    <w:lang w:val="en-US" w:eastAsia="lt-LT"/>
                  </w:rPr>
                </w:pPr>
                <w:r>
                  <w:rPr>
                    <w:szCs w:val="24"/>
                    <w:lang w:eastAsia="lt-LT"/>
                  </w:rPr>
                  <w:t>0,2828</w:t>
                </w:r>
              </w:p>
            </w:tc>
          </w:tr>
          <w:tr>
            <w:tc>
              <w:tcPr>
                <w:tcW w:w="2160" w:type="dxa"/>
              </w:tcPr>
              <w:p>
                <w:pPr>
                  <w:ind w:left="27" w:hanging="27"/>
                  <w:rPr>
                    <w:szCs w:val="24"/>
                    <w:lang w:eastAsia="lt-LT"/>
                  </w:rPr>
                </w:pPr>
                <w:r>
                  <w:rPr>
                    <w:szCs w:val="24"/>
                    <w:lang w:eastAsia="lt-LT"/>
                  </w:rPr>
                  <w:t>Druskininkų</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24 913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3 366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161</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30</w:t>
                </w:r>
              </w:p>
            </w:tc>
            <w:tc>
              <w:tcPr>
                <w:tcW w:w="1080" w:type="dxa"/>
              </w:tcPr>
              <w:p>
                <w:pPr>
                  <w:jc w:val="right"/>
                  <w:rPr>
                    <w:szCs w:val="24"/>
                    <w:lang w:val="en-US" w:eastAsia="lt-LT"/>
                  </w:rPr>
                </w:pPr>
                <w:r>
                  <w:rPr>
                    <w:szCs w:val="24"/>
                    <w:lang w:eastAsia="lt-LT"/>
                  </w:rPr>
                  <w:t>0,7164</w:t>
                </w:r>
              </w:p>
            </w:tc>
          </w:tr>
          <w:tr>
            <w:tc>
              <w:tcPr>
                <w:tcW w:w="2160" w:type="dxa"/>
              </w:tcPr>
              <w:p>
                <w:pPr>
                  <w:ind w:left="27" w:hanging="27"/>
                  <w:rPr>
                    <w:szCs w:val="24"/>
                    <w:lang w:eastAsia="lt-LT"/>
                  </w:rPr>
                </w:pPr>
                <w:r>
                  <w:rPr>
                    <w:szCs w:val="24"/>
                    <w:lang w:eastAsia="lt-LT"/>
                  </w:rPr>
                  <w:t>Kauno miesto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365 822</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34 844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1 739</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251</w:t>
                </w:r>
              </w:p>
            </w:tc>
            <w:tc>
              <w:tcPr>
                <w:tcW w:w="1080" w:type="dxa"/>
              </w:tcPr>
              <w:p>
                <w:pPr>
                  <w:jc w:val="right"/>
                  <w:rPr>
                    <w:szCs w:val="24"/>
                    <w:lang w:val="en-US" w:eastAsia="lt-LT"/>
                  </w:rPr>
                </w:pPr>
                <w:r>
                  <w:rPr>
                    <w:szCs w:val="24"/>
                    <w:lang w:eastAsia="lt-LT"/>
                  </w:rPr>
                  <w:t>10,5194</w:t>
                </w:r>
              </w:p>
            </w:tc>
          </w:tr>
          <w:tr>
            <w:tc>
              <w:tcPr>
                <w:tcW w:w="2160" w:type="dxa"/>
              </w:tcPr>
              <w:p>
                <w:pPr>
                  <w:ind w:left="27" w:hanging="27"/>
                  <w:rPr>
                    <w:szCs w:val="24"/>
                    <w:lang w:eastAsia="lt-LT"/>
                  </w:rPr>
                </w:pPr>
                <w:r>
                  <w:rPr>
                    <w:szCs w:val="24"/>
                    <w:lang w:eastAsia="lt-LT"/>
                  </w:rPr>
                  <w:t>Klaipėdos miesto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195 697</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28 803</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2 188</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124</w:t>
                </w:r>
              </w:p>
            </w:tc>
            <w:tc>
              <w:tcPr>
                <w:tcW w:w="1080" w:type="dxa"/>
              </w:tcPr>
              <w:p>
                <w:pPr>
                  <w:jc w:val="right"/>
                  <w:rPr>
                    <w:szCs w:val="24"/>
                    <w:lang w:val="en-US" w:eastAsia="lt-LT"/>
                  </w:rPr>
                </w:pPr>
                <w:r>
                  <w:rPr>
                    <w:szCs w:val="24"/>
                    <w:lang w:eastAsia="lt-LT"/>
                  </w:rPr>
                  <w:t>5,6274</w:t>
                </w:r>
              </w:p>
            </w:tc>
          </w:tr>
          <w:tr>
            <w:tc>
              <w:tcPr>
                <w:tcW w:w="2160" w:type="dxa"/>
              </w:tcPr>
              <w:p>
                <w:pPr>
                  <w:ind w:left="27" w:hanging="27"/>
                  <w:rPr>
                    <w:szCs w:val="24"/>
                    <w:lang w:eastAsia="lt-LT"/>
                  </w:rPr>
                </w:pPr>
                <w:r>
                  <w:rPr>
                    <w:szCs w:val="24"/>
                    <w:lang w:eastAsia="lt-LT"/>
                  </w:rPr>
                  <w:t>Marijampolės</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59 420</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7 694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269</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108</w:t>
                </w:r>
              </w:p>
            </w:tc>
            <w:tc>
              <w:tcPr>
                <w:tcW w:w="1080" w:type="dxa"/>
              </w:tcPr>
              <w:p>
                <w:pPr>
                  <w:jc w:val="right"/>
                  <w:rPr>
                    <w:szCs w:val="24"/>
                    <w:lang w:val="en-US" w:eastAsia="lt-LT"/>
                  </w:rPr>
                </w:pPr>
                <w:r>
                  <w:rPr>
                    <w:szCs w:val="24"/>
                    <w:lang w:eastAsia="lt-LT"/>
                  </w:rPr>
                  <w:t>1,7087</w:t>
                </w:r>
              </w:p>
            </w:tc>
          </w:tr>
          <w:tr>
            <w:tc>
              <w:tcPr>
                <w:tcW w:w="2160" w:type="dxa"/>
              </w:tcPr>
              <w:p>
                <w:pPr>
                  <w:ind w:left="27" w:hanging="27"/>
                  <w:rPr>
                    <w:szCs w:val="24"/>
                    <w:lang w:eastAsia="lt-LT"/>
                  </w:rPr>
                </w:pPr>
                <w:r>
                  <w:rPr>
                    <w:szCs w:val="24"/>
                    <w:lang w:eastAsia="lt-LT"/>
                  </w:rPr>
                  <w:t>Neringos</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12 584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1 597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23</w:t>
                </w:r>
              </w:p>
            </w:tc>
            <w:tc>
              <w:tcPr>
                <w:tcW w:w="1080" w:type="dxa"/>
              </w:tcPr>
              <w:p>
                <w:pPr>
                  <w:jc w:val="right"/>
                  <w:rPr>
                    <w:szCs w:val="24"/>
                    <w:lang w:val="en-US" w:eastAsia="lt-LT"/>
                  </w:rPr>
                </w:pPr>
                <w:r>
                  <w:rPr>
                    <w:szCs w:val="24"/>
                    <w:lang w:eastAsia="lt-LT"/>
                  </w:rPr>
                  <w:t>0,3619</w:t>
                </w:r>
              </w:p>
            </w:tc>
          </w:tr>
          <w:tr>
            <w:tc>
              <w:tcPr>
                <w:tcW w:w="2160" w:type="dxa"/>
              </w:tcPr>
              <w:p>
                <w:pPr>
                  <w:ind w:left="27" w:hanging="27"/>
                  <w:rPr>
                    <w:szCs w:val="24"/>
                    <w:lang w:eastAsia="lt-LT"/>
                  </w:rPr>
                </w:pPr>
                <w:r>
                  <w:rPr>
                    <w:szCs w:val="24"/>
                    <w:lang w:eastAsia="lt-LT"/>
                  </w:rPr>
                  <w:t>Palangos miesto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29 526</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4 301</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337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70</w:t>
                </w:r>
              </w:p>
            </w:tc>
            <w:tc>
              <w:tcPr>
                <w:tcW w:w="1080" w:type="dxa"/>
              </w:tcPr>
              <w:p>
                <w:pPr>
                  <w:jc w:val="right"/>
                  <w:rPr>
                    <w:szCs w:val="24"/>
                    <w:lang w:val="en-US" w:eastAsia="lt-LT"/>
                  </w:rPr>
                </w:pPr>
                <w:r>
                  <w:rPr>
                    <w:szCs w:val="24"/>
                    <w:lang w:eastAsia="lt-LT"/>
                  </w:rPr>
                  <w:t>0,8490</w:t>
                </w:r>
              </w:p>
            </w:tc>
          </w:tr>
          <w:tr>
            <w:tc>
              <w:tcPr>
                <w:tcW w:w="2160" w:type="dxa"/>
              </w:tcPr>
              <w:p>
                <w:pPr>
                  <w:ind w:left="27" w:hanging="27"/>
                  <w:rPr>
                    <w:szCs w:val="24"/>
                    <w:lang w:eastAsia="lt-LT"/>
                  </w:rPr>
                </w:pPr>
                <w:r>
                  <w:rPr>
                    <w:szCs w:val="24"/>
                    <w:lang w:eastAsia="lt-LT"/>
                  </w:rPr>
                  <w:t>Panevėžio miesto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93 677</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13 487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1 311</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193</w:t>
                </w:r>
              </w:p>
            </w:tc>
            <w:tc>
              <w:tcPr>
                <w:tcW w:w="1080" w:type="dxa"/>
              </w:tcPr>
              <w:p>
                <w:pPr>
                  <w:jc w:val="right"/>
                  <w:rPr>
                    <w:szCs w:val="24"/>
                    <w:lang w:val="en-US" w:eastAsia="lt-LT"/>
                  </w:rPr>
                </w:pPr>
                <w:r>
                  <w:rPr>
                    <w:szCs w:val="24"/>
                    <w:lang w:eastAsia="lt-LT"/>
                  </w:rPr>
                  <w:t>2,6937</w:t>
                </w:r>
              </w:p>
            </w:tc>
          </w:tr>
          <w:tr>
            <w:tc>
              <w:tcPr>
                <w:tcW w:w="2160" w:type="dxa"/>
              </w:tcPr>
              <w:p>
                <w:pPr>
                  <w:ind w:left="27" w:hanging="27"/>
                  <w:rPr>
                    <w:szCs w:val="24"/>
                    <w:lang w:eastAsia="lt-LT"/>
                  </w:rPr>
                </w:pPr>
                <w:r>
                  <w:rPr>
                    <w:szCs w:val="24"/>
                    <w:lang w:eastAsia="lt-LT"/>
                  </w:rPr>
                  <w:t>Šiaulių miesto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121 131</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15 897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955</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126</w:t>
                </w:r>
              </w:p>
            </w:tc>
            <w:tc>
              <w:tcPr>
                <w:tcW w:w="1080" w:type="dxa"/>
              </w:tcPr>
              <w:p>
                <w:pPr>
                  <w:jc w:val="right"/>
                  <w:rPr>
                    <w:szCs w:val="24"/>
                    <w:lang w:val="en-US" w:eastAsia="lt-LT"/>
                  </w:rPr>
                </w:pPr>
                <w:r>
                  <w:rPr>
                    <w:szCs w:val="24"/>
                    <w:lang w:eastAsia="lt-LT"/>
                  </w:rPr>
                  <w:t>3,4832</w:t>
                </w:r>
              </w:p>
            </w:tc>
          </w:tr>
          <w:tr>
            <w:tc>
              <w:tcPr>
                <w:tcW w:w="2160" w:type="dxa"/>
              </w:tcPr>
              <w:p>
                <w:pPr>
                  <w:ind w:left="27" w:hanging="27"/>
                  <w:rPr>
                    <w:szCs w:val="24"/>
                    <w:lang w:eastAsia="lt-LT"/>
                  </w:rPr>
                </w:pPr>
                <w:r>
                  <w:rPr>
                    <w:szCs w:val="24"/>
                    <w:lang w:eastAsia="lt-LT"/>
                  </w:rPr>
                  <w:t xml:space="preserve">Visagino </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27 126</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8 074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423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38</w:t>
                </w:r>
              </w:p>
            </w:tc>
            <w:tc>
              <w:tcPr>
                <w:tcW w:w="1080" w:type="dxa"/>
              </w:tcPr>
              <w:p>
                <w:pPr>
                  <w:jc w:val="right"/>
                  <w:rPr>
                    <w:szCs w:val="24"/>
                    <w:lang w:val="en-US" w:eastAsia="lt-LT"/>
                  </w:rPr>
                </w:pPr>
                <w:r>
                  <w:rPr>
                    <w:szCs w:val="24"/>
                    <w:lang w:eastAsia="lt-LT"/>
                  </w:rPr>
                  <w:t>0,7800</w:t>
                </w:r>
              </w:p>
            </w:tc>
          </w:tr>
          <w:tr>
            <w:tc>
              <w:tcPr>
                <w:tcW w:w="2160" w:type="dxa"/>
              </w:tcPr>
              <w:p>
                <w:pPr>
                  <w:ind w:left="27" w:hanging="27"/>
                  <w:rPr>
                    <w:szCs w:val="24"/>
                    <w:lang w:eastAsia="lt-LT"/>
                  </w:rPr>
                </w:pPr>
                <w:r>
                  <w:rPr>
                    <w:szCs w:val="24"/>
                    <w:lang w:eastAsia="lt-LT"/>
                  </w:rPr>
                  <w:t>Akmenės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24 664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5 947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359</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47</w:t>
                </w:r>
              </w:p>
            </w:tc>
            <w:tc>
              <w:tcPr>
                <w:tcW w:w="1080" w:type="dxa"/>
              </w:tcPr>
              <w:p>
                <w:pPr>
                  <w:jc w:val="right"/>
                  <w:rPr>
                    <w:szCs w:val="24"/>
                    <w:lang w:val="en-US" w:eastAsia="lt-LT"/>
                  </w:rPr>
                </w:pPr>
                <w:r>
                  <w:rPr>
                    <w:szCs w:val="24"/>
                    <w:lang w:eastAsia="lt-LT"/>
                  </w:rPr>
                  <w:t>0,7092</w:t>
                </w:r>
              </w:p>
            </w:tc>
          </w:tr>
          <w:tr>
            <w:tc>
              <w:tcPr>
                <w:tcW w:w="2160" w:type="dxa"/>
              </w:tcPr>
              <w:p>
                <w:pPr>
                  <w:ind w:left="27" w:hanging="27"/>
                  <w:rPr>
                    <w:szCs w:val="24"/>
                    <w:lang w:eastAsia="lt-LT"/>
                  </w:rPr>
                </w:pPr>
                <w:r>
                  <w:rPr>
                    <w:szCs w:val="24"/>
                    <w:lang w:eastAsia="lt-LT"/>
                  </w:rPr>
                  <w:t>Alytaus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28 429</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2 626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236</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49</w:t>
                </w:r>
              </w:p>
            </w:tc>
            <w:tc>
              <w:tcPr>
                <w:tcW w:w="1080" w:type="dxa"/>
              </w:tcPr>
              <w:p>
                <w:pPr>
                  <w:jc w:val="right"/>
                  <w:rPr>
                    <w:szCs w:val="24"/>
                    <w:lang w:val="en-US" w:eastAsia="lt-LT"/>
                  </w:rPr>
                </w:pPr>
                <w:r>
                  <w:rPr>
                    <w:szCs w:val="24"/>
                    <w:lang w:eastAsia="lt-LT"/>
                  </w:rPr>
                  <w:t>0,8175</w:t>
                </w:r>
              </w:p>
            </w:tc>
          </w:tr>
          <w:tr>
            <w:tc>
              <w:tcPr>
                <w:tcW w:w="2160" w:type="dxa"/>
              </w:tcPr>
              <w:p>
                <w:pPr>
                  <w:ind w:left="27" w:hanging="27"/>
                  <w:rPr>
                    <w:szCs w:val="24"/>
                    <w:lang w:eastAsia="lt-LT"/>
                  </w:rPr>
                </w:pPr>
                <w:r>
                  <w:rPr>
                    <w:szCs w:val="24"/>
                    <w:lang w:eastAsia="lt-LT"/>
                  </w:rPr>
                  <w:t>Anykščių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29 302</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5 784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267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84</w:t>
                </w:r>
              </w:p>
            </w:tc>
            <w:tc>
              <w:tcPr>
                <w:tcW w:w="1080" w:type="dxa"/>
              </w:tcPr>
              <w:p>
                <w:pPr>
                  <w:jc w:val="right"/>
                  <w:rPr>
                    <w:szCs w:val="24"/>
                    <w:lang w:val="en-US" w:eastAsia="lt-LT"/>
                  </w:rPr>
                </w:pPr>
                <w:r>
                  <w:rPr>
                    <w:szCs w:val="24"/>
                    <w:lang w:eastAsia="lt-LT"/>
                  </w:rPr>
                  <w:t>0,8426</w:t>
                </w:r>
              </w:p>
            </w:tc>
          </w:tr>
          <w:tr>
            <w:tc>
              <w:tcPr>
                <w:tcW w:w="2160" w:type="dxa"/>
              </w:tcPr>
              <w:p>
                <w:pPr>
                  <w:ind w:left="27" w:hanging="27"/>
                  <w:rPr>
                    <w:szCs w:val="24"/>
                    <w:lang w:eastAsia="lt-LT"/>
                  </w:rPr>
                </w:pPr>
                <w:r>
                  <w:rPr>
                    <w:szCs w:val="24"/>
                    <w:lang w:eastAsia="lt-LT"/>
                  </w:rPr>
                  <w:t>Biržų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26 766</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4 099</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521</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74</w:t>
                </w:r>
              </w:p>
            </w:tc>
            <w:tc>
              <w:tcPr>
                <w:tcW w:w="1080" w:type="dxa"/>
              </w:tcPr>
              <w:p>
                <w:pPr>
                  <w:jc w:val="right"/>
                  <w:rPr>
                    <w:szCs w:val="24"/>
                    <w:lang w:val="en-US" w:eastAsia="lt-LT"/>
                  </w:rPr>
                </w:pPr>
                <w:r>
                  <w:rPr>
                    <w:szCs w:val="24"/>
                    <w:lang w:eastAsia="lt-LT"/>
                  </w:rPr>
                  <w:t>0,7697</w:t>
                </w:r>
              </w:p>
            </w:tc>
          </w:tr>
          <w:tr>
            <w:tc>
              <w:tcPr>
                <w:tcW w:w="2160" w:type="dxa"/>
              </w:tcPr>
              <w:p>
                <w:pPr>
                  <w:ind w:left="27" w:hanging="27"/>
                  <w:rPr>
                    <w:szCs w:val="24"/>
                    <w:lang w:eastAsia="lt-LT"/>
                  </w:rPr>
                </w:pPr>
                <w:r>
                  <w:rPr>
                    <w:szCs w:val="24"/>
                    <w:lang w:eastAsia="lt-LT"/>
                  </w:rPr>
                  <w:t>Ignalinos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19 073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4 306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217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47</w:t>
                </w:r>
              </w:p>
            </w:tc>
            <w:tc>
              <w:tcPr>
                <w:tcW w:w="1080" w:type="dxa"/>
              </w:tcPr>
              <w:p>
                <w:pPr>
                  <w:jc w:val="right"/>
                  <w:rPr>
                    <w:szCs w:val="24"/>
                    <w:lang w:val="en-US" w:eastAsia="lt-LT"/>
                  </w:rPr>
                </w:pPr>
                <w:r>
                  <w:rPr>
                    <w:szCs w:val="24"/>
                    <w:lang w:eastAsia="lt-LT"/>
                  </w:rPr>
                  <w:t>0,5485</w:t>
                </w:r>
              </w:p>
            </w:tc>
          </w:tr>
          <w:tr>
            <w:tc>
              <w:tcPr>
                <w:tcW w:w="2160" w:type="dxa"/>
              </w:tcPr>
              <w:p>
                <w:pPr>
                  <w:ind w:left="27" w:hanging="27"/>
                  <w:rPr>
                    <w:szCs w:val="24"/>
                    <w:lang w:eastAsia="lt-LT"/>
                  </w:rPr>
                </w:pPr>
                <w:r>
                  <w:rPr>
                    <w:szCs w:val="24"/>
                    <w:lang w:eastAsia="lt-LT"/>
                  </w:rPr>
                  <w:t>Jonavos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49 422</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9 247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367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62</w:t>
                </w:r>
              </w:p>
            </w:tc>
            <w:tc>
              <w:tcPr>
                <w:tcW w:w="1080" w:type="dxa"/>
              </w:tcPr>
              <w:p>
                <w:pPr>
                  <w:jc w:val="right"/>
                  <w:rPr>
                    <w:szCs w:val="24"/>
                    <w:lang w:val="en-US" w:eastAsia="lt-LT"/>
                  </w:rPr>
                </w:pPr>
                <w:r>
                  <w:rPr>
                    <w:szCs w:val="24"/>
                    <w:lang w:eastAsia="lt-LT"/>
                  </w:rPr>
                  <w:t>1,4212</w:t>
                </w:r>
              </w:p>
            </w:tc>
          </w:tr>
          <w:tr>
            <w:tc>
              <w:tcPr>
                <w:tcW w:w="2160" w:type="dxa"/>
              </w:tcPr>
              <w:p>
                <w:pPr>
                  <w:ind w:left="27" w:hanging="27"/>
                  <w:rPr>
                    <w:szCs w:val="24"/>
                    <w:lang w:eastAsia="lt-LT"/>
                  </w:rPr>
                </w:pPr>
                <w:r>
                  <w:rPr>
                    <w:szCs w:val="24"/>
                    <w:lang w:eastAsia="lt-LT"/>
                  </w:rPr>
                  <w:t>Joniškio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24 060</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4 145</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317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56</w:t>
                </w:r>
              </w:p>
            </w:tc>
            <w:tc>
              <w:tcPr>
                <w:tcW w:w="1080" w:type="dxa"/>
              </w:tcPr>
              <w:p>
                <w:pPr>
                  <w:jc w:val="right"/>
                  <w:rPr>
                    <w:szCs w:val="24"/>
                    <w:lang w:val="en-US" w:eastAsia="lt-LT"/>
                  </w:rPr>
                </w:pPr>
                <w:r>
                  <w:rPr>
                    <w:szCs w:val="24"/>
                    <w:lang w:eastAsia="lt-LT"/>
                  </w:rPr>
                  <w:t>0,6919</w:t>
                </w:r>
              </w:p>
            </w:tc>
          </w:tr>
          <w:tr>
            <w:tc>
              <w:tcPr>
                <w:tcW w:w="2160" w:type="dxa"/>
              </w:tcPr>
              <w:p>
                <w:pPr>
                  <w:ind w:left="27" w:hanging="27"/>
                  <w:rPr>
                    <w:szCs w:val="24"/>
                    <w:lang w:eastAsia="lt-LT"/>
                  </w:rPr>
                </w:pPr>
                <w:r>
                  <w:rPr>
                    <w:szCs w:val="24"/>
                    <w:lang w:eastAsia="lt-LT"/>
                  </w:rPr>
                  <w:t>Jurbarko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30 523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4 644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442</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59</w:t>
                </w:r>
              </w:p>
            </w:tc>
            <w:tc>
              <w:tcPr>
                <w:tcW w:w="1080" w:type="dxa"/>
              </w:tcPr>
              <w:p>
                <w:pPr>
                  <w:jc w:val="right"/>
                  <w:rPr>
                    <w:szCs w:val="24"/>
                    <w:lang w:val="en-US" w:eastAsia="lt-LT"/>
                  </w:rPr>
                </w:pPr>
                <w:r>
                  <w:rPr>
                    <w:szCs w:val="24"/>
                    <w:lang w:eastAsia="lt-LT"/>
                  </w:rPr>
                  <w:t>0,8777</w:t>
                </w:r>
              </w:p>
            </w:tc>
          </w:tr>
          <w:tr>
            <w:tc>
              <w:tcPr>
                <w:tcW w:w="2160" w:type="dxa"/>
              </w:tcPr>
              <w:p>
                <w:pPr>
                  <w:ind w:left="27" w:hanging="27"/>
                  <w:rPr>
                    <w:szCs w:val="24"/>
                    <w:lang w:eastAsia="lt-LT"/>
                  </w:rPr>
                </w:pPr>
                <w:r>
                  <w:rPr>
                    <w:szCs w:val="24"/>
                    <w:lang w:eastAsia="lt-LT"/>
                  </w:rPr>
                  <w:t>Kaišiadorių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31 858</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4 529</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547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89</w:t>
                </w:r>
              </w:p>
            </w:tc>
            <w:tc>
              <w:tcPr>
                <w:tcW w:w="1080" w:type="dxa"/>
              </w:tcPr>
              <w:p>
                <w:pPr>
                  <w:jc w:val="right"/>
                  <w:rPr>
                    <w:szCs w:val="24"/>
                    <w:lang w:val="en-US" w:eastAsia="lt-LT"/>
                  </w:rPr>
                </w:pPr>
                <w:r>
                  <w:rPr>
                    <w:szCs w:val="24"/>
                    <w:lang w:eastAsia="lt-LT"/>
                  </w:rPr>
                  <w:t>0,9161</w:t>
                </w:r>
              </w:p>
            </w:tc>
          </w:tr>
          <w:tr>
            <w:tc>
              <w:tcPr>
                <w:tcW w:w="2160" w:type="dxa"/>
              </w:tcPr>
              <w:p>
                <w:pPr>
                  <w:ind w:left="27" w:hanging="27"/>
                  <w:rPr>
                    <w:szCs w:val="24"/>
                    <w:lang w:eastAsia="lt-LT"/>
                  </w:rPr>
                </w:pPr>
                <w:r>
                  <w:rPr>
                    <w:szCs w:val="24"/>
                    <w:lang w:eastAsia="lt-LT"/>
                  </w:rPr>
                  <w:t>Kauno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132 461</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9 766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799</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98</w:t>
                </w:r>
              </w:p>
            </w:tc>
            <w:tc>
              <w:tcPr>
                <w:tcW w:w="1080" w:type="dxa"/>
              </w:tcPr>
              <w:p>
                <w:pPr>
                  <w:jc w:val="right"/>
                  <w:rPr>
                    <w:szCs w:val="24"/>
                    <w:lang w:val="en-US" w:eastAsia="lt-LT"/>
                  </w:rPr>
                </w:pPr>
                <w:r>
                  <w:rPr>
                    <w:szCs w:val="24"/>
                    <w:lang w:eastAsia="lt-LT"/>
                  </w:rPr>
                  <w:t>3,8090</w:t>
                </w:r>
              </w:p>
            </w:tc>
          </w:tr>
          <w:tr>
            <w:tc>
              <w:tcPr>
                <w:tcW w:w="2160" w:type="dxa"/>
              </w:tcPr>
              <w:p>
                <w:pPr>
                  <w:ind w:left="27" w:hanging="27"/>
                  <w:rPr>
                    <w:szCs w:val="24"/>
                    <w:lang w:eastAsia="lt-LT"/>
                  </w:rPr>
                </w:pPr>
                <w:r>
                  <w:rPr>
                    <w:szCs w:val="24"/>
                    <w:lang w:eastAsia="lt-LT"/>
                  </w:rPr>
                  <w:t>Kėdainių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52 055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7 076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771</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92</w:t>
                </w:r>
              </w:p>
            </w:tc>
            <w:tc>
              <w:tcPr>
                <w:tcW w:w="1080" w:type="dxa"/>
              </w:tcPr>
              <w:p>
                <w:pPr>
                  <w:jc w:val="right"/>
                  <w:rPr>
                    <w:szCs w:val="24"/>
                    <w:lang w:val="en-US" w:eastAsia="lt-LT"/>
                  </w:rPr>
                </w:pPr>
                <w:r>
                  <w:rPr>
                    <w:szCs w:val="24"/>
                    <w:lang w:eastAsia="lt-LT"/>
                  </w:rPr>
                  <w:t>1,4969</w:t>
                </w:r>
              </w:p>
            </w:tc>
          </w:tr>
          <w:tr>
            <w:tc>
              <w:tcPr>
                <w:tcW w:w="2160" w:type="dxa"/>
              </w:tcPr>
              <w:p>
                <w:pPr>
                  <w:ind w:left="27" w:hanging="27"/>
                  <w:rPr>
                    <w:szCs w:val="24"/>
                    <w:lang w:eastAsia="lt-LT"/>
                  </w:rPr>
                </w:pPr>
                <w:r>
                  <w:rPr>
                    <w:szCs w:val="24"/>
                    <w:lang w:eastAsia="lt-LT"/>
                  </w:rPr>
                  <w:t>Kelmės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30 478</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5 870</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288</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84</w:t>
                </w:r>
              </w:p>
            </w:tc>
            <w:tc>
              <w:tcPr>
                <w:tcW w:w="1080" w:type="dxa"/>
              </w:tcPr>
              <w:p>
                <w:pPr>
                  <w:jc w:val="right"/>
                  <w:rPr>
                    <w:szCs w:val="24"/>
                    <w:lang w:val="en-US" w:eastAsia="lt-LT"/>
                  </w:rPr>
                </w:pPr>
                <w:r>
                  <w:rPr>
                    <w:szCs w:val="24"/>
                    <w:lang w:eastAsia="lt-LT"/>
                  </w:rPr>
                  <w:t>0,8764</w:t>
                </w:r>
              </w:p>
            </w:tc>
          </w:tr>
          <w:tr>
            <w:tc>
              <w:tcPr>
                <w:tcW w:w="2160" w:type="dxa"/>
              </w:tcPr>
              <w:p>
                <w:pPr>
                  <w:ind w:left="27" w:hanging="27"/>
                  <w:rPr>
                    <w:szCs w:val="24"/>
                    <w:lang w:eastAsia="lt-LT"/>
                  </w:rPr>
                </w:pPr>
                <w:r>
                  <w:rPr>
                    <w:szCs w:val="24"/>
                    <w:lang w:eastAsia="lt-LT"/>
                  </w:rPr>
                  <w:t>Klaipėdos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88 145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8 997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470</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88</w:t>
                </w:r>
              </w:p>
            </w:tc>
            <w:tc>
              <w:tcPr>
                <w:tcW w:w="1080" w:type="dxa"/>
              </w:tcPr>
              <w:p>
                <w:pPr>
                  <w:jc w:val="right"/>
                  <w:rPr>
                    <w:szCs w:val="24"/>
                    <w:lang w:val="en-US" w:eastAsia="lt-LT"/>
                  </w:rPr>
                </w:pPr>
                <w:r>
                  <w:rPr>
                    <w:szCs w:val="24"/>
                    <w:lang w:eastAsia="lt-LT"/>
                  </w:rPr>
                  <w:t>2,5347</w:t>
                </w:r>
              </w:p>
            </w:tc>
          </w:tr>
          <w:tr>
            <w:tc>
              <w:tcPr>
                <w:tcW w:w="2160" w:type="dxa"/>
              </w:tcPr>
              <w:p>
                <w:pPr>
                  <w:ind w:left="27" w:hanging="27"/>
                  <w:rPr>
                    <w:szCs w:val="24"/>
                    <w:lang w:eastAsia="lt-LT"/>
                  </w:rPr>
                </w:pPr>
                <w:r>
                  <w:rPr>
                    <w:szCs w:val="24"/>
                    <w:lang w:eastAsia="lt-LT"/>
                  </w:rPr>
                  <w:t>Kretingos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41 059</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4 907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427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71</w:t>
                </w:r>
              </w:p>
            </w:tc>
            <w:tc>
              <w:tcPr>
                <w:tcW w:w="1080" w:type="dxa"/>
              </w:tcPr>
              <w:p>
                <w:pPr>
                  <w:jc w:val="right"/>
                  <w:rPr>
                    <w:szCs w:val="24"/>
                    <w:lang w:val="en-US" w:eastAsia="lt-LT"/>
                  </w:rPr>
                </w:pPr>
                <w:r>
                  <w:rPr>
                    <w:szCs w:val="24"/>
                    <w:lang w:eastAsia="lt-LT"/>
                  </w:rPr>
                  <w:t>1,1807</w:t>
                </w:r>
              </w:p>
            </w:tc>
          </w:tr>
          <w:tr>
            <w:tc>
              <w:tcPr>
                <w:tcW w:w="2160" w:type="dxa"/>
              </w:tcPr>
              <w:p>
                <w:pPr>
                  <w:ind w:left="27" w:hanging="27"/>
                  <w:rPr>
                    <w:szCs w:val="24"/>
                    <w:lang w:eastAsia="lt-LT"/>
                  </w:rPr>
                </w:pPr>
                <w:r>
                  <w:rPr>
                    <w:szCs w:val="24"/>
                    <w:lang w:eastAsia="lt-LT"/>
                  </w:rPr>
                  <w:t>Kupiškio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19 539</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3 772</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247</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55</w:t>
                </w:r>
              </w:p>
            </w:tc>
            <w:tc>
              <w:tcPr>
                <w:tcW w:w="1080" w:type="dxa"/>
              </w:tcPr>
              <w:p>
                <w:pPr>
                  <w:jc w:val="right"/>
                  <w:rPr>
                    <w:szCs w:val="24"/>
                    <w:lang w:val="en-US" w:eastAsia="lt-LT"/>
                  </w:rPr>
                </w:pPr>
                <w:r>
                  <w:rPr>
                    <w:szCs w:val="24"/>
                    <w:lang w:eastAsia="lt-LT"/>
                  </w:rPr>
                  <w:t>0,5619</w:t>
                </w:r>
              </w:p>
            </w:tc>
          </w:tr>
          <w:tr>
            <w:tc>
              <w:tcPr>
                <w:tcW w:w="2160" w:type="dxa"/>
              </w:tcPr>
              <w:p>
                <w:pPr>
                  <w:ind w:left="27" w:hanging="27"/>
                  <w:rPr>
                    <w:szCs w:val="24"/>
                    <w:lang w:eastAsia="lt-LT"/>
                  </w:rPr>
                </w:pPr>
                <w:r>
                  <w:rPr>
                    <w:szCs w:val="24"/>
                    <w:lang w:eastAsia="lt-LT"/>
                  </w:rPr>
                  <w:t>Lazdijų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20 975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3 485</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183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55</w:t>
                </w:r>
              </w:p>
            </w:tc>
            <w:tc>
              <w:tcPr>
                <w:tcW w:w="1080" w:type="dxa"/>
              </w:tcPr>
              <w:p>
                <w:pPr>
                  <w:jc w:val="right"/>
                  <w:rPr>
                    <w:szCs w:val="24"/>
                    <w:lang w:val="en-US" w:eastAsia="lt-LT"/>
                  </w:rPr>
                </w:pPr>
                <w:r>
                  <w:rPr>
                    <w:szCs w:val="24"/>
                    <w:lang w:eastAsia="lt-LT"/>
                  </w:rPr>
                  <w:t>0,6031</w:t>
                </w:r>
              </w:p>
            </w:tc>
          </w:tr>
          <w:tr>
            <w:tc>
              <w:tcPr>
                <w:tcW w:w="2160" w:type="dxa"/>
              </w:tcPr>
              <w:p>
                <w:pPr>
                  <w:ind w:left="27" w:hanging="27"/>
                  <w:rPr>
                    <w:szCs w:val="24"/>
                    <w:lang w:eastAsia="lt-LT"/>
                  </w:rPr>
                </w:pPr>
                <w:r>
                  <w:rPr>
                    <w:szCs w:val="24"/>
                    <w:lang w:eastAsia="lt-LT"/>
                  </w:rPr>
                  <w:t>Mažeikių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61 090</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10 332</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500</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82</w:t>
                </w:r>
              </w:p>
            </w:tc>
            <w:tc>
              <w:tcPr>
                <w:tcW w:w="1080" w:type="dxa"/>
              </w:tcPr>
              <w:p>
                <w:pPr>
                  <w:jc w:val="right"/>
                  <w:rPr>
                    <w:szCs w:val="24"/>
                    <w:lang w:val="en-US" w:eastAsia="lt-LT"/>
                  </w:rPr>
                </w:pPr>
                <w:r>
                  <w:rPr>
                    <w:szCs w:val="24"/>
                    <w:lang w:eastAsia="lt-LT"/>
                  </w:rPr>
                  <w:t>1,7567</w:t>
                </w:r>
              </w:p>
            </w:tc>
          </w:tr>
          <w:tr>
            <w:tc>
              <w:tcPr>
                <w:tcW w:w="2160" w:type="dxa"/>
              </w:tcPr>
              <w:p>
                <w:pPr>
                  <w:ind w:left="27" w:hanging="27"/>
                  <w:rPr>
                    <w:szCs w:val="24"/>
                    <w:lang w:eastAsia="lt-LT"/>
                  </w:rPr>
                </w:pPr>
                <w:r>
                  <w:rPr>
                    <w:szCs w:val="24"/>
                    <w:lang w:eastAsia="lt-LT"/>
                  </w:rPr>
                  <w:t>Molėtų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20 585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3 323</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60</w:t>
                </w:r>
              </w:p>
            </w:tc>
            <w:tc>
              <w:tcPr>
                <w:tcW w:w="1080" w:type="dxa"/>
              </w:tcPr>
              <w:p>
                <w:pPr>
                  <w:jc w:val="right"/>
                  <w:rPr>
                    <w:szCs w:val="24"/>
                    <w:lang w:val="en-US" w:eastAsia="lt-LT"/>
                  </w:rPr>
                </w:pPr>
                <w:r>
                  <w:rPr>
                    <w:szCs w:val="24"/>
                    <w:lang w:eastAsia="lt-LT"/>
                  </w:rPr>
                  <w:t>0,5919</w:t>
                </w:r>
              </w:p>
            </w:tc>
          </w:tr>
          <w:tr>
            <w:tc>
              <w:tcPr>
                <w:tcW w:w="2160" w:type="dxa"/>
              </w:tcPr>
              <w:p>
                <w:pPr>
                  <w:ind w:left="27" w:hanging="27"/>
                  <w:rPr>
                    <w:szCs w:val="24"/>
                    <w:lang w:eastAsia="lt-LT"/>
                  </w:rPr>
                </w:pPr>
                <w:r>
                  <w:rPr>
                    <w:szCs w:val="24"/>
                    <w:lang w:eastAsia="lt-LT"/>
                  </w:rPr>
                  <w:t>Pakruojo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22 140</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4 177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334</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54</w:t>
                </w:r>
              </w:p>
            </w:tc>
            <w:tc>
              <w:tcPr>
                <w:tcW w:w="1080" w:type="dxa"/>
              </w:tcPr>
              <w:p>
                <w:pPr>
                  <w:jc w:val="right"/>
                  <w:rPr>
                    <w:szCs w:val="24"/>
                    <w:lang w:val="en-US" w:eastAsia="lt-LT"/>
                  </w:rPr>
                </w:pPr>
                <w:r>
                  <w:rPr>
                    <w:szCs w:val="24"/>
                    <w:lang w:eastAsia="lt-LT"/>
                  </w:rPr>
                  <w:t>0,6366</w:t>
                </w:r>
              </w:p>
            </w:tc>
          </w:tr>
          <w:tr>
            <w:tc>
              <w:tcPr>
                <w:tcW w:w="2160" w:type="dxa"/>
              </w:tcPr>
              <w:p>
                <w:pPr>
                  <w:ind w:left="27" w:hanging="27"/>
                  <w:rPr>
                    <w:szCs w:val="24"/>
                    <w:lang w:eastAsia="lt-LT"/>
                  </w:rPr>
                </w:pPr>
                <w:r>
                  <w:rPr>
                    <w:szCs w:val="24"/>
                    <w:lang w:eastAsia="lt-LT"/>
                  </w:rPr>
                  <w:t>Panevėžio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41 423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4 974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555</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88</w:t>
                </w:r>
              </w:p>
            </w:tc>
            <w:tc>
              <w:tcPr>
                <w:tcW w:w="1080" w:type="dxa"/>
              </w:tcPr>
              <w:p>
                <w:pPr>
                  <w:jc w:val="right"/>
                  <w:rPr>
                    <w:szCs w:val="24"/>
                    <w:lang w:val="en-US" w:eastAsia="lt-LT"/>
                  </w:rPr>
                </w:pPr>
                <w:r>
                  <w:rPr>
                    <w:szCs w:val="24"/>
                    <w:lang w:eastAsia="lt-LT"/>
                  </w:rPr>
                  <w:t>1,1911</w:t>
                </w:r>
              </w:p>
            </w:tc>
          </w:tr>
          <w:tr>
            <w:tc>
              <w:tcPr>
                <w:tcW w:w="2160" w:type="dxa"/>
              </w:tcPr>
              <w:p>
                <w:pPr>
                  <w:ind w:left="27" w:hanging="27"/>
                  <w:rPr>
                    <w:szCs w:val="24"/>
                    <w:lang w:eastAsia="lt-LT"/>
                  </w:rPr>
                </w:pPr>
                <w:r>
                  <w:rPr>
                    <w:szCs w:val="24"/>
                    <w:lang w:eastAsia="lt-LT"/>
                  </w:rPr>
                  <w:t>Pasvalio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27 090</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5 011</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535</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78</w:t>
                </w:r>
              </w:p>
            </w:tc>
            <w:tc>
              <w:tcPr>
                <w:tcW w:w="1080" w:type="dxa"/>
              </w:tcPr>
              <w:p>
                <w:pPr>
                  <w:jc w:val="right"/>
                  <w:rPr>
                    <w:szCs w:val="24"/>
                    <w:lang w:val="en-US" w:eastAsia="lt-LT"/>
                  </w:rPr>
                </w:pPr>
                <w:r>
                  <w:rPr>
                    <w:szCs w:val="24"/>
                    <w:lang w:eastAsia="lt-LT"/>
                  </w:rPr>
                  <w:t>0,7790</w:t>
                </w:r>
              </w:p>
            </w:tc>
          </w:tr>
          <w:tr>
            <w:tc>
              <w:tcPr>
                <w:tcW w:w="2160" w:type="dxa"/>
              </w:tcPr>
              <w:p>
                <w:pPr>
                  <w:ind w:left="27" w:hanging="27"/>
                  <w:rPr>
                    <w:szCs w:val="24"/>
                    <w:lang w:eastAsia="lt-LT"/>
                  </w:rPr>
                </w:pPr>
                <w:r>
                  <w:rPr>
                    <w:szCs w:val="24"/>
                    <w:lang w:eastAsia="lt-LT"/>
                  </w:rPr>
                  <w:t>Plungės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37 545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4 865</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562</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49</w:t>
                </w:r>
              </w:p>
            </w:tc>
            <w:tc>
              <w:tcPr>
                <w:tcW w:w="1080" w:type="dxa"/>
              </w:tcPr>
              <w:p>
                <w:pPr>
                  <w:jc w:val="right"/>
                  <w:rPr>
                    <w:szCs w:val="24"/>
                    <w:lang w:val="en-US" w:eastAsia="lt-LT"/>
                  </w:rPr>
                </w:pPr>
                <w:r>
                  <w:rPr>
                    <w:szCs w:val="24"/>
                    <w:lang w:eastAsia="lt-LT"/>
                  </w:rPr>
                  <w:t>1,0796</w:t>
                </w:r>
              </w:p>
            </w:tc>
          </w:tr>
          <w:tr>
            <w:tc>
              <w:tcPr>
                <w:tcW w:w="2160" w:type="dxa"/>
              </w:tcPr>
              <w:p>
                <w:pPr>
                  <w:ind w:left="27" w:hanging="27"/>
                  <w:rPr>
                    <w:szCs w:val="24"/>
                    <w:lang w:eastAsia="lt-LT"/>
                  </w:rPr>
                </w:pPr>
                <w:r>
                  <w:rPr>
                    <w:szCs w:val="24"/>
                    <w:lang w:eastAsia="lt-LT"/>
                  </w:rPr>
                  <w:t>Prienų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28 863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4 524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276</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60</w:t>
                </w:r>
              </w:p>
            </w:tc>
            <w:tc>
              <w:tcPr>
                <w:tcW w:w="1080" w:type="dxa"/>
              </w:tcPr>
              <w:p>
                <w:pPr>
                  <w:jc w:val="right"/>
                  <w:rPr>
                    <w:szCs w:val="24"/>
                    <w:lang w:val="en-US" w:eastAsia="lt-LT"/>
                  </w:rPr>
                </w:pPr>
                <w:r>
                  <w:rPr>
                    <w:szCs w:val="24"/>
                    <w:lang w:eastAsia="lt-LT"/>
                  </w:rPr>
                  <w:t>0,8300</w:t>
                </w:r>
              </w:p>
            </w:tc>
          </w:tr>
          <w:tr>
            <w:tc>
              <w:tcPr>
                <w:tcW w:w="2160" w:type="dxa"/>
              </w:tcPr>
              <w:p>
                <w:pPr>
                  <w:ind w:left="27" w:hanging="27"/>
                  <w:rPr>
                    <w:szCs w:val="24"/>
                    <w:lang w:eastAsia="lt-LT"/>
                  </w:rPr>
                </w:pPr>
                <w:r>
                  <w:rPr>
                    <w:szCs w:val="24"/>
                    <w:lang w:eastAsia="lt-LT"/>
                  </w:rPr>
                  <w:t>Radviliškio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41 188</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7 119</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765</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74</w:t>
                </w:r>
              </w:p>
            </w:tc>
            <w:tc>
              <w:tcPr>
                <w:tcW w:w="1080" w:type="dxa"/>
              </w:tcPr>
              <w:p>
                <w:pPr>
                  <w:jc w:val="right"/>
                  <w:rPr>
                    <w:szCs w:val="24"/>
                    <w:lang w:val="en-US" w:eastAsia="lt-LT"/>
                  </w:rPr>
                </w:pPr>
                <w:r>
                  <w:rPr>
                    <w:szCs w:val="24"/>
                    <w:lang w:eastAsia="lt-LT"/>
                  </w:rPr>
                  <w:t>1,1844</w:t>
                </w:r>
              </w:p>
            </w:tc>
          </w:tr>
          <w:tr>
            <w:tc>
              <w:tcPr>
                <w:tcW w:w="2160" w:type="dxa"/>
              </w:tcPr>
              <w:p>
                <w:pPr>
                  <w:ind w:left="27" w:hanging="27"/>
                  <w:rPr>
                    <w:szCs w:val="24"/>
                    <w:lang w:eastAsia="lt-LT"/>
                  </w:rPr>
                </w:pPr>
                <w:r>
                  <w:rPr>
                    <w:szCs w:val="24"/>
                    <w:lang w:eastAsia="lt-LT"/>
                  </w:rPr>
                  <w:t>Raseinių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33 347</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4 378</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338</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71</w:t>
                </w:r>
              </w:p>
            </w:tc>
            <w:tc>
              <w:tcPr>
                <w:tcW w:w="1080" w:type="dxa"/>
              </w:tcPr>
              <w:p>
                <w:pPr>
                  <w:jc w:val="right"/>
                  <w:rPr>
                    <w:szCs w:val="24"/>
                    <w:lang w:val="en-US" w:eastAsia="lt-LT"/>
                  </w:rPr>
                </w:pPr>
                <w:r>
                  <w:rPr>
                    <w:szCs w:val="24"/>
                    <w:lang w:eastAsia="lt-LT"/>
                  </w:rPr>
                  <w:t>0,9589</w:t>
                </w:r>
              </w:p>
            </w:tc>
          </w:tr>
          <w:tr>
            <w:tc>
              <w:tcPr>
                <w:tcW w:w="2160" w:type="dxa"/>
              </w:tcPr>
              <w:p>
                <w:pPr>
                  <w:ind w:left="27" w:hanging="27"/>
                  <w:rPr>
                    <w:szCs w:val="24"/>
                    <w:lang w:eastAsia="lt-LT"/>
                  </w:rPr>
                </w:pPr>
                <w:r>
                  <w:rPr>
                    <w:szCs w:val="24"/>
                    <w:lang w:eastAsia="lt-LT"/>
                  </w:rPr>
                  <w:t>Rokiškio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33 774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6 495</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484</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85</w:t>
                </w:r>
              </w:p>
            </w:tc>
            <w:tc>
              <w:tcPr>
                <w:tcW w:w="1080" w:type="dxa"/>
              </w:tcPr>
              <w:p>
                <w:pPr>
                  <w:jc w:val="right"/>
                  <w:rPr>
                    <w:szCs w:val="24"/>
                    <w:lang w:val="en-US" w:eastAsia="lt-LT"/>
                  </w:rPr>
                </w:pPr>
                <w:r>
                  <w:rPr>
                    <w:szCs w:val="24"/>
                    <w:lang w:eastAsia="lt-LT"/>
                  </w:rPr>
                  <w:t>0,9712</w:t>
                </w:r>
              </w:p>
            </w:tc>
          </w:tr>
          <w:tr>
            <w:tc>
              <w:tcPr>
                <w:tcW w:w="2160" w:type="dxa"/>
              </w:tcPr>
              <w:p>
                <w:pPr>
                  <w:ind w:left="27" w:hanging="27"/>
                  <w:rPr>
                    <w:szCs w:val="24"/>
                    <w:lang w:eastAsia="lt-LT"/>
                  </w:rPr>
                </w:pPr>
                <w:r>
                  <w:rPr>
                    <w:szCs w:val="24"/>
                    <w:lang w:eastAsia="lt-LT"/>
                  </w:rPr>
                  <w:t>Skuodo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18 765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3 297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209</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37</w:t>
                </w:r>
              </w:p>
            </w:tc>
            <w:tc>
              <w:tcPr>
                <w:tcW w:w="1080" w:type="dxa"/>
              </w:tcPr>
              <w:p>
                <w:pPr>
                  <w:jc w:val="right"/>
                  <w:rPr>
                    <w:szCs w:val="24"/>
                    <w:lang w:val="en-US" w:eastAsia="lt-LT"/>
                  </w:rPr>
                </w:pPr>
                <w:r>
                  <w:rPr>
                    <w:szCs w:val="24"/>
                    <w:lang w:eastAsia="lt-LT"/>
                  </w:rPr>
                  <w:t>0,5396</w:t>
                </w:r>
              </w:p>
            </w:tc>
          </w:tr>
          <w:tr>
            <w:tc>
              <w:tcPr>
                <w:tcW w:w="2160" w:type="dxa"/>
              </w:tcPr>
              <w:p>
                <w:pPr>
                  <w:ind w:left="27" w:hanging="27"/>
                  <w:rPr>
                    <w:szCs w:val="24"/>
                    <w:lang w:eastAsia="lt-LT"/>
                  </w:rPr>
                </w:pPr>
                <w:r>
                  <w:rPr>
                    <w:szCs w:val="24"/>
                    <w:lang w:eastAsia="lt-LT"/>
                  </w:rPr>
                  <w:t>Šakių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31 415</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5 930</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402</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60</w:t>
                </w:r>
              </w:p>
            </w:tc>
            <w:tc>
              <w:tcPr>
                <w:tcW w:w="1080" w:type="dxa"/>
              </w:tcPr>
              <w:p>
                <w:pPr>
                  <w:jc w:val="right"/>
                  <w:rPr>
                    <w:szCs w:val="24"/>
                    <w:lang w:val="en-US" w:eastAsia="lt-LT"/>
                  </w:rPr>
                </w:pPr>
                <w:r>
                  <w:rPr>
                    <w:szCs w:val="24"/>
                    <w:lang w:eastAsia="lt-LT"/>
                  </w:rPr>
                  <w:t>0,9034</w:t>
                </w:r>
              </w:p>
            </w:tc>
          </w:tr>
          <w:tr>
            <w:tc>
              <w:tcPr>
                <w:tcW w:w="2160" w:type="dxa"/>
              </w:tcPr>
              <w:p>
                <w:pPr>
                  <w:ind w:left="27" w:hanging="27"/>
                  <w:rPr>
                    <w:szCs w:val="24"/>
                    <w:lang w:eastAsia="lt-LT"/>
                  </w:rPr>
                </w:pPr>
                <w:r>
                  <w:rPr>
                    <w:szCs w:val="24"/>
                    <w:lang w:eastAsia="lt-LT"/>
                  </w:rPr>
                  <w:t>Šalčininkų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36 864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6 331</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571</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66</w:t>
                </w:r>
              </w:p>
            </w:tc>
            <w:tc>
              <w:tcPr>
                <w:tcW w:w="1080" w:type="dxa"/>
              </w:tcPr>
              <w:p>
                <w:pPr>
                  <w:jc w:val="right"/>
                  <w:rPr>
                    <w:szCs w:val="24"/>
                    <w:lang w:val="en-US" w:eastAsia="lt-LT"/>
                  </w:rPr>
                </w:pPr>
                <w:r>
                  <w:rPr>
                    <w:szCs w:val="24"/>
                    <w:lang w:eastAsia="lt-LT"/>
                  </w:rPr>
                  <w:t>1,0600</w:t>
                </w:r>
              </w:p>
            </w:tc>
          </w:tr>
          <w:tr>
            <w:tc>
              <w:tcPr>
                <w:tcW w:w="2160" w:type="dxa"/>
              </w:tcPr>
              <w:p>
                <w:pPr>
                  <w:ind w:left="27" w:hanging="27"/>
                  <w:rPr>
                    <w:szCs w:val="24"/>
                    <w:lang w:eastAsia="lt-LT"/>
                  </w:rPr>
                </w:pPr>
                <w:r>
                  <w:rPr>
                    <w:szCs w:val="24"/>
                    <w:lang w:eastAsia="lt-LT"/>
                  </w:rPr>
                  <w:t>Šiaulių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46 234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5 832</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418</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70</w:t>
                </w:r>
              </w:p>
            </w:tc>
            <w:tc>
              <w:tcPr>
                <w:tcW w:w="1080" w:type="dxa"/>
              </w:tcPr>
              <w:p>
                <w:pPr>
                  <w:jc w:val="right"/>
                  <w:rPr>
                    <w:szCs w:val="24"/>
                    <w:lang w:val="en-US" w:eastAsia="lt-LT"/>
                  </w:rPr>
                </w:pPr>
                <w:r>
                  <w:rPr>
                    <w:szCs w:val="24"/>
                    <w:lang w:eastAsia="lt-LT"/>
                  </w:rPr>
                  <w:t>1,3295</w:t>
                </w:r>
              </w:p>
            </w:tc>
          </w:tr>
          <w:tr>
            <w:tc>
              <w:tcPr>
                <w:tcW w:w="2160" w:type="dxa"/>
              </w:tcPr>
              <w:p>
                <w:pPr>
                  <w:ind w:left="27" w:hanging="27"/>
                  <w:rPr>
                    <w:szCs w:val="24"/>
                    <w:lang w:eastAsia="lt-LT"/>
                  </w:rPr>
                </w:pPr>
                <w:r>
                  <w:rPr>
                    <w:szCs w:val="24"/>
                    <w:lang w:eastAsia="lt-LT"/>
                  </w:rPr>
                  <w:t>Šilalės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25 669</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4 536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47</w:t>
                </w:r>
              </w:p>
            </w:tc>
            <w:tc>
              <w:tcPr>
                <w:tcW w:w="1080" w:type="dxa"/>
              </w:tcPr>
              <w:p>
                <w:pPr>
                  <w:jc w:val="right"/>
                  <w:rPr>
                    <w:szCs w:val="24"/>
                    <w:lang w:val="en-US" w:eastAsia="lt-LT"/>
                  </w:rPr>
                </w:pPr>
                <w:r>
                  <w:rPr>
                    <w:szCs w:val="24"/>
                    <w:lang w:eastAsia="lt-LT"/>
                  </w:rPr>
                  <w:t>0,7381</w:t>
                </w:r>
              </w:p>
            </w:tc>
          </w:tr>
          <w:tr>
            <w:tc>
              <w:tcPr>
                <w:tcW w:w="2160" w:type="dxa"/>
              </w:tcPr>
              <w:p>
                <w:pPr>
                  <w:ind w:left="27" w:hanging="27"/>
                  <w:rPr>
                    <w:szCs w:val="24"/>
                    <w:lang w:eastAsia="lt-LT"/>
                  </w:rPr>
                </w:pPr>
                <w:r>
                  <w:rPr>
                    <w:szCs w:val="24"/>
                    <w:lang w:eastAsia="lt-LT"/>
                  </w:rPr>
                  <w:t>Šilutės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43 404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5 426</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368</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67</w:t>
                </w:r>
              </w:p>
            </w:tc>
            <w:tc>
              <w:tcPr>
                <w:tcW w:w="1080" w:type="dxa"/>
              </w:tcPr>
              <w:p>
                <w:pPr>
                  <w:jc w:val="right"/>
                  <w:rPr>
                    <w:szCs w:val="24"/>
                    <w:lang w:val="en-US" w:eastAsia="lt-LT"/>
                  </w:rPr>
                </w:pPr>
                <w:r>
                  <w:rPr>
                    <w:szCs w:val="24"/>
                    <w:lang w:eastAsia="lt-LT"/>
                  </w:rPr>
                  <w:t>1,2481</w:t>
                </w:r>
              </w:p>
            </w:tc>
          </w:tr>
          <w:tr>
            <w:tc>
              <w:tcPr>
                <w:tcW w:w="2160" w:type="dxa"/>
              </w:tcPr>
              <w:p>
                <w:pPr>
                  <w:ind w:left="27" w:hanging="27"/>
                  <w:rPr>
                    <w:szCs w:val="24"/>
                    <w:lang w:eastAsia="lt-LT"/>
                  </w:rPr>
                </w:pPr>
                <w:r>
                  <w:rPr>
                    <w:szCs w:val="24"/>
                    <w:lang w:eastAsia="lt-LT"/>
                  </w:rPr>
                  <w:t>Širvintų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17 777</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2 534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242</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38</w:t>
                </w:r>
              </w:p>
            </w:tc>
            <w:tc>
              <w:tcPr>
                <w:tcW w:w="1080" w:type="dxa"/>
              </w:tcPr>
              <w:p>
                <w:pPr>
                  <w:jc w:val="right"/>
                  <w:rPr>
                    <w:szCs w:val="24"/>
                    <w:lang w:val="en-US" w:eastAsia="lt-LT"/>
                  </w:rPr>
                </w:pPr>
                <w:r>
                  <w:rPr>
                    <w:szCs w:val="24"/>
                    <w:lang w:eastAsia="lt-LT"/>
                  </w:rPr>
                  <w:t>0,5112</w:t>
                </w:r>
              </w:p>
            </w:tc>
          </w:tr>
          <w:tr>
            <w:tc>
              <w:tcPr>
                <w:tcW w:w="2160" w:type="dxa"/>
              </w:tcPr>
              <w:p>
                <w:pPr>
                  <w:ind w:left="27" w:hanging="27"/>
                  <w:rPr>
                    <w:szCs w:val="24"/>
                    <w:lang w:eastAsia="lt-LT"/>
                  </w:rPr>
                </w:pPr>
                <w:r>
                  <w:rPr>
                    <w:szCs w:val="24"/>
                    <w:lang w:eastAsia="lt-LT"/>
                  </w:rPr>
                  <w:t>Švenčionių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26 723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4 071</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283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57</w:t>
                </w:r>
              </w:p>
            </w:tc>
            <w:tc>
              <w:tcPr>
                <w:tcW w:w="1080" w:type="dxa"/>
              </w:tcPr>
              <w:p>
                <w:pPr>
                  <w:jc w:val="right"/>
                  <w:rPr>
                    <w:szCs w:val="24"/>
                    <w:lang w:val="en-US" w:eastAsia="lt-LT"/>
                  </w:rPr>
                </w:pPr>
                <w:r>
                  <w:rPr>
                    <w:szCs w:val="24"/>
                    <w:lang w:eastAsia="lt-LT"/>
                  </w:rPr>
                  <w:t>0,7684</w:t>
                </w:r>
              </w:p>
            </w:tc>
          </w:tr>
          <w:tr>
            <w:tc>
              <w:tcPr>
                <w:tcW w:w="2160" w:type="dxa"/>
              </w:tcPr>
              <w:p>
                <w:pPr>
                  <w:ind w:left="27" w:hanging="27"/>
                  <w:rPr>
                    <w:szCs w:val="24"/>
                    <w:lang w:eastAsia="lt-LT"/>
                  </w:rPr>
                </w:pPr>
                <w:r>
                  <w:rPr>
                    <w:szCs w:val="24"/>
                    <w:lang w:eastAsia="lt-LT"/>
                  </w:rPr>
                  <w:t>Tauragės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41 823</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4 697</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453</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79</w:t>
                </w:r>
              </w:p>
            </w:tc>
            <w:tc>
              <w:tcPr>
                <w:tcW w:w="1080" w:type="dxa"/>
              </w:tcPr>
              <w:p>
                <w:pPr>
                  <w:jc w:val="right"/>
                  <w:rPr>
                    <w:szCs w:val="24"/>
                    <w:lang w:val="en-US" w:eastAsia="lt-LT"/>
                  </w:rPr>
                </w:pPr>
                <w:r>
                  <w:rPr>
                    <w:szCs w:val="24"/>
                    <w:lang w:eastAsia="lt-LT"/>
                  </w:rPr>
                  <w:t>1,2026</w:t>
                </w:r>
              </w:p>
            </w:tc>
          </w:tr>
          <w:tr>
            <w:tc>
              <w:tcPr>
                <w:tcW w:w="2160" w:type="dxa"/>
              </w:tcPr>
              <w:p>
                <w:pPr>
                  <w:ind w:left="27" w:hanging="27"/>
                  <w:rPr>
                    <w:szCs w:val="24"/>
                    <w:lang w:eastAsia="lt-LT"/>
                  </w:rPr>
                </w:pPr>
                <w:r>
                  <w:rPr>
                    <w:szCs w:val="24"/>
                    <w:lang w:eastAsia="lt-LT"/>
                  </w:rPr>
                  <w:t>Telšių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44 830</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6 642</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349</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79</w:t>
                </w:r>
              </w:p>
            </w:tc>
            <w:tc>
              <w:tcPr>
                <w:tcW w:w="1080" w:type="dxa"/>
              </w:tcPr>
              <w:p>
                <w:pPr>
                  <w:jc w:val="right"/>
                  <w:rPr>
                    <w:szCs w:val="24"/>
                    <w:lang w:val="en-US" w:eastAsia="lt-LT"/>
                  </w:rPr>
                </w:pPr>
                <w:r>
                  <w:rPr>
                    <w:szCs w:val="24"/>
                    <w:lang w:eastAsia="lt-LT"/>
                  </w:rPr>
                  <w:t>1,2891</w:t>
                </w:r>
              </w:p>
            </w:tc>
          </w:tr>
          <w:tr>
            <w:tc>
              <w:tcPr>
                <w:tcW w:w="2160" w:type="dxa"/>
              </w:tcPr>
              <w:p>
                <w:pPr>
                  <w:ind w:left="27" w:hanging="27"/>
                  <w:rPr>
                    <w:szCs w:val="24"/>
                    <w:lang w:eastAsia="lt-LT"/>
                  </w:rPr>
                </w:pPr>
                <w:r>
                  <w:rPr>
                    <w:szCs w:val="24"/>
                    <w:lang w:eastAsia="lt-LT"/>
                  </w:rPr>
                  <w:t>Trakų rajono</w:t>
                </w:r>
              </w:p>
            </w:tc>
            <w:tc>
              <w:tcPr>
                <w:tcW w:w="198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46 174</w:t>
                </w:r>
              </w:p>
            </w:tc>
            <w:tc>
              <w:tcPr>
                <w:tcW w:w="171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4 264</w:t>
                </w:r>
              </w:p>
            </w:tc>
            <w:tc>
              <w:tcPr>
                <w:tcW w:w="153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555</w:t>
                </w:r>
              </w:p>
            </w:tc>
            <w:tc>
              <w:tcPr>
                <w:tcW w:w="1440" w:type="dxa"/>
                <w:tcBorders>
                  <w:top w:val="nil"/>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54</w:t>
                </w:r>
              </w:p>
            </w:tc>
            <w:tc>
              <w:tcPr>
                <w:tcW w:w="1080" w:type="dxa"/>
              </w:tcPr>
              <w:p>
                <w:pPr>
                  <w:jc w:val="right"/>
                  <w:rPr>
                    <w:szCs w:val="24"/>
                    <w:lang w:val="en-US" w:eastAsia="lt-LT"/>
                  </w:rPr>
                </w:pPr>
                <w:r>
                  <w:rPr>
                    <w:szCs w:val="24"/>
                    <w:lang w:eastAsia="lt-LT"/>
                  </w:rPr>
                  <w:t>1,3278</w:t>
                </w:r>
              </w:p>
            </w:tc>
          </w:tr>
          <w:tr>
            <w:tc>
              <w:tcPr>
                <w:tcW w:w="2160" w:type="dxa"/>
              </w:tcPr>
              <w:p>
                <w:pPr>
                  <w:ind w:left="27" w:hanging="27"/>
                  <w:rPr>
                    <w:szCs w:val="24"/>
                    <w:lang w:eastAsia="lt-LT"/>
                  </w:rPr>
                </w:pPr>
                <w:r>
                  <w:rPr>
                    <w:szCs w:val="24"/>
                    <w:lang w:eastAsia="lt-LT"/>
                  </w:rPr>
                  <w:t>Ukmergės rajono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39 094</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6 255</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520</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82</w:t>
                </w:r>
              </w:p>
            </w:tc>
            <w:tc>
              <w:tcPr>
                <w:tcW w:w="1080" w:type="dxa"/>
              </w:tcPr>
              <w:p>
                <w:pPr>
                  <w:jc w:val="right"/>
                  <w:rPr>
                    <w:szCs w:val="24"/>
                    <w:lang w:val="en-US" w:eastAsia="lt-LT"/>
                  </w:rPr>
                </w:pPr>
                <w:r>
                  <w:rPr>
                    <w:szCs w:val="24"/>
                    <w:lang w:eastAsia="lt-LT"/>
                  </w:rPr>
                  <w:t>1,1242</w:t>
                </w:r>
              </w:p>
            </w:tc>
          </w:tr>
          <w:tr>
            <w:tc>
              <w:tcPr>
                <w:tcW w:w="2160" w:type="dxa"/>
              </w:tcPr>
              <w:p>
                <w:pPr>
                  <w:ind w:left="27" w:hanging="27"/>
                  <w:rPr>
                    <w:szCs w:val="24"/>
                    <w:lang w:eastAsia="lt-LT"/>
                  </w:rPr>
                </w:pPr>
                <w:r>
                  <w:rPr>
                    <w:szCs w:val="24"/>
                    <w:lang w:val="en-US" w:eastAsia="lt-LT"/>
                  </w:rPr>
                  <w:t>Utenos rajono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44 440</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5 578</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582</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72</w:t>
                </w:r>
              </w:p>
            </w:tc>
            <w:tc>
              <w:tcPr>
                <w:tcW w:w="1080" w:type="dxa"/>
              </w:tcPr>
              <w:p>
                <w:pPr>
                  <w:jc w:val="right"/>
                  <w:rPr>
                    <w:szCs w:val="24"/>
                    <w:lang w:val="en-US" w:eastAsia="lt-LT"/>
                  </w:rPr>
                </w:pPr>
                <w:r>
                  <w:rPr>
                    <w:szCs w:val="24"/>
                    <w:lang w:eastAsia="lt-LT"/>
                  </w:rPr>
                  <w:t>1,2779</w:t>
                </w:r>
              </w:p>
            </w:tc>
          </w:tr>
          <w:tr>
            <w:tc>
              <w:tcPr>
                <w:tcW w:w="2160" w:type="dxa"/>
              </w:tcPr>
              <w:p>
                <w:pPr>
                  <w:ind w:left="27" w:hanging="27"/>
                  <w:rPr>
                    <w:szCs w:val="24"/>
                    <w:lang w:eastAsia="lt-LT"/>
                  </w:rPr>
                </w:pPr>
                <w:r>
                  <w:rPr>
                    <w:szCs w:val="24"/>
                    <w:lang w:val="en-US" w:eastAsia="lt-LT"/>
                  </w:rPr>
                  <w:t>Varėnos rajono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26 377</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5 024</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400</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66</w:t>
                </w:r>
              </w:p>
            </w:tc>
            <w:tc>
              <w:tcPr>
                <w:tcW w:w="1080" w:type="dxa"/>
              </w:tcPr>
              <w:p>
                <w:pPr>
                  <w:jc w:val="right"/>
                  <w:rPr>
                    <w:szCs w:val="24"/>
                    <w:lang w:val="en-US" w:eastAsia="lt-LT"/>
                  </w:rPr>
                </w:pPr>
                <w:r>
                  <w:rPr>
                    <w:szCs w:val="24"/>
                    <w:lang w:eastAsia="lt-LT"/>
                  </w:rPr>
                  <w:t>0,7585</w:t>
                </w:r>
              </w:p>
            </w:tc>
          </w:tr>
          <w:tr>
            <w:tc>
              <w:tcPr>
                <w:tcW w:w="2160" w:type="dxa"/>
              </w:tcPr>
              <w:p>
                <w:pPr>
                  <w:ind w:left="27" w:hanging="27"/>
                  <w:rPr>
                    <w:szCs w:val="24"/>
                    <w:lang w:eastAsia="lt-LT"/>
                  </w:rPr>
                </w:pPr>
                <w:r>
                  <w:rPr>
                    <w:szCs w:val="24"/>
                    <w:lang w:val="en-US" w:eastAsia="lt-LT"/>
                  </w:rPr>
                  <w:t>Vilkaviškio rajono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39 933</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7 061</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702</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74</w:t>
                </w:r>
              </w:p>
            </w:tc>
            <w:tc>
              <w:tcPr>
                <w:tcW w:w="1080" w:type="dxa"/>
              </w:tcPr>
              <w:p>
                <w:pPr>
                  <w:jc w:val="right"/>
                  <w:rPr>
                    <w:szCs w:val="24"/>
                    <w:lang w:val="en-US" w:eastAsia="lt-LT"/>
                  </w:rPr>
                </w:pPr>
                <w:r>
                  <w:rPr>
                    <w:szCs w:val="24"/>
                    <w:lang w:eastAsia="lt-LT"/>
                  </w:rPr>
                  <w:t>1,1483</w:t>
                </w:r>
              </w:p>
            </w:tc>
          </w:tr>
          <w:tr>
            <w:tc>
              <w:tcPr>
                <w:tcW w:w="2160" w:type="dxa"/>
              </w:tcPr>
              <w:p>
                <w:pPr>
                  <w:ind w:left="27" w:hanging="27"/>
                  <w:rPr>
                    <w:szCs w:val="24"/>
                    <w:lang w:eastAsia="lt-LT"/>
                  </w:rPr>
                </w:pPr>
                <w:r>
                  <w:rPr>
                    <w:szCs w:val="24"/>
                    <w:lang w:val="en-US" w:eastAsia="lt-LT"/>
                  </w:rPr>
                  <w:t>Vilniaus rajono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136 176</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11 289</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1 927</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135</w:t>
                </w:r>
              </w:p>
            </w:tc>
            <w:tc>
              <w:tcPr>
                <w:tcW w:w="1080" w:type="dxa"/>
              </w:tcPr>
              <w:p>
                <w:pPr>
                  <w:jc w:val="right"/>
                  <w:rPr>
                    <w:szCs w:val="24"/>
                    <w:lang w:val="en-US" w:eastAsia="lt-LT"/>
                  </w:rPr>
                </w:pPr>
                <w:r>
                  <w:rPr>
                    <w:szCs w:val="24"/>
                    <w:lang w:eastAsia="lt-LT"/>
                  </w:rPr>
                  <w:t>3,9158</w:t>
                </w:r>
              </w:p>
            </w:tc>
          </w:tr>
          <w:tr>
            <w:tc>
              <w:tcPr>
                <w:tcW w:w="2160" w:type="dxa"/>
              </w:tcPr>
              <w:p>
                <w:pPr>
                  <w:ind w:left="27" w:hanging="27"/>
                  <w:rPr>
                    <w:szCs w:val="24"/>
                    <w:lang w:eastAsia="lt-LT"/>
                  </w:rPr>
                </w:pPr>
                <w:r>
                  <w:rPr>
                    <w:szCs w:val="24"/>
                    <w:lang w:val="en-US" w:eastAsia="lt-LT"/>
                  </w:rPr>
                  <w:t>Zarasų rajono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19 922</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4 383</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278</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57</w:t>
                </w:r>
              </w:p>
            </w:tc>
            <w:tc>
              <w:tcPr>
                <w:tcW w:w="1080" w:type="dxa"/>
              </w:tcPr>
              <w:p>
                <w:pPr>
                  <w:jc w:val="right"/>
                  <w:rPr>
                    <w:szCs w:val="24"/>
                    <w:lang w:val="en-US" w:eastAsia="lt-LT"/>
                  </w:rPr>
                </w:pPr>
                <w:r>
                  <w:rPr>
                    <w:szCs w:val="24"/>
                    <w:lang w:eastAsia="lt-LT"/>
                  </w:rPr>
                  <w:t>0,5729</w:t>
                </w:r>
              </w:p>
            </w:tc>
          </w:tr>
          <w:tr>
            <w:tc>
              <w:tcPr>
                <w:tcW w:w="2160" w:type="dxa"/>
              </w:tcPr>
              <w:p>
                <w:pPr>
                  <w:ind w:left="27" w:hanging="27"/>
                  <w:rPr>
                    <w:szCs w:val="24"/>
                    <w:lang w:eastAsia="lt-LT"/>
                  </w:rPr>
                </w:pPr>
                <w:r>
                  <w:rPr>
                    <w:szCs w:val="24"/>
                    <w:lang w:val="en-US" w:eastAsia="lt-LT"/>
                  </w:rPr>
                  <w:t xml:space="preserve">Elektrėnų </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31 332</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3 899</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336</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45</w:t>
                </w:r>
              </w:p>
            </w:tc>
            <w:tc>
              <w:tcPr>
                <w:tcW w:w="1080" w:type="dxa"/>
              </w:tcPr>
              <w:p>
                <w:pPr>
                  <w:jc w:val="right"/>
                  <w:rPr>
                    <w:szCs w:val="24"/>
                    <w:lang w:val="en-US" w:eastAsia="lt-LT"/>
                  </w:rPr>
                </w:pPr>
                <w:r>
                  <w:rPr>
                    <w:szCs w:val="24"/>
                    <w:lang w:eastAsia="lt-LT"/>
                  </w:rPr>
                  <w:t>0,9010</w:t>
                </w:r>
              </w:p>
            </w:tc>
          </w:tr>
          <w:tr>
            <w:tc>
              <w:tcPr>
                <w:tcW w:w="2160" w:type="dxa"/>
              </w:tcPr>
              <w:p>
                <w:pPr>
                  <w:ind w:left="27" w:hanging="27"/>
                  <w:rPr>
                    <w:szCs w:val="24"/>
                    <w:lang w:eastAsia="lt-LT"/>
                  </w:rPr>
                </w:pPr>
                <w:r>
                  <w:rPr>
                    <w:szCs w:val="24"/>
                    <w:lang w:val="en-US" w:eastAsia="lt-LT"/>
                  </w:rPr>
                  <w:t>Kalvarijos</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11 718</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2 173</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117</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24</w:t>
                </w:r>
              </w:p>
            </w:tc>
            <w:tc>
              <w:tcPr>
                <w:tcW w:w="1080" w:type="dxa"/>
              </w:tcPr>
              <w:p>
                <w:pPr>
                  <w:jc w:val="right"/>
                  <w:rPr>
                    <w:szCs w:val="24"/>
                    <w:lang w:val="en-US" w:eastAsia="lt-LT"/>
                  </w:rPr>
                </w:pPr>
                <w:r>
                  <w:rPr>
                    <w:szCs w:val="24"/>
                    <w:lang w:eastAsia="lt-LT"/>
                  </w:rPr>
                  <w:t>0,3370</w:t>
                </w:r>
              </w:p>
            </w:tc>
          </w:tr>
          <w:tr>
            <w:tc>
              <w:tcPr>
                <w:tcW w:w="2160" w:type="dxa"/>
              </w:tcPr>
              <w:p>
                <w:pPr>
                  <w:ind w:left="27" w:hanging="27"/>
                  <w:rPr>
                    <w:szCs w:val="24"/>
                    <w:lang w:eastAsia="lt-LT"/>
                  </w:rPr>
                </w:pPr>
                <w:r>
                  <w:rPr>
                    <w:szCs w:val="24"/>
                    <w:lang w:val="en-US" w:eastAsia="lt-LT"/>
                  </w:rPr>
                  <w:t xml:space="preserve">Kazlų Rūdos </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12 245</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1 574</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133</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w:t>
                </w:r>
              </w:p>
            </w:tc>
            <w:tc>
              <w:tcPr>
                <w:tcW w:w="1080" w:type="dxa"/>
              </w:tcPr>
              <w:p>
                <w:pPr>
                  <w:jc w:val="right"/>
                  <w:rPr>
                    <w:szCs w:val="24"/>
                    <w:lang w:val="en-US" w:eastAsia="lt-LT"/>
                  </w:rPr>
                </w:pPr>
                <w:r>
                  <w:rPr>
                    <w:szCs w:val="24"/>
                    <w:lang w:eastAsia="lt-LT"/>
                  </w:rPr>
                  <w:t>0,3521</w:t>
                </w:r>
              </w:p>
            </w:tc>
          </w:tr>
          <w:tr>
            <w:tc>
              <w:tcPr>
                <w:tcW w:w="2160" w:type="dxa"/>
              </w:tcPr>
              <w:p>
                <w:pPr>
                  <w:ind w:left="27" w:hanging="27"/>
                  <w:rPr>
                    <w:szCs w:val="24"/>
                    <w:lang w:eastAsia="lt-LT"/>
                  </w:rPr>
                </w:pPr>
                <w:r>
                  <w:rPr>
                    <w:szCs w:val="24"/>
                    <w:lang w:val="en-US" w:eastAsia="lt-LT"/>
                  </w:rPr>
                  <w:t xml:space="preserve">Pagėgių </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9 210</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1 586</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203</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w:t>
                </w:r>
              </w:p>
            </w:tc>
            <w:tc>
              <w:tcPr>
                <w:tcW w:w="1080" w:type="dxa"/>
              </w:tcPr>
              <w:p>
                <w:pPr>
                  <w:jc w:val="right"/>
                  <w:rPr>
                    <w:szCs w:val="24"/>
                    <w:lang w:val="en-US" w:eastAsia="lt-LT"/>
                  </w:rPr>
                </w:pPr>
                <w:r>
                  <w:rPr>
                    <w:szCs w:val="24"/>
                    <w:lang w:eastAsia="lt-LT"/>
                  </w:rPr>
                  <w:t>0,2648</w:t>
                </w:r>
              </w:p>
            </w:tc>
          </w:tr>
          <w:tr>
            <w:tc>
              <w:tcPr>
                <w:tcW w:w="2160" w:type="dxa"/>
              </w:tcPr>
              <w:p>
                <w:pPr>
                  <w:ind w:left="27" w:hanging="27"/>
                  <w:rPr>
                    <w:szCs w:val="24"/>
                    <w:lang w:eastAsia="lt-LT"/>
                  </w:rPr>
                </w:pPr>
                <w:r>
                  <w:rPr>
                    <w:szCs w:val="24"/>
                    <w:lang w:val="en-US" w:eastAsia="lt-LT"/>
                  </w:rPr>
                  <w:t xml:space="preserve">Rietavo </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8 920</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1 502</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198</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17</w:t>
                </w:r>
              </w:p>
            </w:tc>
            <w:tc>
              <w:tcPr>
                <w:tcW w:w="1080" w:type="dxa"/>
              </w:tcPr>
              <w:p>
                <w:pPr>
                  <w:jc w:val="right"/>
                  <w:rPr>
                    <w:szCs w:val="24"/>
                    <w:lang w:val="en-US" w:eastAsia="lt-LT"/>
                  </w:rPr>
                </w:pPr>
                <w:r>
                  <w:rPr>
                    <w:szCs w:val="24"/>
                    <w:lang w:eastAsia="lt-LT"/>
                  </w:rPr>
                  <w:t>0,2565</w:t>
                </w:r>
              </w:p>
            </w:tc>
          </w:tr>
          <w:tr>
            <w:tc>
              <w:tcPr>
                <w:tcW w:w="2160" w:type="dxa"/>
              </w:tcPr>
              <w:p>
                <w:pPr>
                  <w:ind w:left="27" w:hanging="27"/>
                  <w:rPr>
                    <w:szCs w:val="24"/>
                    <w:lang w:val="en-US" w:eastAsia="lt-LT"/>
                  </w:rPr>
                </w:pPr>
                <w:r>
                  <w:rPr>
                    <w:szCs w:val="24"/>
                    <w:lang w:val="en-US" w:eastAsia="lt-LT"/>
                  </w:rPr>
                  <w:t>IŠ VISO</w:t>
                </w:r>
              </w:p>
            </w:tc>
            <w:tc>
              <w:tcPr>
                <w:tcW w:w="198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3 477 579</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443 053</w:t>
                </w:r>
              </w:p>
            </w:tc>
            <w:tc>
              <w:tcPr>
                <w:tcW w:w="153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eastAsia="lt-LT"/>
                  </w:rPr>
                  <w:t>34 847</w:t>
                </w:r>
              </w:p>
            </w:tc>
            <w:tc>
              <w:tcPr>
                <w:tcW w:w="1440" w:type="dxa"/>
                <w:tcBorders>
                  <w:top w:val="single" w:sz="4" w:space="0" w:color="auto"/>
                  <w:left w:val="single" w:sz="4" w:space="0" w:color="auto"/>
                  <w:bottom w:val="single" w:sz="4" w:space="0" w:color="auto"/>
                  <w:right w:val="single" w:sz="4" w:space="0" w:color="auto"/>
                </w:tcBorders>
                <w:shd w:val="clear" w:color="auto" w:fill="auto"/>
              </w:tcPr>
              <w:p>
                <w:pPr>
                  <w:jc w:val="right"/>
                  <w:rPr>
                    <w:szCs w:val="24"/>
                    <w:lang w:val="en-US" w:eastAsia="lt-LT"/>
                  </w:rPr>
                </w:pPr>
                <w:r>
                  <w:rPr>
                    <w:szCs w:val="24"/>
                    <w:lang w:val="en-US" w:eastAsia="lt-LT"/>
                  </w:rPr>
                  <w:t>4 285</w:t>
                </w:r>
              </w:p>
            </w:tc>
            <w:tc>
              <w:tcPr>
                <w:tcW w:w="1080" w:type="dxa"/>
              </w:tcPr>
              <w:p>
                <w:pPr>
                  <w:jc w:val="right"/>
                  <w:rPr>
                    <w:szCs w:val="24"/>
                    <w:lang w:val="en-US" w:eastAsia="lt-LT"/>
                  </w:rPr>
                </w:pPr>
                <w:r>
                  <w:rPr>
                    <w:szCs w:val="24"/>
                    <w:lang w:val="en-US" w:eastAsia="lt-LT"/>
                  </w:rPr>
                  <w:t>100</w:t>
                </w:r>
              </w:p>
            </w:tc>
          </w:tr>
        </w:tbl>
        <w:p>
          <w:pPr>
            <w:jc w:val="center"/>
            <w:rPr>
              <w:szCs w:val="24"/>
              <w:lang w:eastAsia="lt-LT"/>
            </w:rPr>
            <w:sectPr>
              <w:pgSz w:w="11907" w:h="16840" w:code="9"/>
              <w:pgMar w:top="851" w:right="1134" w:bottom="1701" w:left="1134" w:header="709" w:footer="709" w:gutter="0"/>
              <w:pgNumType w:start="1"/>
              <w:cols w:space="1296"/>
              <w:titlePg/>
              <w:docGrid w:linePitch="326"/>
            </w:sectPr>
          </w:pPr>
          <w:r>
            <w:rPr>
              <w:szCs w:val="24"/>
            </w:rPr>
            <w:t>________________________________</w:t>
          </w:r>
        </w:p>
        <w:p>
          <w:pPr>
            <w:tabs>
              <w:tab w:val="center" w:pos="4819"/>
              <w:tab w:val="right" w:pos="9638"/>
            </w:tabs>
          </w:pPr>
        </w:p>
      </w:sdtContent>
    </w:sdt>
    <w:sdt>
      <w:sdtPr>
        <w:alias w:val="6 pr."/>
        <w:tag w:val="part_861e9de8e8cb4d80814ceec7d5f79ea5"/>
        <w:lock w:val="sdtLocked"/>
        <w:richText/>
      </w:sdtPr>
      <w:sdtContent>
        <w:p>
          <w:pPr>
            <w:ind w:left="526" w:firstLine="5954"/>
            <w:rPr>
              <w:szCs w:val="24"/>
              <w:lang w:eastAsia="lt-LT"/>
            </w:rPr>
          </w:pPr>
          <w:r>
            <w:rPr>
              <w:szCs w:val="24"/>
              <w:lang w:eastAsia="lt-LT"/>
            </w:rPr>
            <w:t>Lietuvos Respublikos</w:t>
          </w:r>
        </w:p>
        <w:p>
          <w:pPr>
            <w:ind w:left="526" w:firstLine="5954"/>
            <w:rPr>
              <w:szCs w:val="24"/>
              <w:lang w:eastAsia="lt-LT"/>
            </w:rPr>
          </w:pPr>
          <w:r>
            <w:rPr>
              <w:szCs w:val="24"/>
              <w:lang w:eastAsia="lt-LT"/>
            </w:rPr>
            <w:t>2025</w:t>
          </w:r>
          <w:r>
            <w:rPr>
              <w:szCs w:val="24"/>
            </w:rPr>
            <w:t>–2027</w:t>
          </w:r>
          <w:r>
            <w:rPr>
              <w:szCs w:val="24"/>
              <w:lang w:eastAsia="lt-LT"/>
            </w:rPr>
            <w:t xml:space="preserve"> metų biudžeto</w:t>
          </w:r>
        </w:p>
        <w:p>
          <w:pPr>
            <w:ind w:left="526" w:firstLine="5954"/>
            <w:rPr>
              <w:szCs w:val="24"/>
              <w:lang w:eastAsia="lt-LT"/>
            </w:rPr>
          </w:pPr>
          <w:r>
            <w:rPr>
              <w:szCs w:val="24"/>
              <w:lang w:eastAsia="lt-LT"/>
            </w:rPr>
            <w:t>patvirtinimo įstatymo</w:t>
          </w:r>
        </w:p>
        <w:p>
          <w:pPr>
            <w:ind w:left="526" w:firstLine="5954"/>
            <w:rPr>
              <w:szCs w:val="24"/>
              <w:lang w:eastAsia="lt-LT"/>
            </w:rPr>
          </w:pPr>
          <w:sdt>
            <w:sdtPr>
              <w:alias w:val="Numeris"/>
              <w:tag w:val="nr_861e9de8e8cb4d80814ceec7d5f79ea5"/>
              <w:lock w:val="sdtLocked"/>
              <w:richText/>
            </w:sdtPr>
            <w:sdtContent>
              <w:r>
                <w:rPr>
                  <w:szCs w:val="24"/>
                  <w:lang w:eastAsia="lt-LT"/>
                </w:rPr>
                <w:t>6</w:t>
              </w:r>
            </w:sdtContent>
          </w:sdt>
          <w:r>
            <w:rPr>
              <w:szCs w:val="24"/>
              <w:lang w:eastAsia="lt-LT"/>
            </w:rPr>
            <w:t xml:space="preserve"> priedas</w:t>
          </w:r>
        </w:p>
        <w:p>
          <w:pPr>
            <w:spacing w:line="360" w:lineRule="auto"/>
            <w:ind w:firstLine="5670"/>
            <w:rPr>
              <w:szCs w:val="24"/>
              <w:lang w:eastAsia="lt-LT"/>
            </w:rPr>
          </w:pPr>
        </w:p>
        <w:sdt>
          <w:sdtPr>
            <w:alias w:val="Pavadinimas"/>
            <w:tag w:val="title_861e9de8e8cb4d80814ceec7d5f79ea5"/>
            <w:lock w:val="sdtLocked"/>
            <w:richText/>
          </w:sdtPr>
          <w:sdtContent>
            <w:p>
              <w:pPr>
                <w:jc w:val="center"/>
                <w:rPr>
                  <w:szCs w:val="24"/>
                  <w:lang w:eastAsia="lt-LT"/>
                </w:rPr>
              </w:pPr>
              <w:r>
                <w:rPr>
                  <w:b/>
                  <w:bCs/>
                  <w:szCs w:val="24"/>
                  <w:lang w:eastAsia="lt-LT"/>
                </w:rPr>
                <w:t>LIETUVOS RESPUBLIKOS</w:t>
              </w:r>
            </w:p>
            <w:p>
              <w:pPr>
                <w:jc w:val="center"/>
                <w:rPr>
                  <w:b/>
                  <w:bCs/>
                  <w:szCs w:val="24"/>
                  <w:lang w:eastAsia="lt-LT"/>
                </w:rPr>
              </w:pPr>
              <w:r>
                <w:rPr>
                  <w:b/>
                  <w:bCs/>
                  <w:szCs w:val="24"/>
                  <w:lang w:eastAsia="lt-LT"/>
                </w:rPr>
                <w:t>2025 METŲ VALSTYBĖS BIUDŽETO SPECIALIOS TIKSLINĖS DOTACIJOS SAVIVALDYBIŲ BIUDŽETAMS</w:t>
              </w:r>
            </w:p>
          </w:sdtContent>
        </w:sdt>
        <w:p>
          <w:pPr>
            <w:spacing w:line="360" w:lineRule="auto"/>
            <w:jc w:val="center"/>
            <w:rPr>
              <w:szCs w:val="24"/>
              <w:lang w:eastAsia="lt-LT"/>
            </w:rPr>
          </w:pPr>
        </w:p>
        <w:tbl>
          <w:tblPr>
            <w:tblW w:w="9362" w:type="dxa"/>
            <w:jc w:val="center"/>
            <w:tblLook w:val="04A0" w:firstRow="1" w:lastRow="0" w:firstColumn="1" w:lastColumn="0" w:noHBand="0" w:noVBand="1"/>
          </w:tblPr>
          <w:tblGrid>
            <w:gridCol w:w="3331"/>
            <w:gridCol w:w="4755"/>
            <w:gridCol w:w="1276"/>
          </w:tblGrid>
          <w:tr>
            <w:trPr>
              <w:trHeight w:val="330"/>
              <w:tblHeader/>
              <w:jc w:val="center"/>
            </w:trPr>
            <w:tc>
              <w:tcPr>
                <w:tcW w:w="3331" w:type="dxa"/>
                <w:tcBorders>
                  <w:top w:val="nil"/>
                  <w:left w:val="nil"/>
                  <w:bottom w:val="single" w:sz="4" w:space="0" w:color="auto"/>
                  <w:right w:val="nil"/>
                </w:tcBorders>
                <w:shd w:val="clear" w:color="auto" w:fill="auto"/>
                <w:noWrap/>
                <w:vAlign w:val="bottom"/>
              </w:tcPr>
              <w:p>
                <w:pPr>
                  <w:rPr>
                    <w:rFonts w:ascii="Arial" w:hAnsi="Arial" w:cs="Arial"/>
                    <w:sz w:val="20"/>
                    <w:szCs w:val="24"/>
                    <w:lang w:eastAsia="lt-LT"/>
                  </w:rPr>
                </w:pPr>
              </w:p>
            </w:tc>
            <w:tc>
              <w:tcPr>
                <w:tcW w:w="4755" w:type="dxa"/>
                <w:tcBorders>
                  <w:top w:val="nil"/>
                  <w:left w:val="nil"/>
                  <w:bottom w:val="single" w:sz="4" w:space="0" w:color="auto"/>
                  <w:right w:val="nil"/>
                </w:tcBorders>
                <w:shd w:val="clear" w:color="auto" w:fill="auto"/>
                <w:noWrap/>
                <w:vAlign w:val="bottom"/>
              </w:tcPr>
              <w:p>
                <w:pPr>
                  <w:rPr>
                    <w:rFonts w:ascii="Arial" w:hAnsi="Arial" w:cs="Arial"/>
                    <w:sz w:val="20"/>
                    <w:szCs w:val="24"/>
                    <w:lang w:eastAsia="lt-LT"/>
                  </w:rPr>
                </w:pPr>
              </w:p>
            </w:tc>
            <w:tc>
              <w:tcPr>
                <w:tcW w:w="1276" w:type="dxa"/>
                <w:tcBorders>
                  <w:top w:val="nil"/>
                  <w:left w:val="nil"/>
                  <w:bottom w:val="single" w:sz="4" w:space="0" w:color="auto"/>
                  <w:right w:val="nil"/>
                </w:tcBorders>
                <w:shd w:val="clear" w:color="auto" w:fill="auto"/>
                <w:vAlign w:val="center"/>
              </w:tcPr>
              <w:p>
                <w:pPr>
                  <w:jc w:val="right"/>
                  <w:rPr>
                    <w:szCs w:val="24"/>
                    <w:lang w:eastAsia="lt-LT"/>
                  </w:rPr>
                </w:pPr>
                <w:r>
                  <w:rPr>
                    <w:color w:val="000000"/>
                    <w:szCs w:val="24"/>
                    <w:lang w:eastAsia="lt-LT"/>
                  </w:rPr>
                  <w:t>Tūkst. Eur</w:t>
                </w:r>
              </w:p>
            </w:tc>
          </w:tr>
          <w:tr>
            <w:trPr>
              <w:trHeight w:val="645"/>
              <w:tblHeader/>
              <w:jc w:val="center"/>
            </w:trPr>
            <w:tc>
              <w:tcPr>
                <w:tcW w:w="333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Cs w:val="24"/>
                    <w:lang w:eastAsia="lt-LT"/>
                  </w:rPr>
                </w:pPr>
                <w:r>
                  <w:rPr>
                    <w:b/>
                    <w:bCs/>
                    <w:szCs w:val="24"/>
                    <w:lang w:eastAsia="lt-LT"/>
                  </w:rPr>
                  <w:t>Valstybės biudžeto asignavimų valdytojo pavadinimas</w:t>
                </w:r>
              </w:p>
            </w:tc>
            <w:tc>
              <w:tcPr>
                <w:tcW w:w="4755"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Cs w:val="24"/>
                    <w:lang w:eastAsia="lt-LT"/>
                  </w:rPr>
                </w:pPr>
                <w:r>
                  <w:rPr>
                    <w:b/>
                    <w:bCs/>
                    <w:szCs w:val="24"/>
                    <w:lang w:eastAsia="lt-LT"/>
                  </w:rPr>
                  <w:t>Dotacijos paskirties pavadinimas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Cs w:val="24"/>
                    <w:lang w:eastAsia="lt-LT"/>
                  </w:rPr>
                </w:pPr>
                <w:r>
                  <w:rPr>
                    <w:b/>
                    <w:bCs/>
                    <w:szCs w:val="24"/>
                    <w:lang w:eastAsia="lt-LT"/>
                  </w:rPr>
                  <w:t>Iš viso</w:t>
                </w:r>
              </w:p>
            </w:tc>
          </w:tr>
          <w:tr>
            <w:trPr>
              <w:trHeight w:val="645"/>
              <w:jc w:val="center"/>
            </w:trPr>
            <w:tc>
              <w:tcPr>
                <w:tcW w:w="3331" w:type="dxa"/>
                <w:tcBorders>
                  <w:top w:val="single" w:sz="4" w:space="0" w:color="auto"/>
                  <w:left w:val="nil"/>
                  <w:bottom w:val="single" w:sz="4" w:space="0" w:color="auto"/>
                  <w:right w:val="nil"/>
                </w:tcBorders>
                <w:shd w:val="clear" w:color="auto" w:fill="auto"/>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konkurencijos taryba</w:t>
                </w:r>
              </w:p>
            </w:tc>
            <w:tc>
              <w:tcPr>
                <w:tcW w:w="4755" w:type="dxa"/>
                <w:tcBorders>
                  <w:top w:val="single" w:sz="4" w:space="0" w:color="auto"/>
                  <w:left w:val="nil"/>
                  <w:bottom w:val="single" w:sz="4" w:space="0" w:color="auto"/>
                  <w:right w:val="nil"/>
                </w:tcBorders>
                <w:shd w:val="clear" w:color="auto" w:fill="auto"/>
                <w:vAlign w:val="center"/>
                <w:hideMark/>
              </w:tcPr>
              <w:p>
                <w:pPr>
                  <w:rPr>
                    <w:szCs w:val="24"/>
                    <w:lang w:eastAsia="lt-LT"/>
                  </w:rPr>
                </w:pPr>
                <w:r>
                  <w:rPr>
                    <w:szCs w:val="24"/>
                    <w:lang w:eastAsia="lt-LT"/>
                  </w:rPr>
                  <w:t>duomenims į Suteiktos valstybės pagalbos ir nereikšmingos pagalbos registrą</w:t>
                </w:r>
                <w:r>
                  <w:rPr>
                    <w:szCs w:val="24"/>
                  </w:rPr>
                  <w:t xml:space="preserve"> </w:t>
                </w:r>
                <w:r>
                  <w:rPr>
                    <w:szCs w:val="24"/>
                    <w:lang w:eastAsia="lt-LT"/>
                  </w:rPr>
                  <w:t>teikti</w:t>
                </w:r>
              </w:p>
            </w:tc>
            <w:tc>
              <w:tcPr>
                <w:tcW w:w="1276" w:type="dxa"/>
                <w:tcBorders>
                  <w:top w:val="single" w:sz="4" w:space="0" w:color="auto"/>
                  <w:left w:val="nil"/>
                  <w:bottom w:val="single" w:sz="4" w:space="0" w:color="auto"/>
                  <w:right w:val="nil"/>
                </w:tcBorders>
                <w:shd w:val="clear" w:color="auto" w:fill="auto"/>
                <w:vAlign w:val="center"/>
              </w:tcPr>
              <w:p>
                <w:pPr>
                  <w:jc w:val="right"/>
                  <w:rPr>
                    <w:b/>
                    <w:bCs/>
                    <w:szCs w:val="24"/>
                    <w:lang w:eastAsia="lt-LT"/>
                  </w:rPr>
                </w:pPr>
                <w:r>
                  <w:rPr>
                    <w:b/>
                    <w:bCs/>
                    <w:szCs w:val="24"/>
                    <w:lang w:eastAsia="lt-LT"/>
                  </w:rPr>
                  <w:t>35</w:t>
                </w:r>
              </w:p>
            </w:tc>
          </w:tr>
          <w:tr>
            <w:trPr>
              <w:trHeight w:val="630"/>
              <w:jc w:val="center"/>
            </w:trPr>
            <w:tc>
              <w:tcPr>
                <w:tcW w:w="3331" w:type="dxa"/>
                <w:tcBorders>
                  <w:top w:val="single" w:sz="4" w:space="0" w:color="auto"/>
                  <w:left w:val="nil"/>
                  <w:bottom w:val="nil"/>
                  <w:right w:val="nil"/>
                </w:tcBorders>
                <w:shd w:val="clear" w:color="auto" w:fill="auto"/>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 xml:space="preserve">aplinkos ministerija </w:t>
                </w:r>
              </w:p>
            </w:tc>
            <w:tc>
              <w:tcPr>
                <w:tcW w:w="4755" w:type="dxa"/>
                <w:tcBorders>
                  <w:top w:val="single" w:sz="4" w:space="0" w:color="auto"/>
                  <w:left w:val="nil"/>
                  <w:bottom w:val="nil"/>
                  <w:right w:val="nil"/>
                </w:tcBorders>
                <w:shd w:val="clear" w:color="auto" w:fill="auto"/>
                <w:vAlign w:val="center"/>
              </w:tcPr>
              <w:p>
                <w:pPr>
                  <w:rPr>
                    <w:szCs w:val="24"/>
                    <w:lang w:eastAsia="lt-LT"/>
                  </w:rPr>
                </w:pPr>
              </w:p>
            </w:tc>
            <w:tc>
              <w:tcPr>
                <w:tcW w:w="1276" w:type="dxa"/>
                <w:tcBorders>
                  <w:top w:val="single" w:sz="4" w:space="0" w:color="auto"/>
                  <w:left w:val="nil"/>
                  <w:bottom w:val="nil"/>
                  <w:right w:val="nil"/>
                </w:tcBorders>
                <w:shd w:val="clear" w:color="auto" w:fill="auto"/>
                <w:vAlign w:val="center"/>
              </w:tcPr>
              <w:p>
                <w:pPr>
                  <w:jc w:val="right"/>
                  <w:rPr>
                    <w:b/>
                    <w:bCs/>
                    <w:szCs w:val="24"/>
                    <w:lang w:eastAsia="lt-LT"/>
                  </w:rPr>
                </w:pPr>
                <w:r>
                  <w:rPr>
                    <w:b/>
                    <w:bCs/>
                    <w:szCs w:val="24"/>
                    <w:lang w:eastAsia="lt-LT"/>
                  </w:rPr>
                  <w:t>4 934</w:t>
                </w:r>
              </w:p>
            </w:tc>
          </w:tr>
          <w:tr>
            <w:trPr>
              <w:trHeight w:val="315"/>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tcPr>
              <w:p>
                <w:pPr>
                  <w:rPr>
                    <w:szCs w:val="24"/>
                    <w:lang w:eastAsia="lt-LT"/>
                  </w:rPr>
                </w:pPr>
                <w:r>
                  <w:rPr>
                    <w:szCs w:val="24"/>
                    <w:lang w:eastAsia="lt-LT"/>
                  </w:rPr>
                  <w:t>iš jų:</w:t>
                </w:r>
              </w:p>
            </w:tc>
            <w:tc>
              <w:tcPr>
                <w:tcW w:w="1276" w:type="dxa"/>
                <w:tcBorders>
                  <w:top w:val="nil"/>
                  <w:left w:val="nil"/>
                  <w:bottom w:val="nil"/>
                  <w:right w:val="nil"/>
                </w:tcBorders>
                <w:shd w:val="clear" w:color="auto" w:fill="auto"/>
                <w:vAlign w:val="center"/>
              </w:tcPr>
              <w:p>
                <w:pPr>
                  <w:jc w:val="right"/>
                  <w:rPr>
                    <w:szCs w:val="24"/>
                    <w:lang w:eastAsia="lt-LT"/>
                  </w:rPr>
                </w:pPr>
              </w:p>
            </w:tc>
          </w:tr>
          <w:tr>
            <w:trPr>
              <w:trHeight w:val="900"/>
              <w:jc w:val="center"/>
            </w:trPr>
            <w:tc>
              <w:tcPr>
                <w:tcW w:w="3331" w:type="dxa"/>
                <w:tcBorders>
                  <w:top w:val="nil"/>
                  <w:left w:val="nil"/>
                  <w:right w:val="nil"/>
                </w:tcBorders>
                <w:shd w:val="clear" w:color="auto" w:fill="auto"/>
                <w:vAlign w:val="center"/>
                <w:hideMark/>
              </w:tcPr>
              <w:p>
                <w:pPr>
                  <w:rPr>
                    <w:szCs w:val="24"/>
                    <w:lang w:eastAsia="lt-LT"/>
                  </w:rPr>
                </w:pPr>
              </w:p>
            </w:tc>
            <w:tc>
              <w:tcPr>
                <w:tcW w:w="4755" w:type="dxa"/>
                <w:tcBorders>
                  <w:top w:val="nil"/>
                  <w:left w:val="nil"/>
                  <w:right w:val="nil"/>
                </w:tcBorders>
                <w:shd w:val="clear" w:color="auto" w:fill="auto"/>
                <w:vAlign w:val="center"/>
              </w:tcPr>
              <w:p>
                <w:pPr>
                  <w:rPr>
                    <w:szCs w:val="24"/>
                    <w:lang w:eastAsia="lt-LT"/>
                  </w:rPr>
                </w:pPr>
                <w:r>
                  <w:rPr>
                    <w:szCs w:val="24"/>
                    <w:lang w:eastAsia="lt-LT"/>
                  </w:rPr>
                  <w:t>piliečių prašymams atkurti nuosavybės teises į išlikusį nekilnojamąjį turtą nagrinėti ir sprendimams dėl nuosavybės teisių atkūrimo priimti</w:t>
                </w:r>
              </w:p>
            </w:tc>
            <w:tc>
              <w:tcPr>
                <w:tcW w:w="1276" w:type="dxa"/>
                <w:tcBorders>
                  <w:top w:val="nil"/>
                  <w:left w:val="nil"/>
                  <w:right w:val="nil"/>
                </w:tcBorders>
                <w:shd w:val="clear" w:color="auto" w:fill="auto"/>
                <w:vAlign w:val="center"/>
              </w:tcPr>
              <w:p>
                <w:pPr>
                  <w:jc w:val="right"/>
                  <w:rPr>
                    <w:szCs w:val="24"/>
                    <w:lang w:eastAsia="lt-LT"/>
                  </w:rPr>
                </w:pPr>
                <w:r>
                  <w:rPr>
                    <w:szCs w:val="24"/>
                    <w:lang w:eastAsia="lt-LT"/>
                  </w:rPr>
                  <w:t>6</w:t>
                </w:r>
              </w:p>
            </w:tc>
          </w:tr>
          <w:tr>
            <w:trPr>
              <w:trHeight w:val="960"/>
              <w:jc w:val="center"/>
            </w:trPr>
            <w:tc>
              <w:tcPr>
                <w:tcW w:w="3331" w:type="dxa"/>
                <w:tcBorders>
                  <w:top w:val="nil"/>
                  <w:left w:val="nil"/>
                  <w:right w:val="nil"/>
                </w:tcBorders>
                <w:shd w:val="clear" w:color="auto" w:fill="auto"/>
                <w:vAlign w:val="center"/>
                <w:hideMark/>
              </w:tcPr>
              <w:p>
                <w:pPr>
                  <w:ind w:firstLine="62"/>
                  <w:rPr>
                    <w:szCs w:val="24"/>
                    <w:lang w:eastAsia="lt-LT"/>
                  </w:rPr>
                </w:pPr>
              </w:p>
            </w:tc>
            <w:tc>
              <w:tcPr>
                <w:tcW w:w="4755" w:type="dxa"/>
                <w:tcBorders>
                  <w:top w:val="nil"/>
                  <w:left w:val="nil"/>
                  <w:right w:val="nil"/>
                </w:tcBorders>
                <w:shd w:val="clear" w:color="auto" w:fill="auto"/>
                <w:vAlign w:val="center"/>
              </w:tcPr>
              <w:p>
                <w:pPr>
                  <w:rPr>
                    <w:szCs w:val="24"/>
                    <w:lang w:eastAsia="lt-LT"/>
                  </w:rPr>
                </w:pPr>
                <w:r>
                  <w:rPr>
                    <w:szCs w:val="24"/>
                    <w:lang w:eastAsia="lt-LT"/>
                  </w:rPr>
                  <w:t>valstybės garantijoms nuomininkams, išsikeliantiems iš savininkams grąžintų gyvenamųjų namų ar jų dalių ir butų, vykdyti</w:t>
                </w:r>
              </w:p>
            </w:tc>
            <w:tc>
              <w:tcPr>
                <w:tcW w:w="1276" w:type="dxa"/>
                <w:tcBorders>
                  <w:top w:val="nil"/>
                  <w:left w:val="nil"/>
                  <w:right w:val="nil"/>
                </w:tcBorders>
                <w:shd w:val="clear" w:color="auto" w:fill="auto"/>
                <w:vAlign w:val="center"/>
              </w:tcPr>
              <w:p>
                <w:pPr>
                  <w:jc w:val="right"/>
                  <w:rPr>
                    <w:szCs w:val="24"/>
                    <w:lang w:eastAsia="lt-LT"/>
                  </w:rPr>
                </w:pPr>
                <w:r>
                  <w:rPr>
                    <w:szCs w:val="24"/>
                    <w:lang w:eastAsia="lt-LT"/>
                  </w:rPr>
                  <w:t>6</w:t>
                </w:r>
              </w:p>
            </w:tc>
          </w:tr>
          <w:tr>
            <w:trPr>
              <w:trHeight w:val="960"/>
              <w:jc w:val="center"/>
            </w:trPr>
            <w:tc>
              <w:tcPr>
                <w:tcW w:w="3331" w:type="dxa"/>
                <w:tcBorders>
                  <w:left w:val="nil"/>
                  <w:right w:val="nil"/>
                </w:tcBorders>
                <w:shd w:val="clear" w:color="auto" w:fill="auto"/>
                <w:vAlign w:val="center"/>
              </w:tcPr>
              <w:p>
                <w:pPr>
                  <w:rPr>
                    <w:szCs w:val="24"/>
                    <w:lang w:eastAsia="lt-LT"/>
                  </w:rPr>
                </w:pPr>
              </w:p>
            </w:tc>
            <w:tc>
              <w:tcPr>
                <w:tcW w:w="4755" w:type="dxa"/>
                <w:tcBorders>
                  <w:left w:val="nil"/>
                  <w:right w:val="nil"/>
                </w:tcBorders>
                <w:shd w:val="clear" w:color="auto" w:fill="auto"/>
                <w:vAlign w:val="center"/>
              </w:tcPr>
              <w:p>
                <w:pPr>
                  <w:rPr>
                    <w:szCs w:val="24"/>
                    <w:lang w:eastAsia="lt-LT"/>
                  </w:rPr>
                </w:pPr>
                <w:r>
                  <w:rPr>
                    <w:szCs w:val="24"/>
                    <w:lang w:eastAsia="lt-LT"/>
                  </w:rPr>
                  <w:t>savivaldybėms priskirtos valstybinės žemės ir kito valstybės turto valdymui, naudojimui ir disponavimui jais patikėjimo teise užtikrinti</w:t>
                </w:r>
              </w:p>
            </w:tc>
            <w:tc>
              <w:tcPr>
                <w:tcW w:w="1276" w:type="dxa"/>
                <w:tcBorders>
                  <w:left w:val="nil"/>
                  <w:right w:val="nil"/>
                </w:tcBorders>
                <w:shd w:val="clear" w:color="auto" w:fill="auto"/>
                <w:vAlign w:val="center"/>
              </w:tcPr>
              <w:p>
                <w:pPr>
                  <w:jc w:val="right"/>
                  <w:rPr>
                    <w:szCs w:val="24"/>
                    <w:lang w:eastAsia="lt-LT"/>
                  </w:rPr>
                </w:pPr>
                <w:r>
                  <w:rPr>
                    <w:szCs w:val="24"/>
                    <w:lang w:eastAsia="lt-LT"/>
                  </w:rPr>
                  <w:t>3 422</w:t>
                </w:r>
              </w:p>
            </w:tc>
          </w:tr>
          <w:tr>
            <w:trPr>
              <w:trHeight w:val="960"/>
              <w:jc w:val="center"/>
            </w:trPr>
            <w:tc>
              <w:tcPr>
                <w:tcW w:w="3331" w:type="dxa"/>
                <w:tcBorders>
                  <w:left w:val="nil"/>
                  <w:bottom w:val="single" w:sz="4" w:space="0" w:color="auto"/>
                  <w:right w:val="nil"/>
                </w:tcBorders>
                <w:shd w:val="clear" w:color="auto" w:fill="auto"/>
                <w:vAlign w:val="center"/>
              </w:tcPr>
              <w:p>
                <w:pPr>
                  <w:rPr>
                    <w:szCs w:val="24"/>
                    <w:lang w:eastAsia="lt-LT"/>
                  </w:rPr>
                </w:pPr>
              </w:p>
            </w:tc>
            <w:tc>
              <w:tcPr>
                <w:tcW w:w="4755" w:type="dxa"/>
                <w:tcBorders>
                  <w:left w:val="nil"/>
                  <w:bottom w:val="single" w:sz="4" w:space="0" w:color="auto"/>
                  <w:right w:val="nil"/>
                </w:tcBorders>
                <w:shd w:val="clear" w:color="auto" w:fill="auto"/>
                <w:vAlign w:val="center"/>
              </w:tcPr>
              <w:p>
                <w:pPr>
                  <w:rPr>
                    <w:szCs w:val="24"/>
                    <w:lang w:eastAsia="lt-LT"/>
                  </w:rPr>
                </w:pPr>
                <w:r>
                  <w:rPr>
                    <w:szCs w:val="24"/>
                    <w:lang w:eastAsia="lt-LT"/>
                  </w:rPr>
                  <w:t>savivaldybėms priskirtiems geodezijos ir kartografijos darbams (savivaldybių erdvinių duomenų rinkiniams tvarkyti) organizuoti ir vykdyti</w:t>
                </w:r>
              </w:p>
            </w:tc>
            <w:tc>
              <w:tcPr>
                <w:tcW w:w="1276" w:type="dxa"/>
                <w:tcBorders>
                  <w:left w:val="nil"/>
                  <w:bottom w:val="single" w:sz="4" w:space="0" w:color="auto"/>
                  <w:right w:val="nil"/>
                </w:tcBorders>
                <w:shd w:val="clear" w:color="auto" w:fill="auto"/>
                <w:vAlign w:val="center"/>
              </w:tcPr>
              <w:p>
                <w:pPr>
                  <w:jc w:val="right"/>
                  <w:rPr>
                    <w:szCs w:val="24"/>
                    <w:lang w:eastAsia="lt-LT"/>
                  </w:rPr>
                </w:pPr>
                <w:r>
                  <w:rPr>
                    <w:szCs w:val="24"/>
                    <w:lang w:eastAsia="lt-LT"/>
                  </w:rPr>
                  <w:t>1 500</w:t>
                </w:r>
              </w:p>
            </w:tc>
          </w:tr>
          <w:tr>
            <w:trPr>
              <w:trHeight w:val="645"/>
              <w:jc w:val="center"/>
            </w:trPr>
            <w:tc>
              <w:tcPr>
                <w:tcW w:w="3331" w:type="dxa"/>
                <w:tcBorders>
                  <w:top w:val="single" w:sz="4" w:space="0" w:color="auto"/>
                  <w:left w:val="nil"/>
                  <w:bottom w:val="single" w:sz="4" w:space="0" w:color="auto"/>
                  <w:right w:val="nil"/>
                </w:tcBorders>
                <w:shd w:val="clear" w:color="auto" w:fill="auto"/>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krašto apsaugos ministerija</w:t>
                </w:r>
              </w:p>
            </w:tc>
            <w:tc>
              <w:tcPr>
                <w:tcW w:w="4755" w:type="dxa"/>
                <w:tcBorders>
                  <w:top w:val="single" w:sz="4" w:space="0" w:color="auto"/>
                  <w:left w:val="nil"/>
                  <w:bottom w:val="single" w:sz="4" w:space="0" w:color="auto"/>
                  <w:right w:val="nil"/>
                </w:tcBorders>
                <w:shd w:val="clear" w:color="auto" w:fill="auto"/>
                <w:vAlign w:val="center"/>
                <w:hideMark/>
              </w:tcPr>
              <w:p>
                <w:pPr>
                  <w:rPr>
                    <w:szCs w:val="24"/>
                    <w:lang w:eastAsia="lt-LT"/>
                  </w:rPr>
                </w:pPr>
                <w:r>
                  <w:rPr>
                    <w:szCs w:val="24"/>
                    <w:lang w:eastAsia="lt-LT"/>
                  </w:rPr>
                  <w:t>dalyvauti rengiant ir vykdant mobilizaciją, demobilizaciją, priimančiosios šalies paramą</w:t>
                </w:r>
              </w:p>
            </w:tc>
            <w:tc>
              <w:tcPr>
                <w:tcW w:w="1276" w:type="dxa"/>
                <w:tcBorders>
                  <w:top w:val="single" w:sz="4" w:space="0" w:color="auto"/>
                  <w:left w:val="nil"/>
                  <w:bottom w:val="single" w:sz="4" w:space="0" w:color="auto"/>
                  <w:right w:val="nil"/>
                </w:tcBorders>
                <w:shd w:val="clear" w:color="auto" w:fill="auto"/>
                <w:vAlign w:val="center"/>
              </w:tcPr>
              <w:p>
                <w:pPr>
                  <w:jc w:val="right"/>
                  <w:rPr>
                    <w:b/>
                    <w:bCs/>
                    <w:szCs w:val="24"/>
                    <w:lang w:eastAsia="lt-LT"/>
                  </w:rPr>
                </w:pPr>
                <w:r>
                  <w:rPr>
                    <w:b/>
                    <w:bCs/>
                    <w:szCs w:val="24"/>
                    <w:lang w:eastAsia="lt-LT"/>
                  </w:rPr>
                  <w:t>1 415</w:t>
                </w:r>
              </w:p>
            </w:tc>
          </w:tr>
          <w:tr>
            <w:trPr>
              <w:trHeight w:val="630"/>
              <w:jc w:val="center"/>
            </w:trPr>
            <w:tc>
              <w:tcPr>
                <w:tcW w:w="3331" w:type="dxa"/>
                <w:tcBorders>
                  <w:top w:val="single" w:sz="4" w:space="0" w:color="auto"/>
                  <w:left w:val="nil"/>
                  <w:bottom w:val="single" w:sz="4" w:space="0" w:color="auto"/>
                  <w:right w:val="nil"/>
                </w:tcBorders>
                <w:shd w:val="clear" w:color="auto" w:fill="auto"/>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kultūros ministerija</w:t>
                </w:r>
              </w:p>
            </w:tc>
            <w:tc>
              <w:tcPr>
                <w:tcW w:w="4755" w:type="dxa"/>
                <w:tcBorders>
                  <w:top w:val="single" w:sz="4" w:space="0" w:color="auto"/>
                  <w:left w:val="nil"/>
                  <w:bottom w:val="single" w:sz="4" w:space="0" w:color="auto"/>
                  <w:right w:val="nil"/>
                </w:tcBorders>
                <w:shd w:val="clear" w:color="auto" w:fill="auto"/>
                <w:vAlign w:val="center"/>
                <w:hideMark/>
              </w:tcPr>
              <w:p>
                <w:pPr>
                  <w:rPr>
                    <w:szCs w:val="24"/>
                    <w:lang w:eastAsia="lt-LT"/>
                  </w:rPr>
                </w:pPr>
                <w:r>
                  <w:rPr>
                    <w:szCs w:val="24"/>
                    <w:lang w:eastAsia="lt-LT"/>
                  </w:rPr>
                  <w:t>valstybinės kalbos vartojimo ir taisyklingumo kontrolei</w:t>
                </w:r>
              </w:p>
            </w:tc>
            <w:tc>
              <w:tcPr>
                <w:tcW w:w="1276" w:type="dxa"/>
                <w:tcBorders>
                  <w:top w:val="single" w:sz="4" w:space="0" w:color="auto"/>
                  <w:left w:val="nil"/>
                  <w:bottom w:val="single" w:sz="4" w:space="0" w:color="auto"/>
                  <w:right w:val="nil"/>
                </w:tcBorders>
                <w:shd w:val="clear" w:color="auto" w:fill="auto"/>
                <w:vAlign w:val="center"/>
              </w:tcPr>
              <w:p>
                <w:pPr>
                  <w:jc w:val="right"/>
                  <w:rPr>
                    <w:b/>
                    <w:bCs/>
                    <w:szCs w:val="24"/>
                    <w:lang w:eastAsia="lt-LT"/>
                  </w:rPr>
                </w:pPr>
                <w:r>
                  <w:rPr>
                    <w:b/>
                    <w:bCs/>
                    <w:szCs w:val="24"/>
                    <w:lang w:eastAsia="lt-LT"/>
                  </w:rPr>
                  <w:t>621</w:t>
                </w:r>
              </w:p>
            </w:tc>
          </w:tr>
          <w:tr>
            <w:trPr>
              <w:trHeight w:val="660"/>
              <w:jc w:val="center"/>
            </w:trPr>
            <w:tc>
              <w:tcPr>
                <w:tcW w:w="3331" w:type="dxa"/>
                <w:tcBorders>
                  <w:top w:val="single" w:sz="4" w:space="0" w:color="auto"/>
                  <w:left w:val="nil"/>
                  <w:bottom w:val="nil"/>
                  <w:right w:val="nil"/>
                </w:tcBorders>
                <w:shd w:val="clear" w:color="auto" w:fill="auto"/>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socialinės apsaugos ir darbo ministerija</w:t>
                </w:r>
              </w:p>
            </w:tc>
            <w:tc>
              <w:tcPr>
                <w:tcW w:w="4755" w:type="dxa"/>
                <w:tcBorders>
                  <w:top w:val="single" w:sz="4" w:space="0" w:color="auto"/>
                  <w:left w:val="nil"/>
                  <w:bottom w:val="nil"/>
                  <w:right w:val="nil"/>
                </w:tcBorders>
                <w:shd w:val="clear" w:color="auto" w:fill="auto"/>
                <w:vAlign w:val="center"/>
                <w:hideMark/>
              </w:tcPr>
              <w:p>
                <w:pPr>
                  <w:rPr>
                    <w:szCs w:val="24"/>
                    <w:lang w:eastAsia="lt-LT"/>
                  </w:rPr>
                </w:pPr>
              </w:p>
            </w:tc>
            <w:tc>
              <w:tcPr>
                <w:tcW w:w="1276" w:type="dxa"/>
                <w:tcBorders>
                  <w:top w:val="single" w:sz="4" w:space="0" w:color="auto"/>
                  <w:left w:val="nil"/>
                  <w:bottom w:val="nil"/>
                  <w:right w:val="nil"/>
                </w:tcBorders>
                <w:shd w:val="clear" w:color="auto" w:fill="auto"/>
                <w:vAlign w:val="center"/>
              </w:tcPr>
              <w:p>
                <w:pPr>
                  <w:jc w:val="right"/>
                  <w:rPr>
                    <w:b/>
                    <w:bCs/>
                    <w:szCs w:val="24"/>
                    <w:lang w:eastAsia="lt-LT"/>
                  </w:rPr>
                </w:pPr>
                <w:r>
                  <w:rPr>
                    <w:b/>
                    <w:bCs/>
                    <w:szCs w:val="24"/>
                    <w:lang w:eastAsia="lt-LT"/>
                  </w:rPr>
                  <w:t>278 321</w:t>
                </w:r>
              </w:p>
            </w:tc>
          </w:tr>
          <w:tr>
            <w:trPr>
              <w:trHeight w:val="340"/>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iš jų:</w:t>
                </w:r>
              </w:p>
            </w:tc>
            <w:tc>
              <w:tcPr>
                <w:tcW w:w="1276" w:type="dxa"/>
                <w:tcBorders>
                  <w:top w:val="nil"/>
                  <w:left w:val="nil"/>
                  <w:bottom w:val="nil"/>
                  <w:right w:val="nil"/>
                </w:tcBorders>
                <w:shd w:val="clear" w:color="auto" w:fill="auto"/>
                <w:noWrap/>
                <w:vAlign w:val="center"/>
              </w:tcPr>
              <w:p>
                <w:pPr>
                  <w:jc w:val="right"/>
                  <w:rPr>
                    <w:szCs w:val="24"/>
                    <w:lang w:eastAsia="lt-LT"/>
                  </w:rPr>
                </w:pPr>
              </w:p>
            </w:tc>
          </w:tr>
          <w:tr>
            <w:trPr>
              <w:trHeight w:val="340"/>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socialinėms išmokoms ir kompensacijoms skaičiuoti ir mokėti</w:t>
                </w:r>
              </w:p>
            </w:tc>
            <w:tc>
              <w:tcPr>
                <w:tcW w:w="1276" w:type="dxa"/>
                <w:tcBorders>
                  <w:top w:val="nil"/>
                  <w:left w:val="nil"/>
                  <w:bottom w:val="nil"/>
                  <w:right w:val="nil"/>
                </w:tcBorders>
                <w:shd w:val="clear" w:color="auto" w:fill="auto"/>
                <w:noWrap/>
                <w:vAlign w:val="center"/>
              </w:tcPr>
              <w:p>
                <w:pPr>
                  <w:jc w:val="right"/>
                  <w:rPr>
                    <w:szCs w:val="24"/>
                    <w:lang w:eastAsia="lt-LT"/>
                  </w:rPr>
                </w:pPr>
                <w:r>
                  <w:rPr>
                    <w:szCs w:val="24"/>
                    <w:lang w:eastAsia="lt-LT"/>
                  </w:rPr>
                  <w:t>24 075</w:t>
                </w:r>
              </w:p>
            </w:tc>
          </w:tr>
          <w:tr>
            <w:trPr>
              <w:trHeight w:val="340"/>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būsto nuomos mokesčio daliai kompensuoti</w:t>
                </w:r>
              </w:p>
            </w:tc>
            <w:tc>
              <w:tcPr>
                <w:tcW w:w="1276" w:type="dxa"/>
                <w:tcBorders>
                  <w:top w:val="nil"/>
                  <w:left w:val="nil"/>
                  <w:bottom w:val="nil"/>
                  <w:right w:val="nil"/>
                </w:tcBorders>
                <w:shd w:val="clear" w:color="auto" w:fill="auto"/>
                <w:vAlign w:val="center"/>
              </w:tcPr>
              <w:p>
                <w:pPr>
                  <w:jc w:val="right"/>
                  <w:rPr>
                    <w:szCs w:val="24"/>
                    <w:lang w:eastAsia="lt-LT"/>
                  </w:rPr>
                </w:pPr>
                <w:r>
                  <w:rPr>
                    <w:szCs w:val="24"/>
                    <w:lang w:eastAsia="lt-LT"/>
                  </w:rPr>
                  <w:t>11 867</w:t>
                </w:r>
              </w:p>
            </w:tc>
          </w:tr>
          <w:tr>
            <w:trPr>
              <w:trHeight w:val="340"/>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socialinei paramai mokiniams</w:t>
                </w:r>
              </w:p>
            </w:tc>
            <w:tc>
              <w:tcPr>
                <w:tcW w:w="1276" w:type="dxa"/>
                <w:tcBorders>
                  <w:top w:val="nil"/>
                  <w:left w:val="nil"/>
                  <w:bottom w:val="nil"/>
                  <w:right w:val="nil"/>
                </w:tcBorders>
                <w:shd w:val="clear" w:color="auto" w:fill="auto"/>
                <w:noWrap/>
                <w:vAlign w:val="center"/>
              </w:tcPr>
              <w:p>
                <w:pPr>
                  <w:jc w:val="right"/>
                  <w:rPr>
                    <w:szCs w:val="24"/>
                    <w:lang w:eastAsia="lt-LT"/>
                  </w:rPr>
                </w:pPr>
                <w:r>
                  <w:rPr>
                    <w:szCs w:val="24"/>
                    <w:lang w:eastAsia="lt-LT"/>
                  </w:rPr>
                  <w:t>67 797</w:t>
                </w:r>
              </w:p>
            </w:tc>
          </w:tr>
          <w:tr>
            <w:trPr>
              <w:trHeight w:val="340"/>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socialinėms paslaugoms</w:t>
                </w:r>
              </w:p>
            </w:tc>
            <w:tc>
              <w:tcPr>
                <w:tcW w:w="1276" w:type="dxa"/>
                <w:tcBorders>
                  <w:top w:val="nil"/>
                  <w:left w:val="nil"/>
                  <w:bottom w:val="nil"/>
                  <w:right w:val="nil"/>
                </w:tcBorders>
                <w:shd w:val="clear" w:color="auto" w:fill="auto"/>
                <w:noWrap/>
                <w:vAlign w:val="center"/>
              </w:tcPr>
              <w:p>
                <w:pPr>
                  <w:jc w:val="right"/>
                  <w:rPr>
                    <w:szCs w:val="24"/>
                    <w:lang w:eastAsia="lt-LT"/>
                  </w:rPr>
                </w:pPr>
                <w:r>
                  <w:rPr>
                    <w:szCs w:val="24"/>
                    <w:lang w:eastAsia="lt-LT"/>
                  </w:rPr>
                  <w:t>161 051</w:t>
                </w:r>
              </w:p>
            </w:tc>
          </w:tr>
          <w:tr>
            <w:trPr>
              <w:trHeight w:val="340"/>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jaunimo teisių apsaugai</w:t>
                </w:r>
              </w:p>
            </w:tc>
            <w:tc>
              <w:tcPr>
                <w:tcW w:w="1276" w:type="dxa"/>
                <w:tcBorders>
                  <w:top w:val="nil"/>
                  <w:left w:val="nil"/>
                  <w:bottom w:val="nil"/>
                  <w:right w:val="nil"/>
                </w:tcBorders>
                <w:shd w:val="clear" w:color="auto" w:fill="auto"/>
                <w:noWrap/>
                <w:vAlign w:val="center"/>
              </w:tcPr>
              <w:p>
                <w:pPr>
                  <w:jc w:val="right"/>
                  <w:rPr>
                    <w:szCs w:val="24"/>
                    <w:lang w:eastAsia="lt-LT"/>
                  </w:rPr>
                </w:pPr>
                <w:r>
                  <w:rPr>
                    <w:szCs w:val="24"/>
                    <w:lang w:eastAsia="lt-LT"/>
                  </w:rPr>
                  <w:t>1 267</w:t>
                </w:r>
              </w:p>
            </w:tc>
          </w:tr>
          <w:tr>
            <w:trPr>
              <w:trHeight w:val="624"/>
              <w:jc w:val="center"/>
            </w:trPr>
            <w:tc>
              <w:tcPr>
                <w:tcW w:w="3331" w:type="dxa"/>
                <w:tcBorders>
                  <w:top w:val="nil"/>
                  <w:left w:val="nil"/>
                  <w:right w:val="nil"/>
                </w:tcBorders>
                <w:shd w:val="clear" w:color="auto" w:fill="auto"/>
                <w:vAlign w:val="center"/>
                <w:hideMark/>
              </w:tcPr>
              <w:p>
                <w:pPr>
                  <w:rPr>
                    <w:szCs w:val="24"/>
                    <w:lang w:eastAsia="lt-LT"/>
                  </w:rPr>
                </w:pPr>
              </w:p>
            </w:tc>
            <w:tc>
              <w:tcPr>
                <w:tcW w:w="4755" w:type="dxa"/>
                <w:tcBorders>
                  <w:top w:val="nil"/>
                  <w:left w:val="nil"/>
                  <w:right w:val="nil"/>
                </w:tcBorders>
                <w:shd w:val="clear" w:color="auto" w:fill="auto"/>
                <w:vAlign w:val="center"/>
                <w:hideMark/>
              </w:tcPr>
              <w:p>
                <w:pPr>
                  <w:rPr>
                    <w:szCs w:val="24"/>
                    <w:lang w:eastAsia="lt-LT"/>
                  </w:rPr>
                </w:pPr>
                <w:r>
                  <w:rPr>
                    <w:szCs w:val="24"/>
                    <w:lang w:eastAsia="lt-LT"/>
                  </w:rPr>
                  <w:t>savivaldybių patvirtintoms užimtumo didinimo programoms įgyvendinti</w:t>
                </w:r>
              </w:p>
            </w:tc>
            <w:tc>
              <w:tcPr>
                <w:tcW w:w="1276" w:type="dxa"/>
                <w:tcBorders>
                  <w:top w:val="nil"/>
                  <w:left w:val="nil"/>
                  <w:right w:val="nil"/>
                </w:tcBorders>
                <w:shd w:val="clear" w:color="auto" w:fill="auto"/>
                <w:vAlign w:val="center"/>
              </w:tcPr>
              <w:p>
                <w:pPr>
                  <w:jc w:val="right"/>
                  <w:rPr>
                    <w:szCs w:val="24"/>
                    <w:lang w:eastAsia="lt-LT"/>
                  </w:rPr>
                </w:pPr>
                <w:r>
                  <w:rPr>
                    <w:szCs w:val="24"/>
                    <w:lang w:eastAsia="lt-LT"/>
                  </w:rPr>
                  <w:t>9 717</w:t>
                </w:r>
              </w:p>
            </w:tc>
          </w:tr>
          <w:tr>
            <w:trPr>
              <w:trHeight w:val="624"/>
              <w:jc w:val="center"/>
            </w:trPr>
            <w:tc>
              <w:tcPr>
                <w:tcW w:w="3331" w:type="dxa"/>
                <w:tcBorders>
                  <w:top w:val="nil"/>
                  <w:left w:val="nil"/>
                  <w:bottom w:val="single" w:sz="4" w:space="0" w:color="auto"/>
                  <w:right w:val="nil"/>
                </w:tcBorders>
                <w:shd w:val="clear" w:color="auto" w:fill="auto"/>
                <w:vAlign w:val="center"/>
                <w:hideMark/>
              </w:tcPr>
              <w:p>
                <w:pPr>
                  <w:ind w:firstLine="62"/>
                  <w:rPr>
                    <w:szCs w:val="24"/>
                    <w:lang w:eastAsia="lt-LT"/>
                  </w:rPr>
                </w:pPr>
              </w:p>
            </w:tc>
            <w:tc>
              <w:tcPr>
                <w:tcW w:w="4755" w:type="dxa"/>
                <w:tcBorders>
                  <w:top w:val="nil"/>
                  <w:left w:val="nil"/>
                  <w:bottom w:val="single" w:sz="4" w:space="0" w:color="auto"/>
                  <w:right w:val="nil"/>
                </w:tcBorders>
                <w:shd w:val="clear" w:color="auto" w:fill="auto"/>
                <w:vAlign w:val="center"/>
                <w:hideMark/>
              </w:tcPr>
              <w:p>
                <w:pPr>
                  <w:rPr>
                    <w:szCs w:val="24"/>
                    <w:lang w:eastAsia="lt-LT"/>
                  </w:rPr>
                </w:pPr>
                <w:r>
                  <w:rPr>
                    <w:szCs w:val="24"/>
                    <w:lang w:eastAsia="lt-LT"/>
                  </w:rPr>
                  <w:t>pagal teisės aktus savivaldybėms perduotoms įstaigoms išlaikyti</w:t>
                </w:r>
              </w:p>
            </w:tc>
            <w:tc>
              <w:tcPr>
                <w:tcW w:w="1276" w:type="dxa"/>
                <w:tcBorders>
                  <w:top w:val="nil"/>
                  <w:left w:val="nil"/>
                  <w:bottom w:val="single" w:sz="4" w:space="0" w:color="auto"/>
                  <w:right w:val="nil"/>
                </w:tcBorders>
                <w:shd w:val="clear" w:color="auto" w:fill="auto"/>
                <w:vAlign w:val="center"/>
              </w:tcPr>
              <w:p>
                <w:pPr>
                  <w:jc w:val="right"/>
                  <w:rPr>
                    <w:szCs w:val="24"/>
                    <w:lang w:eastAsia="lt-LT"/>
                  </w:rPr>
                </w:pPr>
                <w:r>
                  <w:rPr>
                    <w:szCs w:val="24"/>
                    <w:lang w:eastAsia="lt-LT"/>
                  </w:rPr>
                  <w:t>2 547</w:t>
                </w:r>
              </w:p>
            </w:tc>
          </w:tr>
          <w:tr>
            <w:trPr>
              <w:trHeight w:val="630"/>
              <w:jc w:val="center"/>
            </w:trPr>
            <w:tc>
              <w:tcPr>
                <w:tcW w:w="3331" w:type="dxa"/>
                <w:tcBorders>
                  <w:top w:val="single" w:sz="4" w:space="0" w:color="auto"/>
                  <w:left w:val="nil"/>
                  <w:bottom w:val="nil"/>
                  <w:right w:val="nil"/>
                </w:tcBorders>
                <w:shd w:val="clear" w:color="auto" w:fill="auto"/>
                <w:vAlign w:val="center"/>
                <w:hideMark/>
              </w:tcPr>
              <w:p>
                <w:pPr>
                  <w:rPr>
                    <w:b/>
                    <w:bCs/>
                    <w:szCs w:val="24"/>
                    <w:highlight w:val="yellow"/>
                    <w:lang w:eastAsia="lt-LT"/>
                  </w:rPr>
                </w:pPr>
                <w:r>
                  <w:rPr>
                    <w:b/>
                    <w:bCs/>
                    <w:szCs w:val="24"/>
                    <w:lang w:eastAsia="lt-LT"/>
                  </w:rPr>
                  <w:t>Lietuvos Respublikos</w:t>
                </w:r>
                <w:r>
                  <w:rPr>
                    <w:szCs w:val="24"/>
                    <w:lang w:eastAsia="lt-LT"/>
                  </w:rPr>
                  <w:t xml:space="preserve"> </w:t>
                </w:r>
                <w:r>
                  <w:rPr>
                    <w:b/>
                    <w:bCs/>
                    <w:szCs w:val="24"/>
                    <w:lang w:eastAsia="lt-LT"/>
                  </w:rPr>
                  <w:t>sveikatos apsaugos ministerija</w:t>
                </w:r>
              </w:p>
            </w:tc>
            <w:tc>
              <w:tcPr>
                <w:tcW w:w="4755" w:type="dxa"/>
                <w:tcBorders>
                  <w:top w:val="single" w:sz="4" w:space="0" w:color="auto"/>
                  <w:left w:val="nil"/>
                  <w:bottom w:val="nil"/>
                  <w:right w:val="nil"/>
                </w:tcBorders>
                <w:shd w:val="clear" w:color="auto" w:fill="auto"/>
                <w:vAlign w:val="center"/>
                <w:hideMark/>
              </w:tcPr>
              <w:p>
                <w:pPr>
                  <w:rPr>
                    <w:szCs w:val="24"/>
                    <w:lang w:eastAsia="lt-LT"/>
                  </w:rPr>
                </w:pPr>
              </w:p>
            </w:tc>
            <w:tc>
              <w:tcPr>
                <w:tcW w:w="1276" w:type="dxa"/>
                <w:tcBorders>
                  <w:top w:val="single" w:sz="4" w:space="0" w:color="auto"/>
                  <w:left w:val="nil"/>
                  <w:bottom w:val="nil"/>
                  <w:right w:val="nil"/>
                </w:tcBorders>
                <w:shd w:val="clear" w:color="auto" w:fill="auto"/>
                <w:vAlign w:val="center"/>
              </w:tcPr>
              <w:p>
                <w:pPr>
                  <w:jc w:val="right"/>
                  <w:rPr>
                    <w:b/>
                    <w:bCs/>
                    <w:szCs w:val="24"/>
                    <w:lang w:eastAsia="lt-LT"/>
                  </w:rPr>
                </w:pPr>
                <w:r>
                  <w:rPr>
                    <w:b/>
                    <w:bCs/>
                    <w:szCs w:val="24"/>
                    <w:lang w:eastAsia="lt-LT"/>
                  </w:rPr>
                  <w:t>30 455</w:t>
                </w:r>
              </w:p>
            </w:tc>
          </w:tr>
          <w:tr>
            <w:trPr>
              <w:trHeight w:val="315"/>
              <w:jc w:val="center"/>
            </w:trPr>
            <w:tc>
              <w:tcPr>
                <w:tcW w:w="3331" w:type="dxa"/>
                <w:tcBorders>
                  <w:top w:val="nil"/>
                  <w:left w:val="nil"/>
                  <w:bottom w:val="nil"/>
                  <w:right w:val="nil"/>
                </w:tcBorders>
                <w:shd w:val="clear" w:color="auto" w:fill="auto"/>
                <w:vAlign w:val="center"/>
                <w:hideMark/>
              </w:tcPr>
              <w:p>
                <w:pPr>
                  <w:rPr>
                    <w:b/>
                    <w:bCs/>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iš jų:</w:t>
                </w:r>
              </w:p>
            </w:tc>
            <w:tc>
              <w:tcPr>
                <w:tcW w:w="1276" w:type="dxa"/>
                <w:tcBorders>
                  <w:top w:val="nil"/>
                  <w:left w:val="nil"/>
                  <w:bottom w:val="nil"/>
                  <w:right w:val="nil"/>
                </w:tcBorders>
                <w:shd w:val="clear" w:color="auto" w:fill="auto"/>
                <w:vAlign w:val="center"/>
              </w:tcPr>
              <w:p>
                <w:pPr>
                  <w:jc w:val="right"/>
                  <w:rPr>
                    <w:b/>
                    <w:bCs/>
                    <w:szCs w:val="24"/>
                    <w:lang w:eastAsia="lt-LT"/>
                  </w:rPr>
                </w:pPr>
              </w:p>
            </w:tc>
          </w:tr>
          <w:tr>
            <w:trPr>
              <w:trHeight w:val="567"/>
              <w:jc w:val="center"/>
            </w:trPr>
            <w:tc>
              <w:tcPr>
                <w:tcW w:w="3331" w:type="dxa"/>
                <w:tcBorders>
                  <w:top w:val="nil"/>
                  <w:left w:val="nil"/>
                  <w:bottom w:val="nil"/>
                  <w:right w:val="nil"/>
                </w:tcBorders>
                <w:shd w:val="clear" w:color="auto" w:fill="auto"/>
                <w:vAlign w:val="center"/>
                <w:hideMark/>
              </w:tcPr>
              <w:p>
                <w:pPr>
                  <w:rPr>
                    <w:b/>
                    <w:bCs/>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visuomenės sveikatos priežiūros funkcijoms vykdyti</w:t>
                </w:r>
              </w:p>
            </w:tc>
            <w:tc>
              <w:tcPr>
                <w:tcW w:w="1276" w:type="dxa"/>
                <w:tcBorders>
                  <w:top w:val="nil"/>
                  <w:left w:val="nil"/>
                  <w:bottom w:val="nil"/>
                  <w:right w:val="nil"/>
                </w:tcBorders>
                <w:shd w:val="clear" w:color="auto" w:fill="auto"/>
                <w:vAlign w:val="center"/>
              </w:tcPr>
              <w:p>
                <w:pPr>
                  <w:jc w:val="right"/>
                  <w:rPr>
                    <w:szCs w:val="24"/>
                    <w:lang w:eastAsia="lt-LT"/>
                  </w:rPr>
                </w:pPr>
                <w:r>
                  <w:rPr>
                    <w:szCs w:val="24"/>
                    <w:lang w:eastAsia="lt-LT"/>
                  </w:rPr>
                  <w:t>30 227</w:t>
                </w:r>
              </w:p>
            </w:tc>
          </w:tr>
          <w:tr>
            <w:trPr>
              <w:trHeight w:val="645"/>
              <w:jc w:val="center"/>
            </w:trPr>
            <w:tc>
              <w:tcPr>
                <w:tcW w:w="3331" w:type="dxa"/>
                <w:tcBorders>
                  <w:top w:val="nil"/>
                  <w:left w:val="nil"/>
                  <w:bottom w:val="single" w:sz="4" w:space="0" w:color="auto"/>
                  <w:right w:val="nil"/>
                </w:tcBorders>
                <w:shd w:val="clear" w:color="auto" w:fill="auto"/>
                <w:vAlign w:val="center"/>
                <w:hideMark/>
              </w:tcPr>
              <w:p>
                <w:pPr>
                  <w:rPr>
                    <w:b/>
                    <w:bCs/>
                    <w:szCs w:val="24"/>
                    <w:lang w:eastAsia="lt-LT"/>
                  </w:rPr>
                </w:pPr>
              </w:p>
            </w:tc>
            <w:tc>
              <w:tcPr>
                <w:tcW w:w="4755" w:type="dxa"/>
                <w:tcBorders>
                  <w:top w:val="nil"/>
                  <w:left w:val="nil"/>
                  <w:bottom w:val="single" w:sz="4" w:space="0" w:color="auto"/>
                  <w:right w:val="nil"/>
                </w:tcBorders>
                <w:shd w:val="clear" w:color="auto" w:fill="auto"/>
                <w:vAlign w:val="center"/>
                <w:hideMark/>
              </w:tcPr>
              <w:p>
                <w:pPr>
                  <w:rPr>
                    <w:szCs w:val="24"/>
                    <w:lang w:eastAsia="lt-LT"/>
                  </w:rPr>
                </w:pPr>
                <w:r>
                  <w:rPr>
                    <w:szCs w:val="24"/>
                    <w:lang w:eastAsia="lt-LT"/>
                  </w:rPr>
                  <w:t>neveiksnių asmenų būklės peržiūrėjimui užtikrinti</w:t>
                </w:r>
              </w:p>
            </w:tc>
            <w:tc>
              <w:tcPr>
                <w:tcW w:w="1276" w:type="dxa"/>
                <w:tcBorders>
                  <w:top w:val="nil"/>
                  <w:left w:val="nil"/>
                  <w:bottom w:val="single" w:sz="4" w:space="0" w:color="auto"/>
                  <w:right w:val="nil"/>
                </w:tcBorders>
                <w:shd w:val="clear" w:color="auto" w:fill="auto"/>
                <w:vAlign w:val="center"/>
              </w:tcPr>
              <w:p>
                <w:pPr>
                  <w:jc w:val="right"/>
                  <w:rPr>
                    <w:szCs w:val="24"/>
                    <w:lang w:eastAsia="lt-LT"/>
                  </w:rPr>
                </w:pPr>
                <w:r>
                  <w:rPr>
                    <w:szCs w:val="24"/>
                    <w:lang w:eastAsia="lt-LT"/>
                  </w:rPr>
                  <w:t>228</w:t>
                </w:r>
              </w:p>
            </w:tc>
          </w:tr>
          <w:tr>
            <w:trPr>
              <w:trHeight w:val="570"/>
              <w:jc w:val="center"/>
            </w:trPr>
            <w:tc>
              <w:tcPr>
                <w:tcW w:w="3331" w:type="dxa"/>
                <w:tcBorders>
                  <w:top w:val="single" w:sz="4" w:space="0" w:color="auto"/>
                </w:tcBorders>
                <w:shd w:val="clear" w:color="auto" w:fill="FFFFFF" w:themeFill="background1"/>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švietimo, mokslo ir sporto ministerija</w:t>
                </w:r>
              </w:p>
            </w:tc>
            <w:tc>
              <w:tcPr>
                <w:tcW w:w="4755" w:type="dxa"/>
                <w:tcBorders>
                  <w:top w:val="single" w:sz="4" w:space="0" w:color="auto"/>
                </w:tcBorders>
                <w:shd w:val="clear" w:color="auto" w:fill="auto"/>
                <w:vAlign w:val="center"/>
                <w:hideMark/>
              </w:tcPr>
              <w:p>
                <w:pPr>
                  <w:rPr>
                    <w:szCs w:val="24"/>
                    <w:lang w:eastAsia="lt-LT"/>
                  </w:rPr>
                </w:pPr>
              </w:p>
            </w:tc>
            <w:tc>
              <w:tcPr>
                <w:tcW w:w="1276" w:type="dxa"/>
                <w:tcBorders>
                  <w:top w:val="single" w:sz="4" w:space="0" w:color="auto"/>
                </w:tcBorders>
                <w:shd w:val="clear" w:color="auto" w:fill="auto"/>
                <w:noWrap/>
                <w:vAlign w:val="center"/>
              </w:tcPr>
              <w:p>
                <w:pPr>
                  <w:jc w:val="right"/>
                  <w:rPr>
                    <w:b/>
                    <w:bCs/>
                    <w:szCs w:val="24"/>
                    <w:lang w:eastAsia="lt-LT"/>
                  </w:rPr>
                </w:pPr>
                <w:r>
                  <w:rPr>
                    <w:b/>
                    <w:bCs/>
                    <w:szCs w:val="24"/>
                    <w:lang w:eastAsia="lt-LT"/>
                  </w:rPr>
                  <w:t>1 693 499</w:t>
                </w:r>
              </w:p>
            </w:tc>
          </w:tr>
          <w:tr>
            <w:trPr>
              <w:trHeight w:val="723"/>
              <w:jc w:val="center"/>
            </w:trPr>
            <w:tc>
              <w:tcPr>
                <w:tcW w:w="3331" w:type="dxa"/>
                <w:shd w:val="clear" w:color="auto" w:fill="auto"/>
                <w:vAlign w:val="center"/>
                <w:hideMark/>
              </w:tcPr>
              <w:p>
                <w:pPr>
                  <w:rPr>
                    <w:b/>
                    <w:bCs/>
                    <w:szCs w:val="24"/>
                    <w:lang w:eastAsia="lt-LT"/>
                  </w:rPr>
                </w:pPr>
              </w:p>
            </w:tc>
            <w:tc>
              <w:tcPr>
                <w:tcW w:w="4755" w:type="dxa"/>
                <w:shd w:val="clear" w:color="auto" w:fill="auto"/>
                <w:vAlign w:val="center"/>
                <w:hideMark/>
              </w:tcPr>
              <w:p>
                <w:pPr>
                  <w:rPr>
                    <w:lang w:eastAsia="lt-LT"/>
                  </w:rPr>
                </w:pPr>
                <w:r>
                  <w:rPr>
                    <w:lang w:eastAsia="lt-LT"/>
                  </w:rPr>
                  <w:t>iš jų:</w:t>
                </w:r>
              </w:p>
              <w:p>
                <w:pPr>
                  <w:rPr>
                    <w:lang w:eastAsia="lt-LT"/>
                  </w:rPr>
                </w:pPr>
                <w:r>
                  <w:rPr>
                    <w:lang w:eastAsia="lt-LT"/>
                  </w:rPr>
                  <w:t>ugdymo reikmėms finansuoti</w:t>
                </w:r>
              </w:p>
            </w:tc>
            <w:tc>
              <w:tcPr>
                <w:tcW w:w="1276" w:type="dxa"/>
                <w:shd w:val="clear" w:color="auto" w:fill="auto"/>
                <w:noWrap/>
                <w:vAlign w:val="center"/>
              </w:tcPr>
              <w:p>
                <w:pPr>
                  <w:jc w:val="right"/>
                  <w:rPr>
                    <w:bCs/>
                    <w:lang w:eastAsia="lt-LT"/>
                  </w:rPr>
                </w:pPr>
                <w:r>
                  <w:rPr>
                    <w:bCs/>
                    <w:lang w:eastAsia="lt-LT"/>
                  </w:rPr>
                  <w:t>1 660 102</w:t>
                </w:r>
              </w:p>
            </w:tc>
          </w:tr>
          <w:tr>
            <w:trPr>
              <w:trHeight w:val="1541"/>
              <w:jc w:val="center"/>
            </w:trPr>
            <w:tc>
              <w:tcPr>
                <w:tcW w:w="3331" w:type="dxa"/>
                <w:shd w:val="clear" w:color="auto" w:fill="auto"/>
                <w:vAlign w:val="center"/>
                <w:hideMark/>
              </w:tcPr>
              <w:p>
                <w:pPr>
                  <w:ind w:firstLine="62"/>
                  <w:rPr>
                    <w:b/>
                    <w:bCs/>
                    <w:szCs w:val="24"/>
                    <w:lang w:eastAsia="lt-LT"/>
                  </w:rPr>
                </w:pPr>
              </w:p>
            </w:tc>
            <w:tc>
              <w:tcPr>
                <w:tcW w:w="4755" w:type="dxa"/>
                <w:shd w:val="clear" w:color="auto" w:fill="auto"/>
                <w:vAlign w:val="center"/>
                <w:hideMark/>
              </w:tcPr>
              <w:p>
                <w:pPr>
                  <w:rPr>
                    <w:szCs w:val="24"/>
                    <w:lang w:eastAsia="lt-LT"/>
                  </w:rPr>
                </w:pPr>
                <w:r>
                  <w:rPr>
                    <w:szCs w:val="24"/>
                    <w:lang w:eastAsia="lt-LT"/>
                  </w:rPr>
                  <w:t>savivaldybių mokykloms (klasėms arba grupėms), skirtoms šalies (regiono) mokiniams, turintiems specialiųjų ugdymosi poreikių, ir kitoms savivaldybėms perduotoms įstaigoms išlaikyti</w:t>
                </w:r>
              </w:p>
            </w:tc>
            <w:tc>
              <w:tcPr>
                <w:tcW w:w="1276" w:type="dxa"/>
                <w:shd w:val="clear" w:color="auto" w:fill="auto"/>
                <w:noWrap/>
                <w:vAlign w:val="center"/>
              </w:tcPr>
              <w:p>
                <w:pPr>
                  <w:jc w:val="right"/>
                  <w:rPr>
                    <w:szCs w:val="24"/>
                    <w:lang w:eastAsia="lt-LT"/>
                  </w:rPr>
                </w:pPr>
                <w:r>
                  <w:rPr>
                    <w:szCs w:val="24"/>
                    <w:lang w:eastAsia="lt-LT"/>
                  </w:rPr>
                  <w:t>32 164</w:t>
                </w:r>
              </w:p>
            </w:tc>
          </w:tr>
          <w:tr>
            <w:trPr>
              <w:trHeight w:val="510"/>
              <w:jc w:val="center"/>
            </w:trPr>
            <w:tc>
              <w:tcPr>
                <w:tcW w:w="3331" w:type="dxa"/>
                <w:tcBorders>
                  <w:bottom w:val="single" w:sz="4" w:space="0" w:color="auto"/>
                </w:tcBorders>
                <w:shd w:val="clear" w:color="auto" w:fill="auto"/>
                <w:vAlign w:val="center"/>
              </w:tcPr>
              <w:p>
                <w:pPr>
                  <w:rPr>
                    <w:b/>
                    <w:bCs/>
                    <w:szCs w:val="24"/>
                    <w:lang w:eastAsia="lt-LT"/>
                  </w:rPr>
                </w:pPr>
              </w:p>
            </w:tc>
            <w:tc>
              <w:tcPr>
                <w:tcW w:w="4755" w:type="dxa"/>
                <w:tcBorders>
                  <w:bottom w:val="single" w:sz="4" w:space="0" w:color="auto"/>
                </w:tcBorders>
                <w:shd w:val="clear" w:color="auto" w:fill="auto"/>
                <w:vAlign w:val="center"/>
              </w:tcPr>
              <w:p>
                <w:pPr>
                  <w:rPr>
                    <w:szCs w:val="24"/>
                    <w:lang w:eastAsia="lt-LT"/>
                  </w:rPr>
                </w:pPr>
                <w:r>
                  <w:rPr>
                    <w:szCs w:val="24"/>
                    <w:lang w:eastAsia="lt-LT"/>
                  </w:rPr>
                  <w:t>koordinuotai teikiamų paslaugų vaikams nuo gimimo iki 18 metų (turintiems didelių ir labai didelių specialiųjų ugdymosi poreikių – iki 21 metų) ir vaiko atstovams koordinavimui finansuoti</w:t>
                </w:r>
              </w:p>
            </w:tc>
            <w:tc>
              <w:tcPr>
                <w:tcW w:w="1276" w:type="dxa"/>
                <w:tcBorders>
                  <w:bottom w:val="single" w:sz="4" w:space="0" w:color="auto"/>
                </w:tcBorders>
                <w:shd w:val="clear" w:color="auto" w:fill="auto"/>
                <w:noWrap/>
                <w:vAlign w:val="center"/>
              </w:tcPr>
              <w:p>
                <w:pPr>
                  <w:jc w:val="right"/>
                  <w:rPr>
                    <w:szCs w:val="24"/>
                    <w:lang w:eastAsia="lt-LT"/>
                  </w:rPr>
                </w:pPr>
                <w:r>
                  <w:rPr>
                    <w:szCs w:val="24"/>
                    <w:lang w:eastAsia="lt-LT"/>
                  </w:rPr>
                  <w:t>1 233</w:t>
                </w:r>
              </w:p>
            </w:tc>
          </w:tr>
          <w:tr>
            <w:trPr>
              <w:trHeight w:val="453"/>
              <w:jc w:val="center"/>
            </w:trPr>
            <w:tc>
              <w:tcPr>
                <w:tcW w:w="3331" w:type="dxa"/>
                <w:tcBorders>
                  <w:top w:val="single" w:sz="4" w:space="0" w:color="auto"/>
                  <w:left w:val="nil"/>
                  <w:bottom w:val="nil"/>
                  <w:right w:val="nil"/>
                </w:tcBorders>
                <w:shd w:val="clear" w:color="auto" w:fill="auto"/>
                <w:vAlign w:val="center"/>
                <w:hideMark/>
              </w:tcPr>
              <w:p>
                <w:pPr>
                  <w:rPr>
                    <w:b/>
                    <w:bCs/>
                    <w:szCs w:val="24"/>
                    <w:lang w:eastAsia="lt-LT"/>
                  </w:rPr>
                </w:pPr>
                <w:r>
                  <w:rPr>
                    <w:b/>
                    <w:bCs/>
                    <w:szCs w:val="24"/>
                    <w:lang w:eastAsia="lt-LT"/>
                  </w:rPr>
                  <w:t>Lietuvos Respublikos</w:t>
                </w:r>
                <w:r>
                  <w:rPr>
                    <w:szCs w:val="24"/>
                    <w:lang w:eastAsia="lt-LT"/>
                  </w:rPr>
                  <w:t xml:space="preserve"> </w:t>
                </w:r>
                <w:r>
                  <w:rPr>
                    <w:b/>
                    <w:bCs/>
                    <w:szCs w:val="24"/>
                    <w:lang w:eastAsia="lt-LT"/>
                  </w:rPr>
                  <w:t>teisingumo ministerija</w:t>
                </w:r>
              </w:p>
            </w:tc>
            <w:tc>
              <w:tcPr>
                <w:tcW w:w="4755" w:type="dxa"/>
                <w:tcBorders>
                  <w:top w:val="single" w:sz="4" w:space="0" w:color="auto"/>
                  <w:left w:val="nil"/>
                  <w:bottom w:val="nil"/>
                  <w:right w:val="nil"/>
                </w:tcBorders>
                <w:shd w:val="clear" w:color="auto" w:fill="auto"/>
                <w:vAlign w:val="center"/>
                <w:hideMark/>
              </w:tcPr>
              <w:p>
                <w:pPr>
                  <w:ind w:firstLine="62"/>
                  <w:rPr>
                    <w:szCs w:val="24"/>
                    <w:lang w:eastAsia="lt-LT"/>
                  </w:rPr>
                </w:pPr>
              </w:p>
            </w:tc>
            <w:tc>
              <w:tcPr>
                <w:tcW w:w="1276" w:type="dxa"/>
                <w:tcBorders>
                  <w:top w:val="single" w:sz="4" w:space="0" w:color="auto"/>
                  <w:left w:val="nil"/>
                  <w:bottom w:val="nil"/>
                  <w:right w:val="nil"/>
                </w:tcBorders>
                <w:shd w:val="clear" w:color="auto" w:fill="auto"/>
                <w:vAlign w:val="center"/>
              </w:tcPr>
              <w:p>
                <w:pPr>
                  <w:jc w:val="right"/>
                  <w:rPr>
                    <w:b/>
                    <w:bCs/>
                    <w:szCs w:val="24"/>
                    <w:lang w:eastAsia="lt-LT"/>
                  </w:rPr>
                </w:pPr>
                <w:r>
                  <w:rPr>
                    <w:b/>
                    <w:bCs/>
                    <w:szCs w:val="24"/>
                    <w:lang w:eastAsia="lt-LT"/>
                  </w:rPr>
                  <w:t>3 037</w:t>
                </w:r>
              </w:p>
            </w:tc>
          </w:tr>
          <w:tr>
            <w:trPr>
              <w:trHeight w:val="315"/>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iš jų:</w:t>
                </w:r>
              </w:p>
            </w:tc>
            <w:tc>
              <w:tcPr>
                <w:tcW w:w="1276" w:type="dxa"/>
                <w:tcBorders>
                  <w:top w:val="nil"/>
                  <w:left w:val="nil"/>
                  <w:bottom w:val="nil"/>
                  <w:right w:val="nil"/>
                </w:tcBorders>
                <w:shd w:val="clear" w:color="auto" w:fill="auto"/>
                <w:vAlign w:val="center"/>
              </w:tcPr>
              <w:p>
                <w:pPr>
                  <w:jc w:val="right"/>
                  <w:rPr>
                    <w:szCs w:val="24"/>
                    <w:lang w:eastAsia="lt-LT"/>
                  </w:rPr>
                </w:pPr>
              </w:p>
            </w:tc>
          </w:tr>
          <w:tr>
            <w:trPr>
              <w:trHeight w:val="275"/>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civilinės būklės aktams registruoti</w:t>
                </w:r>
              </w:p>
            </w:tc>
            <w:tc>
              <w:tcPr>
                <w:tcW w:w="1276" w:type="dxa"/>
                <w:tcBorders>
                  <w:top w:val="nil"/>
                  <w:left w:val="nil"/>
                  <w:bottom w:val="nil"/>
                  <w:right w:val="nil"/>
                </w:tcBorders>
                <w:shd w:val="clear" w:color="auto" w:fill="auto"/>
                <w:vAlign w:val="center"/>
              </w:tcPr>
              <w:p>
                <w:pPr>
                  <w:jc w:val="right"/>
                  <w:rPr>
                    <w:szCs w:val="24"/>
                    <w:lang w:eastAsia="lt-LT"/>
                  </w:rPr>
                </w:pPr>
                <w:r>
                  <w:rPr>
                    <w:szCs w:val="24"/>
                    <w:lang w:eastAsia="lt-LT"/>
                  </w:rPr>
                  <w:t>2 246</w:t>
                </w:r>
              </w:p>
            </w:tc>
          </w:tr>
          <w:tr>
            <w:trPr>
              <w:trHeight w:val="563"/>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val="it-IT" w:eastAsia="lt-LT"/>
                  </w:rPr>
                </w:pPr>
                <w:r>
                  <w:rPr>
                    <w:szCs w:val="24"/>
                    <w:lang w:eastAsia="lt-LT"/>
                  </w:rPr>
                  <w:t>valstybės garantuojamai pirminei teisinei pagalbai teikti</w:t>
                </w:r>
              </w:p>
            </w:tc>
            <w:tc>
              <w:tcPr>
                <w:tcW w:w="1276" w:type="dxa"/>
                <w:tcBorders>
                  <w:top w:val="nil"/>
                  <w:left w:val="nil"/>
                  <w:bottom w:val="nil"/>
                  <w:right w:val="nil"/>
                </w:tcBorders>
                <w:shd w:val="clear" w:color="auto" w:fill="auto"/>
                <w:vAlign w:val="center"/>
              </w:tcPr>
              <w:p>
                <w:pPr>
                  <w:jc w:val="right"/>
                  <w:rPr>
                    <w:szCs w:val="24"/>
                    <w:lang w:eastAsia="lt-LT"/>
                  </w:rPr>
                </w:pPr>
                <w:r>
                  <w:rPr>
                    <w:szCs w:val="24"/>
                    <w:lang w:eastAsia="lt-LT"/>
                  </w:rPr>
                  <w:t>740</w:t>
                </w:r>
              </w:p>
            </w:tc>
          </w:tr>
          <w:tr>
            <w:trPr>
              <w:trHeight w:val="660"/>
              <w:jc w:val="center"/>
            </w:trPr>
            <w:tc>
              <w:tcPr>
                <w:tcW w:w="3331" w:type="dxa"/>
                <w:tcBorders>
                  <w:top w:val="nil"/>
                  <w:left w:val="nil"/>
                  <w:right w:val="nil"/>
                </w:tcBorders>
                <w:shd w:val="clear" w:color="auto" w:fill="auto"/>
                <w:vAlign w:val="center"/>
                <w:hideMark/>
              </w:tcPr>
              <w:p>
                <w:pPr>
                  <w:rPr>
                    <w:szCs w:val="24"/>
                    <w:lang w:eastAsia="lt-LT"/>
                  </w:rPr>
                </w:pPr>
              </w:p>
            </w:tc>
            <w:tc>
              <w:tcPr>
                <w:tcW w:w="4755" w:type="dxa"/>
                <w:tcBorders>
                  <w:top w:val="nil"/>
                  <w:left w:val="nil"/>
                  <w:right w:val="nil"/>
                </w:tcBorders>
                <w:shd w:val="clear" w:color="auto" w:fill="auto"/>
                <w:vAlign w:val="center"/>
                <w:hideMark/>
              </w:tcPr>
              <w:p>
                <w:pPr>
                  <w:rPr>
                    <w:szCs w:val="24"/>
                    <w:lang w:eastAsia="lt-LT"/>
                  </w:rPr>
                </w:pPr>
                <w:r>
                  <w:rPr>
                    <w:szCs w:val="24"/>
                    <w:lang w:eastAsia="lt-LT"/>
                  </w:rPr>
                  <w:t>Gyventojų registrui tvarkyti ir duomenims valstybės registrui teikti</w:t>
                </w:r>
              </w:p>
            </w:tc>
            <w:tc>
              <w:tcPr>
                <w:tcW w:w="1276" w:type="dxa"/>
                <w:tcBorders>
                  <w:top w:val="nil"/>
                  <w:left w:val="nil"/>
                  <w:right w:val="nil"/>
                </w:tcBorders>
                <w:shd w:val="clear" w:color="auto" w:fill="auto"/>
                <w:vAlign w:val="center"/>
              </w:tcPr>
              <w:p>
                <w:pPr>
                  <w:jc w:val="right"/>
                  <w:rPr>
                    <w:szCs w:val="24"/>
                    <w:lang w:eastAsia="lt-LT"/>
                  </w:rPr>
                </w:pPr>
                <w:r>
                  <w:rPr>
                    <w:szCs w:val="24"/>
                    <w:lang w:eastAsia="lt-LT"/>
                  </w:rPr>
                  <w:t>51</w:t>
                </w:r>
              </w:p>
            </w:tc>
          </w:tr>
          <w:tr>
            <w:trPr>
              <w:trHeight w:val="20"/>
              <w:jc w:val="center"/>
            </w:trPr>
            <w:tc>
              <w:tcPr>
                <w:tcW w:w="3331" w:type="dxa"/>
                <w:tcBorders>
                  <w:top w:val="single" w:sz="4" w:space="0" w:color="auto"/>
                  <w:left w:val="nil"/>
                  <w:bottom w:val="nil"/>
                  <w:right w:val="nil"/>
                </w:tcBorders>
                <w:shd w:val="clear" w:color="auto" w:fill="auto"/>
                <w:vAlign w:val="center"/>
              </w:tcPr>
              <w:p>
                <w:pPr>
                  <w:rPr>
                    <w:b/>
                    <w:bCs/>
                    <w:szCs w:val="24"/>
                    <w:lang w:eastAsia="lt-LT"/>
                  </w:rPr>
                </w:pPr>
                <w:r>
                  <w:rPr>
                    <w:b/>
                    <w:bCs/>
                    <w:szCs w:val="24"/>
                    <w:lang w:eastAsia="lt-LT"/>
                  </w:rPr>
                  <w:t xml:space="preserve">Lietuvos Respublikos </w:t>
                </w:r>
              </w:p>
              <w:p>
                <w:pPr>
                  <w:rPr>
                    <w:b/>
                    <w:bCs/>
                    <w:szCs w:val="24"/>
                    <w:lang w:eastAsia="lt-LT"/>
                  </w:rPr>
                </w:pPr>
                <w:r>
                  <w:rPr>
                    <w:b/>
                    <w:bCs/>
                    <w:szCs w:val="24"/>
                    <w:lang w:eastAsia="lt-LT"/>
                  </w:rPr>
                  <w:t>vidaus reikalų ministerija</w:t>
                </w:r>
              </w:p>
            </w:tc>
            <w:tc>
              <w:tcPr>
                <w:tcW w:w="4755" w:type="dxa"/>
                <w:tcBorders>
                  <w:top w:val="single" w:sz="4" w:space="0" w:color="auto"/>
                  <w:left w:val="nil"/>
                  <w:bottom w:val="nil"/>
                  <w:right w:val="nil"/>
                </w:tcBorders>
                <w:shd w:val="clear" w:color="auto" w:fill="auto"/>
                <w:vAlign w:val="center"/>
              </w:tcPr>
              <w:p>
                <w:pPr>
                  <w:rPr>
                    <w:szCs w:val="24"/>
                    <w:lang w:eastAsia="lt-LT"/>
                  </w:rPr>
                </w:pPr>
              </w:p>
            </w:tc>
            <w:tc>
              <w:tcPr>
                <w:tcW w:w="1276" w:type="dxa"/>
                <w:tcBorders>
                  <w:top w:val="single" w:sz="4" w:space="0" w:color="auto"/>
                  <w:left w:val="nil"/>
                  <w:bottom w:val="nil"/>
                  <w:right w:val="nil"/>
                </w:tcBorders>
                <w:shd w:val="clear" w:color="auto" w:fill="auto"/>
                <w:noWrap/>
                <w:vAlign w:val="center"/>
              </w:tcPr>
              <w:p>
                <w:pPr>
                  <w:jc w:val="right"/>
                  <w:rPr>
                    <w:b/>
                    <w:bCs/>
                    <w:szCs w:val="24"/>
                    <w:lang w:eastAsia="lt-LT"/>
                  </w:rPr>
                </w:pPr>
                <w:r>
                  <w:rPr>
                    <w:b/>
                    <w:bCs/>
                    <w:szCs w:val="24"/>
                    <w:lang w:eastAsia="lt-LT"/>
                  </w:rPr>
                  <w:t>52 746</w:t>
                </w:r>
              </w:p>
            </w:tc>
          </w:tr>
          <w:tr>
            <w:trPr>
              <w:trHeight w:val="206"/>
              <w:jc w:val="center"/>
            </w:trPr>
            <w:tc>
              <w:tcPr>
                <w:tcW w:w="3331" w:type="dxa"/>
                <w:tcBorders>
                  <w:left w:val="nil"/>
                  <w:bottom w:val="nil"/>
                  <w:right w:val="nil"/>
                </w:tcBorders>
                <w:shd w:val="clear" w:color="auto" w:fill="auto"/>
                <w:vAlign w:val="center"/>
              </w:tcPr>
              <w:p>
                <w:pPr>
                  <w:rPr>
                    <w:b/>
                    <w:bCs/>
                    <w:szCs w:val="24"/>
                    <w:lang w:eastAsia="lt-LT"/>
                  </w:rPr>
                </w:pPr>
              </w:p>
            </w:tc>
            <w:tc>
              <w:tcPr>
                <w:tcW w:w="4755" w:type="dxa"/>
                <w:tcBorders>
                  <w:left w:val="nil"/>
                  <w:bottom w:val="nil"/>
                  <w:right w:val="nil"/>
                </w:tcBorders>
                <w:shd w:val="clear" w:color="auto" w:fill="auto"/>
                <w:vAlign w:val="center"/>
              </w:tcPr>
              <w:p>
                <w:pPr>
                  <w:rPr>
                    <w:szCs w:val="24"/>
                    <w:lang w:eastAsia="lt-LT"/>
                  </w:rPr>
                </w:pPr>
                <w:r>
                  <w:rPr>
                    <w:szCs w:val="24"/>
                    <w:lang w:eastAsia="lt-LT"/>
                  </w:rPr>
                  <w:t>iš jų:</w:t>
                </w:r>
              </w:p>
            </w:tc>
            <w:tc>
              <w:tcPr>
                <w:tcW w:w="1276" w:type="dxa"/>
                <w:tcBorders>
                  <w:left w:val="nil"/>
                  <w:bottom w:val="nil"/>
                  <w:right w:val="nil"/>
                </w:tcBorders>
                <w:shd w:val="clear" w:color="auto" w:fill="auto"/>
                <w:noWrap/>
                <w:vAlign w:val="center"/>
              </w:tcPr>
              <w:p>
                <w:pPr>
                  <w:jc w:val="right"/>
                  <w:rPr>
                    <w:b/>
                    <w:bCs/>
                    <w:szCs w:val="24"/>
                    <w:lang w:eastAsia="lt-LT"/>
                  </w:rPr>
                </w:pPr>
              </w:p>
            </w:tc>
          </w:tr>
          <w:tr>
            <w:trPr>
              <w:trHeight w:val="206"/>
              <w:jc w:val="center"/>
            </w:trPr>
            <w:tc>
              <w:tcPr>
                <w:tcW w:w="3331" w:type="dxa"/>
                <w:tcBorders>
                  <w:left w:val="nil"/>
                  <w:bottom w:val="nil"/>
                  <w:right w:val="nil"/>
                </w:tcBorders>
                <w:shd w:val="clear" w:color="auto" w:fill="auto"/>
                <w:vAlign w:val="center"/>
              </w:tcPr>
              <w:p>
                <w:pPr>
                  <w:rPr>
                    <w:b/>
                    <w:bCs/>
                    <w:szCs w:val="24"/>
                    <w:lang w:eastAsia="lt-LT"/>
                  </w:rPr>
                </w:pPr>
              </w:p>
            </w:tc>
            <w:tc>
              <w:tcPr>
                <w:tcW w:w="4755" w:type="dxa"/>
                <w:tcBorders>
                  <w:left w:val="nil"/>
                  <w:bottom w:val="nil"/>
                  <w:right w:val="nil"/>
                </w:tcBorders>
                <w:shd w:val="clear" w:color="auto" w:fill="auto"/>
                <w:vAlign w:val="center"/>
              </w:tcPr>
              <w:p>
                <w:pPr>
                  <w:rPr>
                    <w:szCs w:val="24"/>
                    <w:lang w:eastAsia="lt-LT"/>
                  </w:rPr>
                </w:pPr>
                <w:r>
                  <w:rPr>
                    <w:szCs w:val="24"/>
                    <w:lang w:eastAsia="lt-LT"/>
                  </w:rPr>
                  <w:t>priešgaisrinei saugai</w:t>
                </w:r>
              </w:p>
            </w:tc>
            <w:tc>
              <w:tcPr>
                <w:tcW w:w="1276" w:type="dxa"/>
                <w:tcBorders>
                  <w:left w:val="nil"/>
                  <w:bottom w:val="nil"/>
                  <w:right w:val="nil"/>
                </w:tcBorders>
                <w:shd w:val="clear" w:color="auto" w:fill="auto"/>
                <w:noWrap/>
                <w:vAlign w:val="center"/>
              </w:tcPr>
              <w:p>
                <w:pPr>
                  <w:jc w:val="right"/>
                  <w:rPr>
                    <w:bCs/>
                    <w:szCs w:val="24"/>
                    <w:lang w:eastAsia="lt-LT"/>
                  </w:rPr>
                </w:pPr>
                <w:r>
                  <w:rPr>
                    <w:bCs/>
                    <w:szCs w:val="24"/>
                    <w:lang w:eastAsia="lt-LT"/>
                  </w:rPr>
                  <w:t>48 052</w:t>
                </w:r>
              </w:p>
            </w:tc>
          </w:tr>
          <w:tr>
            <w:trPr>
              <w:trHeight w:val="206"/>
              <w:jc w:val="center"/>
            </w:trPr>
            <w:tc>
              <w:tcPr>
                <w:tcW w:w="3331" w:type="dxa"/>
                <w:tcBorders>
                  <w:left w:val="nil"/>
                  <w:bottom w:val="nil"/>
                  <w:right w:val="nil"/>
                </w:tcBorders>
                <w:shd w:val="clear" w:color="auto" w:fill="auto"/>
                <w:vAlign w:val="center"/>
              </w:tcPr>
              <w:p>
                <w:pPr>
                  <w:rPr>
                    <w:b/>
                    <w:bCs/>
                    <w:szCs w:val="24"/>
                    <w:lang w:eastAsia="lt-LT"/>
                  </w:rPr>
                </w:pPr>
              </w:p>
            </w:tc>
            <w:tc>
              <w:tcPr>
                <w:tcW w:w="4755" w:type="dxa"/>
                <w:tcBorders>
                  <w:left w:val="nil"/>
                  <w:bottom w:val="nil"/>
                  <w:right w:val="nil"/>
                </w:tcBorders>
                <w:shd w:val="clear" w:color="auto" w:fill="auto"/>
                <w:vAlign w:val="center"/>
              </w:tcPr>
              <w:p>
                <w:pPr>
                  <w:rPr>
                    <w:szCs w:val="24"/>
                    <w:lang w:eastAsia="lt-LT"/>
                  </w:rPr>
                </w:pPr>
                <w:r>
                  <w:rPr>
                    <w:szCs w:val="24"/>
                    <w:lang w:eastAsia="lt-LT"/>
                  </w:rPr>
                  <w:t>gyvenamosios vietos deklaravimo duomenų ir gyvenamosios vietos nedeklaravusių asmenų apskaitos duomenims tvarkyti</w:t>
                </w:r>
              </w:p>
            </w:tc>
            <w:tc>
              <w:tcPr>
                <w:tcW w:w="1276" w:type="dxa"/>
                <w:tcBorders>
                  <w:left w:val="nil"/>
                  <w:bottom w:val="nil"/>
                  <w:right w:val="nil"/>
                </w:tcBorders>
                <w:shd w:val="clear" w:color="auto" w:fill="auto"/>
                <w:noWrap/>
                <w:vAlign w:val="center"/>
              </w:tcPr>
              <w:p>
                <w:pPr>
                  <w:jc w:val="right"/>
                  <w:rPr>
                    <w:bCs/>
                    <w:szCs w:val="24"/>
                    <w:lang w:eastAsia="lt-LT"/>
                  </w:rPr>
                </w:pPr>
                <w:r>
                  <w:rPr>
                    <w:bCs/>
                    <w:szCs w:val="24"/>
                    <w:lang w:eastAsia="lt-LT"/>
                  </w:rPr>
                  <w:t>311</w:t>
                </w:r>
              </w:p>
            </w:tc>
          </w:tr>
          <w:tr>
            <w:trPr>
              <w:trHeight w:val="340"/>
              <w:jc w:val="center"/>
            </w:trPr>
            <w:tc>
              <w:tcPr>
                <w:tcW w:w="3331" w:type="dxa"/>
                <w:tcBorders>
                  <w:left w:val="nil"/>
                  <w:bottom w:val="nil"/>
                  <w:right w:val="nil"/>
                </w:tcBorders>
                <w:shd w:val="clear" w:color="auto" w:fill="auto"/>
                <w:vAlign w:val="center"/>
              </w:tcPr>
              <w:p>
                <w:pPr>
                  <w:rPr>
                    <w:b/>
                    <w:bCs/>
                    <w:szCs w:val="24"/>
                    <w:lang w:eastAsia="lt-LT"/>
                  </w:rPr>
                </w:pPr>
              </w:p>
            </w:tc>
            <w:tc>
              <w:tcPr>
                <w:tcW w:w="4755" w:type="dxa"/>
                <w:tcBorders>
                  <w:left w:val="nil"/>
                  <w:bottom w:val="nil"/>
                  <w:right w:val="nil"/>
                </w:tcBorders>
                <w:shd w:val="clear" w:color="auto" w:fill="auto"/>
                <w:vAlign w:val="center"/>
              </w:tcPr>
              <w:p>
                <w:pPr>
                  <w:rPr>
                    <w:szCs w:val="24"/>
                    <w:lang w:eastAsia="lt-LT"/>
                  </w:rPr>
                </w:pPr>
                <w:r>
                  <w:rPr>
                    <w:szCs w:val="24"/>
                    <w:lang w:eastAsia="lt-LT"/>
                  </w:rPr>
                  <w:t>civilinei saugai</w:t>
                </w:r>
              </w:p>
            </w:tc>
            <w:tc>
              <w:tcPr>
                <w:tcW w:w="1276" w:type="dxa"/>
                <w:tcBorders>
                  <w:left w:val="nil"/>
                  <w:bottom w:val="nil"/>
                  <w:right w:val="nil"/>
                </w:tcBorders>
                <w:shd w:val="clear" w:color="auto" w:fill="auto"/>
                <w:noWrap/>
                <w:vAlign w:val="center"/>
              </w:tcPr>
              <w:p>
                <w:pPr>
                  <w:jc w:val="right"/>
                  <w:rPr>
                    <w:bCs/>
                    <w:szCs w:val="24"/>
                    <w:lang w:eastAsia="lt-LT"/>
                  </w:rPr>
                </w:pPr>
                <w:r>
                  <w:rPr>
                    <w:bCs/>
                    <w:szCs w:val="24"/>
                    <w:lang w:eastAsia="lt-LT"/>
                  </w:rPr>
                  <w:t>4 383</w:t>
                </w:r>
              </w:p>
            </w:tc>
          </w:tr>
          <w:tr>
            <w:trPr>
              <w:trHeight w:val="421"/>
              <w:jc w:val="center"/>
            </w:trPr>
            <w:tc>
              <w:tcPr>
                <w:tcW w:w="3331" w:type="dxa"/>
                <w:tcBorders>
                  <w:top w:val="single" w:sz="4" w:space="0" w:color="auto"/>
                  <w:left w:val="nil"/>
                  <w:bottom w:val="nil"/>
                  <w:right w:val="nil"/>
                </w:tcBorders>
                <w:shd w:val="clear" w:color="auto" w:fill="auto"/>
                <w:vAlign w:val="center"/>
                <w:hideMark/>
              </w:tcPr>
              <w:p>
                <w:pPr>
                  <w:rPr>
                    <w:b/>
                    <w:bCs/>
                    <w:szCs w:val="24"/>
                    <w:lang w:eastAsia="lt-LT"/>
                  </w:rPr>
                </w:pPr>
                <w:r>
                  <w:rPr>
                    <w:b/>
                    <w:bCs/>
                    <w:szCs w:val="24"/>
                    <w:lang w:eastAsia="lt-LT"/>
                  </w:rPr>
                  <w:t>Lietuvos Respublikos</w:t>
                </w:r>
              </w:p>
              <w:p>
                <w:pPr>
                  <w:rPr>
                    <w:b/>
                    <w:bCs/>
                    <w:szCs w:val="24"/>
                    <w:highlight w:val="yellow"/>
                    <w:lang w:eastAsia="lt-LT"/>
                  </w:rPr>
                </w:pPr>
                <w:r>
                  <w:rPr>
                    <w:b/>
                    <w:bCs/>
                    <w:szCs w:val="24"/>
                    <w:lang w:eastAsia="lt-LT"/>
                  </w:rPr>
                  <w:t>žemės ūkio ministerija</w:t>
                </w:r>
              </w:p>
            </w:tc>
            <w:tc>
              <w:tcPr>
                <w:tcW w:w="4755" w:type="dxa"/>
                <w:tcBorders>
                  <w:top w:val="single" w:sz="4" w:space="0" w:color="auto"/>
                  <w:left w:val="nil"/>
                  <w:bottom w:val="nil"/>
                  <w:right w:val="nil"/>
                </w:tcBorders>
                <w:shd w:val="clear" w:color="auto" w:fill="auto"/>
                <w:vAlign w:val="center"/>
                <w:hideMark/>
              </w:tcPr>
              <w:p>
                <w:pPr>
                  <w:rPr>
                    <w:szCs w:val="24"/>
                    <w:lang w:eastAsia="lt-LT"/>
                  </w:rPr>
                </w:pPr>
              </w:p>
            </w:tc>
            <w:tc>
              <w:tcPr>
                <w:tcW w:w="1276" w:type="dxa"/>
                <w:tcBorders>
                  <w:top w:val="single" w:sz="4" w:space="0" w:color="auto"/>
                  <w:left w:val="nil"/>
                  <w:bottom w:val="nil"/>
                  <w:right w:val="nil"/>
                </w:tcBorders>
                <w:shd w:val="clear" w:color="auto" w:fill="auto"/>
                <w:noWrap/>
                <w:vAlign w:val="center"/>
              </w:tcPr>
              <w:p>
                <w:pPr>
                  <w:jc w:val="right"/>
                  <w:rPr>
                    <w:b/>
                    <w:bCs/>
                    <w:szCs w:val="24"/>
                    <w:lang w:eastAsia="lt-LT"/>
                  </w:rPr>
                </w:pPr>
                <w:r>
                  <w:rPr>
                    <w:b/>
                    <w:bCs/>
                    <w:szCs w:val="24"/>
                    <w:lang w:eastAsia="lt-LT"/>
                  </w:rPr>
                  <w:t>22 993</w:t>
                </w:r>
              </w:p>
            </w:tc>
          </w:tr>
          <w:tr>
            <w:trPr>
              <w:trHeight w:val="141"/>
              <w:jc w:val="center"/>
            </w:trPr>
            <w:tc>
              <w:tcPr>
                <w:tcW w:w="3331" w:type="dxa"/>
                <w:tcBorders>
                  <w:top w:val="nil"/>
                  <w:left w:val="nil"/>
                  <w:bottom w:val="nil"/>
                  <w:right w:val="nil"/>
                </w:tcBorders>
                <w:shd w:val="clear" w:color="auto" w:fill="auto"/>
                <w:vAlign w:val="center"/>
                <w:hideMark/>
              </w:tcPr>
              <w:p>
                <w:pPr>
                  <w:rPr>
                    <w:szCs w:val="24"/>
                    <w:lang w:eastAsia="lt-LT"/>
                  </w:rPr>
                </w:pPr>
              </w:p>
            </w:tc>
            <w:tc>
              <w:tcPr>
                <w:tcW w:w="4755" w:type="dxa"/>
                <w:tcBorders>
                  <w:top w:val="nil"/>
                  <w:left w:val="nil"/>
                  <w:bottom w:val="nil"/>
                  <w:right w:val="nil"/>
                </w:tcBorders>
                <w:shd w:val="clear" w:color="auto" w:fill="auto"/>
                <w:vAlign w:val="center"/>
                <w:hideMark/>
              </w:tcPr>
              <w:p>
                <w:pPr>
                  <w:rPr>
                    <w:szCs w:val="24"/>
                    <w:lang w:eastAsia="lt-LT"/>
                  </w:rPr>
                </w:pPr>
                <w:r>
                  <w:rPr>
                    <w:szCs w:val="24"/>
                    <w:lang w:eastAsia="lt-LT"/>
                  </w:rPr>
                  <w:t>iš jų:</w:t>
                </w:r>
              </w:p>
            </w:tc>
            <w:tc>
              <w:tcPr>
                <w:tcW w:w="1276" w:type="dxa"/>
                <w:tcBorders>
                  <w:top w:val="nil"/>
                  <w:left w:val="nil"/>
                  <w:bottom w:val="nil"/>
                  <w:right w:val="nil"/>
                </w:tcBorders>
                <w:shd w:val="clear" w:color="auto" w:fill="auto"/>
                <w:noWrap/>
                <w:vAlign w:val="center"/>
              </w:tcPr>
              <w:p>
                <w:pPr>
                  <w:jc w:val="right"/>
                  <w:rPr>
                    <w:szCs w:val="24"/>
                    <w:lang w:eastAsia="lt-LT"/>
                  </w:rPr>
                </w:pPr>
              </w:p>
            </w:tc>
          </w:tr>
          <w:tr>
            <w:trPr>
              <w:trHeight w:val="454"/>
              <w:jc w:val="center"/>
            </w:trPr>
            <w:tc>
              <w:tcPr>
                <w:tcW w:w="3331" w:type="dxa"/>
                <w:tcBorders>
                  <w:top w:val="nil"/>
                  <w:left w:val="nil"/>
                  <w:right w:val="nil"/>
                </w:tcBorders>
                <w:shd w:val="clear" w:color="auto" w:fill="auto"/>
                <w:vAlign w:val="center"/>
                <w:hideMark/>
              </w:tcPr>
              <w:p>
                <w:pPr>
                  <w:rPr>
                    <w:szCs w:val="24"/>
                    <w:lang w:eastAsia="lt-LT"/>
                  </w:rPr>
                </w:pPr>
              </w:p>
            </w:tc>
            <w:tc>
              <w:tcPr>
                <w:tcW w:w="4755" w:type="dxa"/>
                <w:tcBorders>
                  <w:top w:val="nil"/>
                  <w:left w:val="nil"/>
                  <w:right w:val="nil"/>
                </w:tcBorders>
                <w:shd w:val="clear" w:color="auto" w:fill="auto"/>
                <w:vAlign w:val="center"/>
                <w:hideMark/>
              </w:tcPr>
              <w:p>
                <w:pPr>
                  <w:rPr>
                    <w:szCs w:val="24"/>
                    <w:lang w:eastAsia="lt-LT"/>
                  </w:rPr>
                </w:pPr>
                <w:r>
                  <w:rPr>
                    <w:szCs w:val="24"/>
                    <w:lang w:eastAsia="lt-LT"/>
                  </w:rPr>
                  <w:t>žemės ūkio funkcijoms atlikti</w:t>
                </w:r>
              </w:p>
            </w:tc>
            <w:tc>
              <w:tcPr>
                <w:tcW w:w="1276" w:type="dxa"/>
                <w:tcBorders>
                  <w:top w:val="nil"/>
                  <w:left w:val="nil"/>
                  <w:right w:val="nil"/>
                </w:tcBorders>
                <w:shd w:val="clear" w:color="auto" w:fill="auto"/>
                <w:noWrap/>
                <w:vAlign w:val="center"/>
              </w:tcPr>
              <w:p>
                <w:pPr>
                  <w:jc w:val="right"/>
                  <w:rPr>
                    <w:szCs w:val="24"/>
                    <w:lang w:eastAsia="lt-LT"/>
                  </w:rPr>
                </w:pPr>
                <w:r>
                  <w:rPr>
                    <w:szCs w:val="24"/>
                    <w:lang w:eastAsia="lt-LT"/>
                  </w:rPr>
                  <w:t>11 403</w:t>
                </w:r>
              </w:p>
            </w:tc>
          </w:tr>
          <w:tr>
            <w:trPr>
              <w:trHeight w:val="20"/>
              <w:jc w:val="center"/>
            </w:trPr>
            <w:tc>
              <w:tcPr>
                <w:tcW w:w="3331" w:type="dxa"/>
                <w:tcBorders>
                  <w:top w:val="nil"/>
                  <w:left w:val="nil"/>
                  <w:right w:val="nil"/>
                </w:tcBorders>
                <w:shd w:val="clear" w:color="auto" w:fill="auto"/>
                <w:vAlign w:val="center"/>
                <w:hideMark/>
              </w:tcPr>
              <w:p>
                <w:pPr>
                  <w:rPr>
                    <w:szCs w:val="24"/>
                    <w:lang w:eastAsia="lt-LT"/>
                  </w:rPr>
                </w:pPr>
              </w:p>
            </w:tc>
            <w:tc>
              <w:tcPr>
                <w:tcW w:w="4755" w:type="dxa"/>
                <w:tcBorders>
                  <w:top w:val="nil"/>
                  <w:left w:val="nil"/>
                  <w:right w:val="nil"/>
                </w:tcBorders>
                <w:shd w:val="clear" w:color="auto" w:fill="auto"/>
                <w:vAlign w:val="center"/>
                <w:hideMark/>
              </w:tcPr>
              <w:p>
                <w:pPr>
                  <w:rPr>
                    <w:szCs w:val="24"/>
                    <w:lang w:eastAsia="lt-LT"/>
                  </w:rPr>
                </w:pPr>
                <w:r>
                  <w:rPr>
                    <w:szCs w:val="24"/>
                    <w:lang w:eastAsia="lt-LT"/>
                  </w:rPr>
                  <w:t>valstybei nuosavybės teise priklausančių melioracijos ir hidrotechnikos statinių valdymui ir naudojimui patikėjimo teise</w:t>
                </w:r>
                <w:r>
                  <w:rPr>
                    <w:szCs w:val="24"/>
                  </w:rPr>
                  <w:t xml:space="preserve"> </w:t>
                </w:r>
                <w:r>
                  <w:rPr>
                    <w:szCs w:val="24"/>
                    <w:lang w:eastAsia="lt-LT"/>
                  </w:rPr>
                  <w:t>užtikrinti</w:t>
                </w:r>
              </w:p>
            </w:tc>
            <w:tc>
              <w:tcPr>
                <w:tcW w:w="1276" w:type="dxa"/>
                <w:tcBorders>
                  <w:top w:val="nil"/>
                  <w:left w:val="nil"/>
                  <w:right w:val="nil"/>
                </w:tcBorders>
                <w:shd w:val="clear" w:color="auto" w:fill="auto"/>
                <w:noWrap/>
                <w:vAlign w:val="center"/>
              </w:tcPr>
              <w:p>
                <w:pPr>
                  <w:jc w:val="right"/>
                  <w:rPr>
                    <w:szCs w:val="24"/>
                    <w:lang w:eastAsia="lt-LT"/>
                  </w:rPr>
                </w:pPr>
                <w:r>
                  <w:rPr>
                    <w:szCs w:val="24"/>
                    <w:lang w:eastAsia="lt-LT"/>
                  </w:rPr>
                  <w:t>11 590</w:t>
                </w:r>
              </w:p>
            </w:tc>
          </w:tr>
          <w:tr>
            <w:trPr>
              <w:trHeight w:val="624"/>
              <w:jc w:val="center"/>
            </w:trPr>
            <w:tc>
              <w:tcPr>
                <w:tcW w:w="3331" w:type="dxa"/>
                <w:tcBorders>
                  <w:top w:val="single" w:sz="4" w:space="0" w:color="auto"/>
                  <w:left w:val="nil"/>
                  <w:bottom w:val="single" w:sz="4" w:space="0" w:color="auto"/>
                  <w:right w:val="nil"/>
                </w:tcBorders>
                <w:shd w:val="clear" w:color="auto" w:fill="auto"/>
                <w:vAlign w:val="center"/>
                <w:hideMark/>
              </w:tcPr>
              <w:p>
                <w:pPr>
                  <w:rPr>
                    <w:b/>
                    <w:bCs/>
                    <w:szCs w:val="24"/>
                    <w:lang w:eastAsia="lt-LT"/>
                  </w:rPr>
                </w:pPr>
                <w:r>
                  <w:rPr>
                    <w:b/>
                    <w:bCs/>
                    <w:szCs w:val="24"/>
                    <w:lang w:eastAsia="lt-LT"/>
                  </w:rPr>
                  <w:t>Lietuvos vyriausiojo archyvaro tarnyba</w:t>
                </w:r>
              </w:p>
            </w:tc>
            <w:tc>
              <w:tcPr>
                <w:tcW w:w="4755" w:type="dxa"/>
                <w:tcBorders>
                  <w:top w:val="single" w:sz="4" w:space="0" w:color="auto"/>
                  <w:left w:val="nil"/>
                  <w:bottom w:val="single" w:sz="4" w:space="0" w:color="auto"/>
                  <w:right w:val="nil"/>
                </w:tcBorders>
                <w:shd w:val="clear" w:color="auto" w:fill="auto"/>
                <w:vAlign w:val="center"/>
                <w:hideMark/>
              </w:tcPr>
              <w:p>
                <w:pPr>
                  <w:rPr>
                    <w:szCs w:val="24"/>
                    <w:lang w:eastAsia="lt-LT"/>
                  </w:rPr>
                </w:pPr>
                <w:r>
                  <w:rPr>
                    <w:szCs w:val="24"/>
                    <w:lang w:eastAsia="lt-LT"/>
                  </w:rPr>
                  <w:t>savivaldybėms priskirtiems archyviniams dokumentams tvarkyti</w:t>
                </w:r>
              </w:p>
            </w:tc>
            <w:tc>
              <w:tcPr>
                <w:tcW w:w="1276" w:type="dxa"/>
                <w:tcBorders>
                  <w:top w:val="single" w:sz="4" w:space="0" w:color="auto"/>
                  <w:left w:val="nil"/>
                  <w:bottom w:val="single" w:sz="4" w:space="0" w:color="auto"/>
                  <w:right w:val="nil"/>
                </w:tcBorders>
                <w:shd w:val="clear" w:color="auto" w:fill="auto"/>
                <w:noWrap/>
                <w:vAlign w:val="center"/>
              </w:tcPr>
              <w:p>
                <w:pPr>
                  <w:jc w:val="right"/>
                  <w:rPr>
                    <w:b/>
                    <w:bCs/>
                    <w:szCs w:val="24"/>
                    <w:lang w:eastAsia="lt-LT"/>
                  </w:rPr>
                </w:pPr>
                <w:r>
                  <w:rPr>
                    <w:b/>
                    <w:bCs/>
                    <w:szCs w:val="24"/>
                    <w:lang w:eastAsia="lt-LT"/>
                  </w:rPr>
                  <w:t>1 666</w:t>
                </w:r>
              </w:p>
            </w:tc>
          </w:tr>
          <w:tr>
            <w:trPr>
              <w:trHeight w:val="624"/>
              <w:jc w:val="center"/>
            </w:trPr>
            <w:tc>
              <w:tcPr>
                <w:tcW w:w="3331" w:type="dxa"/>
                <w:tcBorders>
                  <w:top w:val="single" w:sz="4" w:space="0" w:color="auto"/>
                  <w:left w:val="nil"/>
                  <w:bottom w:val="single" w:sz="4" w:space="0" w:color="auto"/>
                  <w:right w:val="nil"/>
                </w:tcBorders>
                <w:shd w:val="clear" w:color="auto" w:fill="auto"/>
                <w:vAlign w:val="center"/>
              </w:tcPr>
              <w:p>
                <w:pPr>
                  <w:rPr>
                    <w:b/>
                    <w:bCs/>
                    <w:szCs w:val="24"/>
                    <w:lang w:eastAsia="lt-LT"/>
                  </w:rPr>
                </w:pPr>
                <w:r>
                  <w:rPr>
                    <w:b/>
                    <w:bCs/>
                    <w:szCs w:val="24"/>
                    <w:lang w:eastAsia="lt-LT"/>
                  </w:rPr>
                  <w:t>IŠ VISO</w:t>
                </w:r>
              </w:p>
            </w:tc>
            <w:tc>
              <w:tcPr>
                <w:tcW w:w="4755" w:type="dxa"/>
                <w:tcBorders>
                  <w:top w:val="single" w:sz="4" w:space="0" w:color="auto"/>
                  <w:left w:val="nil"/>
                  <w:bottom w:val="single" w:sz="4" w:space="0" w:color="auto"/>
                  <w:right w:val="nil"/>
                </w:tcBorders>
                <w:shd w:val="clear" w:color="auto" w:fill="auto"/>
                <w:vAlign w:val="center"/>
              </w:tcPr>
              <w:p>
                <w:pPr>
                  <w:rPr>
                    <w:szCs w:val="24"/>
                    <w:lang w:eastAsia="lt-LT"/>
                  </w:rPr>
                </w:pPr>
              </w:p>
            </w:tc>
            <w:tc>
              <w:tcPr>
                <w:tcW w:w="1276" w:type="dxa"/>
                <w:tcBorders>
                  <w:top w:val="single" w:sz="4" w:space="0" w:color="auto"/>
                  <w:left w:val="nil"/>
                  <w:bottom w:val="single" w:sz="4" w:space="0" w:color="auto"/>
                  <w:right w:val="nil"/>
                </w:tcBorders>
                <w:shd w:val="clear" w:color="auto" w:fill="auto"/>
                <w:noWrap/>
                <w:vAlign w:val="center"/>
              </w:tcPr>
              <w:p>
                <w:pPr>
                  <w:jc w:val="right"/>
                  <w:rPr>
                    <w:b/>
                    <w:bCs/>
                    <w:szCs w:val="24"/>
                    <w:lang w:eastAsia="lt-LT"/>
                  </w:rPr>
                </w:pPr>
                <w:r>
                  <w:rPr>
                    <w:b/>
                    <w:bCs/>
                    <w:szCs w:val="24"/>
                    <w:lang w:eastAsia="lt-LT"/>
                  </w:rPr>
                  <w:t>2 089 722</w:t>
                </w:r>
              </w:p>
            </w:tc>
          </w:tr>
        </w:tbl>
        <w:p>
          <w:pPr>
            <w:rPr>
              <w:szCs w:val="24"/>
            </w:rPr>
          </w:pPr>
        </w:p>
        <w:sdt>
          <w:sdtPr>
            <w:alias w:val="pabaiga"/>
            <w:tag w:val="part_ef8c201a3c904274ba01028eedfc3667"/>
            <w:lock w:val="sdtLocked"/>
            <w:richText/>
          </w:sdtPr>
          <w:sdtContent>
            <w:p>
              <w:pPr>
                <w:jc w:val="center"/>
                <w:rPr>
                  <w:szCs w:val="24"/>
                </w:rPr>
              </w:pPr>
              <w:r>
                <w:rPr>
                  <w:szCs w:val="24"/>
                </w:rPr>
                <w:t>___________________</w:t>
              </w:r>
            </w:p>
            <w:p>
              <w:pPr>
                <w:rPr>
                  <w:szCs w:val="24"/>
                </w:rPr>
                <w:sectPr>
                  <w:pgSz w:w="11907" w:h="16840" w:code="9"/>
                  <w:pgMar w:top="851" w:right="1134" w:bottom="1701" w:left="1134" w:header="709" w:footer="709" w:gutter="0"/>
                  <w:pgNumType w:start="1"/>
                  <w:cols w:space="1296"/>
                  <w:titlePg/>
                  <w:docGrid w:linePitch="326"/>
                </w:sectPr>
              </w:pPr>
            </w:p>
            <w:p>
              <w:pPr>
                <w:tabs>
                  <w:tab w:val="center" w:pos="4819"/>
                  <w:tab w:val="right" w:pos="9638"/>
                </w:tabs>
              </w:pPr>
            </w:p>
          </w:sdtContent>
        </w:sdt>
      </w:sdtContent>
    </w:sdt>
    <w:sdt>
      <w:sdtPr>
        <w:alias w:val="7 pr."/>
        <w:tag w:val="part_8cf3389bb6cc47c4990bc0fa097be494"/>
        <w:lock w:val="sdtLocked"/>
        <w:richText/>
      </w:sdtPr>
      <w:sdtContent>
        <w:p>
          <w:pPr>
            <w:ind w:firstLine="5954"/>
            <w:rPr>
              <w:szCs w:val="24"/>
              <w:lang w:eastAsia="lt-LT"/>
            </w:rPr>
          </w:pPr>
          <w:r>
            <w:rPr>
              <w:szCs w:val="24"/>
              <w:lang w:eastAsia="lt-LT"/>
            </w:rPr>
            <w:t>Lietuvos Respublikos</w:t>
          </w:r>
        </w:p>
        <w:p>
          <w:pPr>
            <w:ind w:firstLine="5954"/>
            <w:rPr>
              <w:szCs w:val="24"/>
              <w:lang w:eastAsia="lt-LT"/>
            </w:rPr>
          </w:pPr>
          <w:r>
            <w:rPr>
              <w:szCs w:val="24"/>
              <w:lang w:eastAsia="lt-LT"/>
            </w:rPr>
            <w:t>2025</w:t>
          </w:r>
          <w:r>
            <w:rPr>
              <w:szCs w:val="24"/>
            </w:rPr>
            <w:t>–2027</w:t>
          </w:r>
          <w:r>
            <w:rPr>
              <w:szCs w:val="24"/>
              <w:lang w:eastAsia="lt-LT"/>
            </w:rPr>
            <w:t xml:space="preserve"> metų biudžeto</w:t>
          </w:r>
        </w:p>
        <w:p>
          <w:pPr>
            <w:ind w:firstLine="5954"/>
            <w:rPr>
              <w:szCs w:val="24"/>
              <w:lang w:eastAsia="lt-LT"/>
            </w:rPr>
          </w:pPr>
          <w:r>
            <w:rPr>
              <w:szCs w:val="24"/>
              <w:lang w:eastAsia="lt-LT"/>
            </w:rPr>
            <w:t>patvirtinimo įstatymo</w:t>
          </w:r>
        </w:p>
        <w:p>
          <w:pPr>
            <w:ind w:left="5234" w:firstLine="720"/>
            <w:rPr>
              <w:szCs w:val="24"/>
              <w:lang w:eastAsia="lt-LT"/>
            </w:rPr>
          </w:pPr>
          <w:sdt>
            <w:sdtPr>
              <w:alias w:val="Numeris"/>
              <w:tag w:val="nr_8cf3389bb6cc47c4990bc0fa097be494"/>
              <w:lock w:val="sdtLocked"/>
              <w:richText/>
            </w:sdtPr>
            <w:sdtContent>
              <w:r>
                <w:rPr>
                  <w:szCs w:val="24"/>
                  <w:lang w:eastAsia="lt-LT"/>
                </w:rPr>
                <w:t>7</w:t>
              </w:r>
            </w:sdtContent>
          </w:sdt>
          <w:r>
            <w:rPr>
              <w:szCs w:val="24"/>
              <w:lang w:eastAsia="lt-LT"/>
            </w:rPr>
            <w:t xml:space="preserve"> priedas</w:t>
          </w:r>
        </w:p>
        <w:p>
          <w:pPr>
            <w:spacing w:line="360" w:lineRule="auto"/>
            <w:ind w:firstLine="720"/>
            <w:rPr>
              <w:szCs w:val="24"/>
              <w:lang w:eastAsia="lt-LT"/>
            </w:rPr>
          </w:pPr>
        </w:p>
        <w:p>
          <w:pPr>
            <w:jc w:val="center"/>
            <w:rPr>
              <w:b/>
              <w:bCs/>
              <w:szCs w:val="24"/>
              <w:lang w:eastAsia="lt-LT"/>
            </w:rPr>
          </w:pPr>
          <w:sdt>
            <w:sdtPr>
              <w:alias w:val="Pavadinimas"/>
              <w:tag w:val="title_8cf3389bb6cc47c4990bc0fa097be494"/>
              <w:lock w:val="sdtLocked"/>
              <w:richText/>
            </w:sdtPr>
            <w:sdtContent>
              <w:r>
                <w:rPr>
                  <w:b/>
                  <w:bCs/>
                  <w:szCs w:val="24"/>
                  <w:lang w:eastAsia="lt-LT"/>
                </w:rPr>
                <w:t>VALSTYBĖS INVESTICIJŲ 2025 METŲ PROGRAMA</w:t>
              </w:r>
            </w:sdtContent>
          </w:sdt>
        </w:p>
        <w:p>
          <w:pPr>
            <w:ind w:firstLine="720"/>
            <w:jc w:val="both"/>
            <w:rPr>
              <w:rFonts w:eastAsia="Calibri"/>
              <w:szCs w:val="24"/>
              <w:lang w:eastAsia="lt-LT"/>
            </w:rPr>
          </w:pPr>
        </w:p>
        <w:tbl>
          <w:tblPr>
            <w:tblW w:w="7833" w:type="dxa"/>
            <w:jc w:val="center"/>
            <w:tblLook w:val="04A0" w:firstRow="1" w:lastRow="0" w:firstColumn="1" w:lastColumn="0" w:noHBand="0" w:noVBand="1"/>
          </w:tblPr>
          <w:tblGrid>
            <w:gridCol w:w="5809"/>
            <w:gridCol w:w="2024"/>
          </w:tblGrid>
          <w:tr>
            <w:trPr>
              <w:trHeight w:val="304"/>
              <w:jc w:val="center"/>
            </w:trPr>
            <w:tc>
              <w:tcPr>
                <w:tcW w:w="5809" w:type="dxa"/>
                <w:tcBorders>
                  <w:bottom w:val="single" w:sz="4" w:space="0" w:color="auto"/>
                </w:tcBorders>
                <w:shd w:val="clear" w:color="auto" w:fill="auto"/>
                <w:vAlign w:val="center"/>
              </w:tcPr>
              <w:p>
                <w:pPr>
                  <w:jc w:val="center"/>
                  <w:rPr>
                    <w:rFonts w:eastAsia="Calibri"/>
                    <w:szCs w:val="24"/>
                    <w:lang w:eastAsia="lt-LT"/>
                  </w:rPr>
                </w:pPr>
              </w:p>
            </w:tc>
            <w:tc>
              <w:tcPr>
                <w:tcW w:w="2024" w:type="dxa"/>
                <w:tcBorders>
                  <w:bottom w:val="single" w:sz="4" w:space="0" w:color="auto"/>
                </w:tcBorders>
                <w:shd w:val="clear" w:color="auto" w:fill="auto"/>
                <w:vAlign w:val="center"/>
              </w:tcPr>
              <w:p>
                <w:pPr>
                  <w:jc w:val="center"/>
                  <w:rPr>
                    <w:rFonts w:eastAsia="Calibri"/>
                    <w:szCs w:val="24"/>
                    <w:lang w:eastAsia="lt-LT"/>
                  </w:rPr>
                </w:pPr>
                <w:r>
                  <w:rPr>
                    <w:rFonts w:eastAsia="Calibri"/>
                    <w:szCs w:val="24"/>
                    <w:lang w:eastAsia="lt-LT"/>
                  </w:rPr>
                  <w:t>Tūkst. Eur</w:t>
                </w:r>
              </w:p>
            </w:tc>
          </w:tr>
          <w:tr>
            <w:trPr>
              <w:trHeight w:val="304"/>
              <w:jc w:val="center"/>
            </w:trPr>
            <w:tc>
              <w:tcPr>
                <w:tcW w:w="58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rFonts w:eastAsia="Calibri"/>
                    <w:b/>
                    <w:bCs/>
                    <w:szCs w:val="24"/>
                    <w:lang w:eastAsia="lt-LT"/>
                  </w:rPr>
                </w:pPr>
                <w:r>
                  <w:rPr>
                    <w:rFonts w:eastAsia="Calibri"/>
                    <w:b/>
                    <w:bCs/>
                    <w:szCs w:val="24"/>
                    <w:lang w:eastAsia="lt-LT"/>
                  </w:rPr>
                  <w:t>Investavimo sritis</w:t>
                </w:r>
              </w:p>
            </w:tc>
            <w:tc>
              <w:tcPr>
                <w:tcW w:w="2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rFonts w:eastAsia="Calibri"/>
                    <w:b/>
                    <w:bCs/>
                    <w:szCs w:val="24"/>
                    <w:lang w:eastAsia="lt-LT"/>
                  </w:rPr>
                </w:pPr>
                <w:r>
                  <w:rPr>
                    <w:rFonts w:eastAsia="Calibri"/>
                    <w:b/>
                    <w:bCs/>
                    <w:szCs w:val="24"/>
                    <w:lang w:eastAsia="lt-LT"/>
                  </w:rPr>
                  <w:t>Iš viso</w:t>
                </w:r>
              </w:p>
            </w:tc>
          </w:tr>
          <w:tr>
            <w:trPr>
              <w:trHeight w:val="300"/>
              <w:jc w:val="center"/>
            </w:trPr>
            <w:tc>
              <w:tcPr>
                <w:tcW w:w="5809"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lang w:eastAsia="lt-LT"/>
                  </w:rPr>
                </w:pPr>
              </w:p>
            </w:tc>
            <w:tc>
              <w:tcPr>
                <w:tcW w:w="2024"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lang w:eastAsia="lt-LT"/>
                  </w:rPr>
                </w:pPr>
              </w:p>
            </w:tc>
          </w:tr>
          <w:tr>
            <w:trPr>
              <w:trHeight w:val="990"/>
              <w:jc w:val="center"/>
            </w:trPr>
            <w:tc>
              <w:tcPr>
                <w:tcW w:w="5809"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lang w:eastAsia="lt-LT"/>
                  </w:rPr>
                </w:pPr>
              </w:p>
            </w:tc>
            <w:tc>
              <w:tcPr>
                <w:tcW w:w="2024"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lang w:eastAsia="lt-LT"/>
                  </w:rPr>
                </w:pP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VIEŠIEJI FINANSAI IR OFICIALIOJI STATISTIKA</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2 336</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VALSTYBĖS SAUGUMAS IR GYNYBA</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115 973</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VIEŠASIS SAUGUMAS</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7 258</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KULTŪRA IR VISUOMENĖS INFORMAVIMAS</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14 126</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SVEIKATA</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3 301</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ŠVIETIMAS, MOKSLAS IR SPORTAS</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25 387</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TEISINGUMAS</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1 005</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UŽSIENIO POLITIKA</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1 290</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szCs w:val="24"/>
                  </w:rPr>
                  <w:t>ŽEMĖS IR MAISTO ŪKIS, KAIMO PLĖTRA, ŽUVININKYSTĖ IR VETERINARIJA</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Cs w:val="24"/>
                  </w:rPr>
                </w:pPr>
                <w:r>
                  <w:rPr>
                    <w:szCs w:val="24"/>
                  </w:rPr>
                  <w:t>5 000</w:t>
                </w:r>
              </w:p>
            </w:tc>
          </w:tr>
          <w:tr>
            <w:trPr>
              <w:trHeight w:val="315"/>
              <w:jc w:val="center"/>
            </w:trPr>
            <w:tc>
              <w:tcPr>
                <w:tcW w:w="5809"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b/>
                    <w:bCs/>
                    <w:szCs w:val="24"/>
                  </w:rPr>
                  <w:t>IŠ VISO</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b/>
                    <w:bCs/>
                    <w:szCs w:val="24"/>
                  </w:rPr>
                </w:pPr>
                <w:r>
                  <w:rPr>
                    <w:b/>
                    <w:bCs/>
                    <w:szCs w:val="24"/>
                  </w:rPr>
                  <w:t>175 676</w:t>
                </w:r>
              </w:p>
            </w:tc>
          </w:tr>
          <w:tr>
            <w:trPr>
              <w:trHeight w:val="315"/>
              <w:jc w:val="center"/>
            </w:trPr>
            <w:tc>
              <w:tcPr>
                <w:tcW w:w="5809" w:type="dxa"/>
                <w:tcBorders>
                  <w:top w:val="single" w:sz="4" w:space="0" w:color="auto"/>
                  <w:left w:val="nil"/>
                  <w:bottom w:val="nil"/>
                  <w:right w:val="nil"/>
                </w:tcBorders>
                <w:shd w:val="clear" w:color="auto" w:fill="auto"/>
                <w:vAlign w:val="bottom"/>
                <w:hideMark/>
              </w:tcPr>
              <w:p>
                <w:pPr>
                  <w:rPr>
                    <w:b/>
                    <w:bCs/>
                    <w:szCs w:val="24"/>
                  </w:rPr>
                </w:pPr>
              </w:p>
            </w:tc>
            <w:tc>
              <w:tcPr>
                <w:tcW w:w="2024" w:type="dxa"/>
                <w:tcBorders>
                  <w:top w:val="single" w:sz="4" w:space="0" w:color="auto"/>
                  <w:left w:val="nil"/>
                  <w:bottom w:val="nil"/>
                  <w:right w:val="nil"/>
                </w:tcBorders>
                <w:shd w:val="clear" w:color="auto" w:fill="auto"/>
                <w:vAlign w:val="bottom"/>
              </w:tcPr>
              <w:p>
                <w:pPr>
                  <w:jc w:val="right"/>
                  <w:rPr>
                    <w:szCs w:val="24"/>
                  </w:rPr>
                </w:pPr>
              </w:p>
            </w:tc>
          </w:tr>
        </w:tbl>
        <w:sdt>
          <w:sdtPr>
            <w:alias w:val="pabaiga"/>
            <w:tag w:val="part_aa548c1a2b8c44b3a26369b313b0409c"/>
            <w:lock w:val="sdtLocked"/>
            <w:richText/>
          </w:sdtPr>
          <w:sdtContent>
            <w:p>
              <w:pPr>
                <w:jc w:val="center"/>
                <w:rPr>
                  <w:szCs w:val="24"/>
                </w:rPr>
              </w:pPr>
              <w:r>
                <w:rPr>
                  <w:szCs w:val="24"/>
                </w:rPr>
                <w:t>____________________</w:t>
              </w:r>
            </w:p>
            <w:p>
              <w:pPr>
                <w:rPr>
                  <w:szCs w:val="24"/>
                </w:rPr>
              </w:pPr>
            </w:p>
            <w:p>
              <w:pPr>
                <w:ind w:firstLine="5954"/>
                <w:rPr>
                  <w:szCs w:val="24"/>
                </w:rPr>
                <w:sectPr>
                  <w:pgSz w:w="11907" w:h="16840" w:code="9"/>
                  <w:pgMar w:top="1134" w:right="851" w:bottom="1134" w:left="1701" w:header="706" w:footer="706" w:gutter="0"/>
                  <w:pgNumType w:start="1"/>
                  <w:cols w:space="1296"/>
                  <w:titlePg/>
                  <w:docGrid w:linePitch="326"/>
                </w:sectPr>
              </w:pPr>
            </w:p>
            <w:p>
              <w:pPr>
                <w:tabs>
                  <w:tab w:val="center" w:pos="4819"/>
                  <w:tab w:val="right" w:pos="9638"/>
                </w:tabs>
              </w:pPr>
            </w:p>
          </w:sdtContent>
        </w:sdt>
      </w:sdtContent>
    </w:sdt>
    <w:sdt>
      <w:sdtPr>
        <w:alias w:val="8 pr."/>
        <w:tag w:val="part_8e60aa536454414db429bb42a7dbb1b6"/>
        <w:lock w:val="sdtLocked"/>
        <w:richText/>
      </w:sdtPr>
      <w:sdtContent>
        <w:p>
          <w:pPr>
            <w:ind w:firstLine="5954"/>
            <w:rPr>
              <w:szCs w:val="24"/>
              <w:lang w:eastAsia="lt-LT"/>
            </w:rPr>
          </w:pPr>
          <w:r>
            <w:rPr>
              <w:szCs w:val="24"/>
              <w:lang w:eastAsia="lt-LT"/>
            </w:rPr>
            <w:t>Lietuvos Respublikos</w:t>
          </w:r>
        </w:p>
        <w:p>
          <w:pPr>
            <w:ind w:firstLine="5954"/>
            <w:rPr>
              <w:szCs w:val="24"/>
              <w:lang w:eastAsia="lt-LT"/>
            </w:rPr>
          </w:pPr>
          <w:r>
            <w:rPr>
              <w:szCs w:val="24"/>
              <w:lang w:eastAsia="lt-LT"/>
            </w:rPr>
            <w:t>2025</w:t>
          </w:r>
          <w:r>
            <w:rPr>
              <w:szCs w:val="24"/>
            </w:rPr>
            <w:t>–2027</w:t>
          </w:r>
          <w:r>
            <w:rPr>
              <w:szCs w:val="24"/>
              <w:lang w:eastAsia="lt-LT"/>
            </w:rPr>
            <w:t xml:space="preserve"> metų biudžeto</w:t>
          </w:r>
        </w:p>
        <w:p>
          <w:pPr>
            <w:ind w:firstLine="5954"/>
            <w:rPr>
              <w:szCs w:val="24"/>
              <w:lang w:eastAsia="lt-LT"/>
            </w:rPr>
          </w:pPr>
          <w:r>
            <w:rPr>
              <w:szCs w:val="24"/>
              <w:lang w:eastAsia="lt-LT"/>
            </w:rPr>
            <w:t>patvirtinimo įstatymo</w:t>
          </w:r>
        </w:p>
        <w:p>
          <w:pPr>
            <w:ind w:firstLine="5954"/>
            <w:rPr>
              <w:szCs w:val="24"/>
              <w:lang w:eastAsia="lt-LT"/>
            </w:rPr>
          </w:pPr>
          <w:sdt>
            <w:sdtPr>
              <w:alias w:val="Numeris"/>
              <w:tag w:val="nr_8e60aa536454414db429bb42a7dbb1b6"/>
              <w:lock w:val="sdtLocked"/>
              <w:richText/>
            </w:sdtPr>
            <w:sdtContent>
              <w:r>
                <w:rPr>
                  <w:szCs w:val="24"/>
                  <w:lang w:eastAsia="lt-LT"/>
                </w:rPr>
                <w:t>8</w:t>
              </w:r>
            </w:sdtContent>
          </w:sdt>
          <w:r>
            <w:rPr>
              <w:szCs w:val="24"/>
              <w:lang w:eastAsia="lt-LT"/>
            </w:rPr>
            <w:t xml:space="preserve"> priedas</w:t>
          </w:r>
        </w:p>
        <w:p>
          <w:pPr>
            <w:ind w:firstLine="5954"/>
            <w:rPr>
              <w:szCs w:val="24"/>
              <w:lang w:eastAsia="lt-LT"/>
            </w:rPr>
          </w:pPr>
        </w:p>
        <w:p>
          <w:pPr>
            <w:jc w:val="center"/>
            <w:rPr>
              <w:b/>
              <w:bCs/>
              <w:szCs w:val="24"/>
              <w:lang w:eastAsia="lt-LT"/>
            </w:rPr>
          </w:pPr>
          <w:sdt>
            <w:sdtPr>
              <w:alias w:val="Pavadinimas"/>
              <w:tag w:val="title_8e60aa536454414db429bb42a7dbb1b6"/>
              <w:lock w:val="sdtLocked"/>
              <w:richText/>
            </w:sdtPr>
            <w:sdtContent>
              <w:r>
                <w:rPr>
                  <w:b/>
                  <w:bCs/>
                  <w:szCs w:val="24"/>
                  <w:lang w:eastAsia="lt-LT"/>
                </w:rPr>
                <w:t>2025 METŲ REZERVINIO (STABILIZAVIMO) FONDO LĖŠŲ SĄMATA</w:t>
              </w:r>
            </w:sdtContent>
          </w:sdt>
        </w:p>
        <w:p>
          <w:pPr>
            <w:jc w:val="center"/>
            <w:rPr>
              <w:b/>
              <w:bCs/>
              <w:szCs w:val="24"/>
              <w:lang w:eastAsia="lt-LT"/>
            </w:rPr>
          </w:pPr>
        </w:p>
        <w:p>
          <w:pPr>
            <w:jc w:val="cente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7020"/>
            <w:gridCol w:w="1610"/>
          </w:tblGrid>
          <w:tr>
            <w:tc>
              <w:tcPr>
                <w:tcW w:w="715" w:type="dxa"/>
                <w:tcBorders>
                  <w:top w:val="nil"/>
                  <w:left w:val="nil"/>
                  <w:bottom w:val="single" w:sz="4" w:space="0" w:color="auto"/>
                  <w:right w:val="nil"/>
                </w:tcBorders>
              </w:tcPr>
              <w:p>
                <w:pPr>
                  <w:jc w:val="center"/>
                  <w:rPr>
                    <w:szCs w:val="24"/>
                    <w:lang w:eastAsia="lt-LT"/>
                  </w:rPr>
                </w:pPr>
              </w:p>
            </w:tc>
            <w:tc>
              <w:tcPr>
                <w:tcW w:w="7020" w:type="dxa"/>
                <w:tcBorders>
                  <w:top w:val="nil"/>
                  <w:left w:val="nil"/>
                  <w:bottom w:val="single" w:sz="4" w:space="0" w:color="auto"/>
                  <w:right w:val="nil"/>
                </w:tcBorders>
              </w:tcPr>
              <w:p>
                <w:pPr>
                  <w:jc w:val="center"/>
                  <w:rPr>
                    <w:szCs w:val="24"/>
                    <w:lang w:eastAsia="lt-LT"/>
                  </w:rPr>
                </w:pPr>
              </w:p>
            </w:tc>
            <w:tc>
              <w:tcPr>
                <w:tcW w:w="1610" w:type="dxa"/>
                <w:tcBorders>
                  <w:top w:val="nil"/>
                  <w:left w:val="nil"/>
                  <w:bottom w:val="single" w:sz="4" w:space="0" w:color="auto"/>
                  <w:right w:val="nil"/>
                </w:tcBorders>
              </w:tcPr>
              <w:p>
                <w:pPr>
                  <w:jc w:val="right"/>
                  <w:rPr>
                    <w:szCs w:val="24"/>
                    <w:lang w:eastAsia="lt-LT"/>
                  </w:rPr>
                </w:pPr>
                <w:r>
                  <w:rPr>
                    <w:szCs w:val="24"/>
                    <w:lang w:eastAsia="lt-LT"/>
                  </w:rPr>
                  <w:t>Tūkst. Eur</w:t>
                </w:r>
              </w:p>
            </w:tc>
          </w:tr>
          <w:tr>
            <w:tc>
              <w:tcPr>
                <w:tcW w:w="715" w:type="dxa"/>
                <w:tcBorders>
                  <w:top w:val="single" w:sz="4" w:space="0" w:color="auto"/>
                </w:tcBorders>
              </w:tcPr>
              <w:p>
                <w:pPr>
                  <w:jc w:val="center"/>
                  <w:rPr>
                    <w:b/>
                    <w:bCs/>
                    <w:szCs w:val="24"/>
                    <w:lang w:eastAsia="lt-LT"/>
                  </w:rPr>
                </w:pPr>
                <w:r>
                  <w:rPr>
                    <w:b/>
                    <w:bCs/>
                    <w:szCs w:val="24"/>
                    <w:lang w:eastAsia="lt-LT"/>
                  </w:rPr>
                  <w:t>1.</w:t>
                </w:r>
              </w:p>
            </w:tc>
            <w:tc>
              <w:tcPr>
                <w:tcW w:w="7020" w:type="dxa"/>
                <w:tcBorders>
                  <w:top w:val="single" w:sz="4" w:space="0" w:color="auto"/>
                </w:tcBorders>
              </w:tcPr>
              <w:p>
                <w:pPr>
                  <w:rPr>
                    <w:b/>
                    <w:bCs/>
                    <w:szCs w:val="24"/>
                    <w:lang w:eastAsia="lt-LT"/>
                  </w:rPr>
                </w:pPr>
                <w:r>
                  <w:rPr>
                    <w:b/>
                    <w:bCs/>
                    <w:szCs w:val="24"/>
                    <w:lang w:eastAsia="lt-LT"/>
                  </w:rPr>
                  <w:t>LĖŠŲ LIKUTIS 2025 M. SAUSIO 1 D.</w:t>
                </w:r>
              </w:p>
            </w:tc>
            <w:tc>
              <w:tcPr>
                <w:tcW w:w="1610" w:type="dxa"/>
                <w:tcBorders>
                  <w:top w:val="single" w:sz="4" w:space="0" w:color="auto"/>
                </w:tcBorders>
              </w:tcPr>
              <w:p>
                <w:pPr>
                  <w:jc w:val="right"/>
                  <w:rPr>
                    <w:b/>
                    <w:bCs/>
                    <w:szCs w:val="24"/>
                    <w:lang w:eastAsia="lt-LT"/>
                  </w:rPr>
                </w:pPr>
                <w:r>
                  <w:rPr>
                    <w:b/>
                    <w:bCs/>
                    <w:szCs w:val="24"/>
                    <w:lang w:eastAsia="lt-LT"/>
                  </w:rPr>
                  <w:t>657 164</w:t>
                </w:r>
              </w:p>
            </w:tc>
          </w:tr>
          <w:tr>
            <w:tc>
              <w:tcPr>
                <w:tcW w:w="715" w:type="dxa"/>
              </w:tcPr>
              <w:p>
                <w:pPr>
                  <w:jc w:val="center"/>
                  <w:rPr>
                    <w:szCs w:val="24"/>
                    <w:lang w:eastAsia="lt-LT"/>
                  </w:rPr>
                </w:pPr>
                <w:r>
                  <w:rPr>
                    <w:szCs w:val="24"/>
                    <w:lang w:eastAsia="lt-LT"/>
                  </w:rPr>
                  <w:t>1.1.</w:t>
                </w:r>
              </w:p>
            </w:tc>
            <w:tc>
              <w:tcPr>
                <w:tcW w:w="7020" w:type="dxa"/>
              </w:tcPr>
              <w:p>
                <w:pPr>
                  <w:rPr>
                    <w:strike/>
                    <w:szCs w:val="24"/>
                    <w:lang w:eastAsia="lt-LT"/>
                  </w:rPr>
                </w:pPr>
                <w:r>
                  <w:rPr>
                    <w:szCs w:val="24"/>
                    <w:lang w:eastAsia="lt-LT"/>
                  </w:rPr>
                  <w:t>lėšų likučio 2026 m. sausio 1 d. dalis, sukaupta radioaktyviųjų atliekų giluminiam atliekynui įrengti ir radioaktyviosioms atliekoms tvarkyti</w:t>
                </w:r>
              </w:p>
            </w:tc>
            <w:tc>
              <w:tcPr>
                <w:tcW w:w="1610" w:type="dxa"/>
              </w:tcPr>
              <w:p>
                <w:pPr>
                  <w:jc w:val="right"/>
                  <w:rPr>
                    <w:szCs w:val="24"/>
                    <w:lang w:eastAsia="lt-LT"/>
                  </w:rPr>
                </w:pPr>
                <w:r>
                  <w:rPr>
                    <w:szCs w:val="24"/>
                    <w:lang w:eastAsia="lt-LT"/>
                  </w:rPr>
                  <w:t>68 123</w:t>
                </w:r>
              </w:p>
            </w:tc>
          </w:tr>
          <w:tr>
            <w:tc>
              <w:tcPr>
                <w:tcW w:w="715" w:type="dxa"/>
              </w:tcPr>
              <w:p>
                <w:pPr>
                  <w:jc w:val="center"/>
                  <w:rPr>
                    <w:b/>
                    <w:bCs/>
                    <w:szCs w:val="24"/>
                    <w:lang w:eastAsia="lt-LT"/>
                  </w:rPr>
                </w:pPr>
                <w:r>
                  <w:rPr>
                    <w:b/>
                    <w:bCs/>
                    <w:szCs w:val="24"/>
                    <w:lang w:eastAsia="lt-LT"/>
                  </w:rPr>
                  <w:t>2.</w:t>
                </w:r>
              </w:p>
            </w:tc>
            <w:tc>
              <w:tcPr>
                <w:tcW w:w="7020" w:type="dxa"/>
              </w:tcPr>
              <w:p>
                <w:pPr>
                  <w:rPr>
                    <w:b/>
                    <w:bCs/>
                    <w:szCs w:val="24"/>
                    <w:lang w:eastAsia="lt-LT"/>
                  </w:rPr>
                </w:pPr>
                <w:r>
                  <w:rPr>
                    <w:b/>
                    <w:bCs/>
                    <w:szCs w:val="24"/>
                    <w:lang w:eastAsia="lt-LT"/>
                  </w:rPr>
                  <w:t>PAJAMOS</w:t>
                </w:r>
              </w:p>
            </w:tc>
            <w:tc>
              <w:tcPr>
                <w:tcW w:w="1610" w:type="dxa"/>
              </w:tcPr>
              <w:p>
                <w:pPr>
                  <w:jc w:val="right"/>
                  <w:rPr>
                    <w:b/>
                    <w:bCs/>
                    <w:szCs w:val="24"/>
                    <w:lang w:eastAsia="lt-LT"/>
                  </w:rPr>
                </w:pPr>
                <w:r>
                  <w:rPr>
                    <w:b/>
                    <w:bCs/>
                    <w:szCs w:val="24"/>
                    <w:lang w:eastAsia="lt-LT"/>
                  </w:rPr>
                  <w:t>96 377</w:t>
                </w:r>
              </w:p>
            </w:tc>
          </w:tr>
          <w:tr>
            <w:tc>
              <w:tcPr>
                <w:tcW w:w="715" w:type="dxa"/>
              </w:tcPr>
              <w:p>
                <w:pPr>
                  <w:jc w:val="center"/>
                  <w:rPr>
                    <w:szCs w:val="24"/>
                    <w:lang w:eastAsia="lt-LT"/>
                  </w:rPr>
                </w:pPr>
                <w:r>
                  <w:rPr>
                    <w:szCs w:val="24"/>
                    <w:lang w:eastAsia="lt-LT"/>
                  </w:rPr>
                  <w:t>2.1.</w:t>
                </w:r>
              </w:p>
            </w:tc>
            <w:tc>
              <w:tcPr>
                <w:tcW w:w="7020" w:type="dxa"/>
              </w:tcPr>
              <w:p>
                <w:pPr>
                  <w:rPr>
                    <w:szCs w:val="24"/>
                    <w:lang w:eastAsia="lt-LT"/>
                  </w:rPr>
                </w:pPr>
                <w:r>
                  <w:rPr>
                    <w:szCs w:val="24"/>
                    <w:lang w:eastAsia="lt-LT"/>
                  </w:rPr>
                  <w:t>50 procentų lėšų, gautų į Lietuvos Respublikos valstybės biudžetą, įstatymų nustatyta tvarka privatizavus valstybei nuosavybės teise priklausančius akcijų paketus</w:t>
                </w:r>
              </w:p>
            </w:tc>
            <w:tc>
              <w:tcPr>
                <w:tcW w:w="1610" w:type="dxa"/>
              </w:tcPr>
              <w:p>
                <w:pPr>
                  <w:jc w:val="right"/>
                  <w:rPr>
                    <w:szCs w:val="24"/>
                    <w:lang w:eastAsia="lt-LT"/>
                  </w:rPr>
                </w:pPr>
                <w:r>
                  <w:rPr>
                    <w:szCs w:val="24"/>
                    <w:lang w:eastAsia="lt-LT"/>
                  </w:rPr>
                  <w:t>800</w:t>
                </w:r>
              </w:p>
            </w:tc>
          </w:tr>
          <w:tr>
            <w:tc>
              <w:tcPr>
                <w:tcW w:w="715" w:type="dxa"/>
              </w:tcPr>
              <w:p>
                <w:pPr>
                  <w:jc w:val="center"/>
                  <w:rPr>
                    <w:szCs w:val="24"/>
                    <w:lang w:eastAsia="lt-LT"/>
                  </w:rPr>
                </w:pPr>
                <w:r>
                  <w:rPr>
                    <w:szCs w:val="24"/>
                    <w:lang w:eastAsia="lt-LT"/>
                  </w:rPr>
                  <w:t>2.2.</w:t>
                </w:r>
              </w:p>
            </w:tc>
            <w:tc>
              <w:tcPr>
                <w:tcW w:w="7020" w:type="dxa"/>
              </w:tcPr>
              <w:p>
                <w:pPr>
                  <w:rPr>
                    <w:szCs w:val="24"/>
                    <w:lang w:eastAsia="lt-LT"/>
                  </w:rPr>
                </w:pPr>
                <w:r>
                  <w:rPr>
                    <w:szCs w:val="24"/>
                    <w:lang w:eastAsia="lt-LT"/>
                  </w:rPr>
                  <w:t>50 procentų dividendų, gautų į Lietuvos Respublikos valstybės biudžetą</w:t>
                </w:r>
              </w:p>
            </w:tc>
            <w:tc>
              <w:tcPr>
                <w:tcW w:w="1610" w:type="dxa"/>
              </w:tcPr>
              <w:p>
                <w:pPr>
                  <w:jc w:val="right"/>
                  <w:rPr>
                    <w:szCs w:val="24"/>
                    <w:lang w:eastAsia="lt-LT"/>
                  </w:rPr>
                </w:pPr>
                <w:r>
                  <w:rPr>
                    <w:szCs w:val="24"/>
                    <w:lang w:eastAsia="lt-LT"/>
                  </w:rPr>
                  <w:t>56 281</w:t>
                </w:r>
              </w:p>
            </w:tc>
          </w:tr>
          <w:tr>
            <w:tc>
              <w:tcPr>
                <w:tcW w:w="715" w:type="dxa"/>
              </w:tcPr>
              <w:p>
                <w:pPr>
                  <w:jc w:val="center"/>
                  <w:rPr>
                    <w:szCs w:val="24"/>
                    <w:lang w:eastAsia="lt-LT"/>
                  </w:rPr>
                </w:pPr>
                <w:r>
                  <w:rPr>
                    <w:szCs w:val="24"/>
                    <w:lang w:eastAsia="lt-LT"/>
                  </w:rPr>
                  <w:t>2.3.</w:t>
                </w:r>
              </w:p>
            </w:tc>
            <w:tc>
              <w:tcPr>
                <w:tcW w:w="7020" w:type="dxa"/>
              </w:tcPr>
              <w:p>
                <w:pPr>
                  <w:rPr>
                    <w:szCs w:val="24"/>
                    <w:lang w:eastAsia="lt-LT"/>
                  </w:rPr>
                </w:pPr>
                <w:r>
                  <w:rPr>
                    <w:szCs w:val="24"/>
                    <w:lang w:eastAsia="lt-LT"/>
                  </w:rPr>
                  <w:t>50 procentų lėšų, gautų į Lietuvos Respublikos valstybės biudžetą, pardavus viešo aukciono būdu įstatymų nustatyta tvarka valstybės nekilnojamąjį turtą ir kitus nekilnojamuosius daiktus</w:t>
                </w:r>
              </w:p>
            </w:tc>
            <w:tc>
              <w:tcPr>
                <w:tcW w:w="1610" w:type="dxa"/>
              </w:tcPr>
              <w:p>
                <w:pPr>
                  <w:jc w:val="right"/>
                  <w:rPr>
                    <w:szCs w:val="24"/>
                    <w:lang w:eastAsia="lt-LT"/>
                  </w:rPr>
                </w:pPr>
                <w:r>
                  <w:rPr>
                    <w:szCs w:val="24"/>
                    <w:lang w:eastAsia="lt-LT"/>
                  </w:rPr>
                  <w:t>5 069</w:t>
                </w:r>
              </w:p>
            </w:tc>
          </w:tr>
          <w:tr>
            <w:tc>
              <w:tcPr>
                <w:tcW w:w="715" w:type="dxa"/>
              </w:tcPr>
              <w:p>
                <w:pPr>
                  <w:jc w:val="center"/>
                  <w:rPr>
                    <w:szCs w:val="24"/>
                    <w:lang w:eastAsia="lt-LT"/>
                  </w:rPr>
                </w:pPr>
                <w:r>
                  <w:rPr>
                    <w:szCs w:val="24"/>
                    <w:lang w:eastAsia="lt-LT"/>
                  </w:rPr>
                  <w:t>2.4.</w:t>
                </w:r>
              </w:p>
            </w:tc>
            <w:tc>
              <w:tcPr>
                <w:tcW w:w="7020" w:type="dxa"/>
              </w:tcPr>
              <w:p>
                <w:pPr>
                  <w:rPr>
                    <w:szCs w:val="24"/>
                    <w:lang w:eastAsia="lt-LT"/>
                  </w:rPr>
                </w:pPr>
                <w:r>
                  <w:rPr>
                    <w:szCs w:val="24"/>
                    <w:lang w:eastAsia="lt-LT"/>
                  </w:rPr>
                  <w:t>50 procentų lėšų, gautų į Lietuvos Respublikos valstybės biudžetą, pardavus valstybinės žemės sklypus</w:t>
                </w:r>
              </w:p>
            </w:tc>
            <w:tc>
              <w:tcPr>
                <w:tcW w:w="1610" w:type="dxa"/>
              </w:tcPr>
              <w:p>
                <w:pPr>
                  <w:jc w:val="right"/>
                  <w:rPr>
                    <w:szCs w:val="24"/>
                    <w:lang w:eastAsia="lt-LT"/>
                  </w:rPr>
                </w:pPr>
                <w:r>
                  <w:rPr>
                    <w:szCs w:val="24"/>
                    <w:lang w:eastAsia="lt-LT"/>
                  </w:rPr>
                  <w:t>9 662</w:t>
                </w:r>
              </w:p>
            </w:tc>
          </w:tr>
          <w:tr>
            <w:tc>
              <w:tcPr>
                <w:tcW w:w="715" w:type="dxa"/>
              </w:tcPr>
              <w:p>
                <w:pPr>
                  <w:jc w:val="center"/>
                  <w:rPr>
                    <w:szCs w:val="24"/>
                    <w:lang w:eastAsia="lt-LT"/>
                  </w:rPr>
                </w:pPr>
                <w:r>
                  <w:rPr>
                    <w:szCs w:val="24"/>
                    <w:lang w:eastAsia="lt-LT"/>
                  </w:rPr>
                  <w:t>2.5.</w:t>
                </w:r>
              </w:p>
            </w:tc>
            <w:tc>
              <w:tcPr>
                <w:tcW w:w="7020" w:type="dxa"/>
              </w:tcPr>
              <w:p>
                <w:pPr>
                  <w:rPr>
                    <w:szCs w:val="24"/>
                    <w:lang w:eastAsia="lt-LT"/>
                  </w:rPr>
                </w:pPr>
                <w:r>
                  <w:rPr>
                    <w:szCs w:val="24"/>
                    <w:lang w:eastAsia="lt-LT"/>
                  </w:rPr>
                  <w:t>lėšos, gautos už valstybės įmonės Ignalinos atominės elektrinės parduotą turtą ir kaupiamos radioaktyviųjų atliekų giluminiam atliekynui įrengti ir radioaktyviosioms atliekoms tvarkyti</w:t>
                </w:r>
              </w:p>
            </w:tc>
            <w:tc>
              <w:tcPr>
                <w:tcW w:w="1610" w:type="dxa"/>
              </w:tcPr>
              <w:p>
                <w:pPr>
                  <w:jc w:val="right"/>
                  <w:rPr>
                    <w:szCs w:val="24"/>
                    <w:lang w:eastAsia="lt-LT"/>
                  </w:rPr>
                </w:pPr>
                <w:r>
                  <w:rPr>
                    <w:szCs w:val="24"/>
                    <w:lang w:eastAsia="lt-LT"/>
                  </w:rPr>
                  <w:t>2 240</w:t>
                </w:r>
              </w:p>
            </w:tc>
          </w:tr>
          <w:tr>
            <w:trPr>
              <w:trHeight w:val="381"/>
            </w:trPr>
            <w:tc>
              <w:tcPr>
                <w:tcW w:w="715" w:type="dxa"/>
              </w:tcPr>
              <w:p>
                <w:pPr>
                  <w:jc w:val="center"/>
                  <w:rPr>
                    <w:szCs w:val="24"/>
                    <w:lang w:eastAsia="lt-LT"/>
                  </w:rPr>
                </w:pPr>
                <w:r>
                  <w:rPr>
                    <w:szCs w:val="24"/>
                    <w:lang w:eastAsia="lt-LT"/>
                  </w:rPr>
                  <w:t>2.6.</w:t>
                </w:r>
              </w:p>
            </w:tc>
            <w:tc>
              <w:tcPr>
                <w:tcW w:w="7020" w:type="dxa"/>
              </w:tcPr>
              <w:p>
                <w:pPr>
                  <w:rPr>
                    <w:szCs w:val="24"/>
                    <w:lang w:eastAsia="lt-LT"/>
                  </w:rPr>
                </w:pPr>
                <w:r>
                  <w:rPr>
                    <w:szCs w:val="24"/>
                    <w:lang w:eastAsia="lt-LT"/>
                  </w:rPr>
                  <w:t>pajamos, gautos investavus Rezervinio (stabilizavimo) fondo lėšas</w:t>
                </w:r>
              </w:p>
            </w:tc>
            <w:tc>
              <w:tcPr>
                <w:tcW w:w="1610" w:type="dxa"/>
              </w:tcPr>
              <w:p>
                <w:pPr>
                  <w:jc w:val="right"/>
                  <w:rPr>
                    <w:szCs w:val="24"/>
                    <w:lang w:eastAsia="lt-LT"/>
                  </w:rPr>
                </w:pPr>
                <w:r>
                  <w:rPr>
                    <w:szCs w:val="24"/>
                    <w:lang w:eastAsia="lt-LT"/>
                  </w:rPr>
                  <w:t>0</w:t>
                </w:r>
              </w:p>
            </w:tc>
          </w:tr>
          <w:tr>
            <w:tc>
              <w:tcPr>
                <w:tcW w:w="715" w:type="dxa"/>
              </w:tcPr>
              <w:p>
                <w:pPr>
                  <w:jc w:val="center"/>
                  <w:rPr>
                    <w:szCs w:val="24"/>
                    <w:lang w:eastAsia="lt-LT"/>
                  </w:rPr>
                </w:pPr>
                <w:r>
                  <w:rPr>
                    <w:szCs w:val="24"/>
                    <w:lang w:eastAsia="lt-LT"/>
                  </w:rPr>
                  <w:t>2.7.</w:t>
                </w:r>
              </w:p>
            </w:tc>
            <w:tc>
              <w:tcPr>
                <w:tcW w:w="7020" w:type="dxa"/>
              </w:tcPr>
              <w:p>
                <w:pPr>
                  <w:rPr>
                    <w:szCs w:val="24"/>
                    <w:lang w:eastAsia="lt-LT"/>
                  </w:rPr>
                </w:pPr>
                <w:r>
                  <w:rPr>
                    <w:szCs w:val="24"/>
                    <w:lang w:eastAsia="lt-LT"/>
                  </w:rPr>
                  <w:t>pajamos, gautos už Rezervinio (stabilizavimo) fondo lėšų likutį banko sąskaitose</w:t>
                </w:r>
              </w:p>
            </w:tc>
            <w:tc>
              <w:tcPr>
                <w:tcW w:w="1610" w:type="dxa"/>
              </w:tcPr>
              <w:p>
                <w:pPr>
                  <w:jc w:val="right"/>
                  <w:rPr>
                    <w:szCs w:val="24"/>
                    <w:lang w:eastAsia="lt-LT"/>
                  </w:rPr>
                </w:pPr>
                <w:r>
                  <w:rPr>
                    <w:szCs w:val="24"/>
                    <w:lang w:eastAsia="lt-LT"/>
                  </w:rPr>
                  <w:t>22 325</w:t>
                </w:r>
              </w:p>
            </w:tc>
          </w:tr>
          <w:tr>
            <w:tc>
              <w:tcPr>
                <w:tcW w:w="715" w:type="dxa"/>
              </w:tcPr>
              <w:p>
                <w:pPr>
                  <w:jc w:val="center"/>
                  <w:rPr>
                    <w:b/>
                    <w:bCs/>
                    <w:szCs w:val="24"/>
                    <w:lang w:eastAsia="lt-LT"/>
                  </w:rPr>
                </w:pPr>
                <w:r>
                  <w:rPr>
                    <w:b/>
                    <w:bCs/>
                    <w:szCs w:val="24"/>
                    <w:lang w:eastAsia="lt-LT"/>
                  </w:rPr>
                  <w:t>3.</w:t>
                </w:r>
              </w:p>
            </w:tc>
            <w:tc>
              <w:tcPr>
                <w:tcW w:w="7020" w:type="dxa"/>
              </w:tcPr>
              <w:p>
                <w:pPr>
                  <w:rPr>
                    <w:b/>
                    <w:bCs/>
                    <w:szCs w:val="24"/>
                    <w:lang w:eastAsia="lt-LT"/>
                  </w:rPr>
                </w:pPr>
                <w:r>
                  <w:rPr>
                    <w:b/>
                    <w:bCs/>
                    <w:szCs w:val="24"/>
                    <w:lang w:eastAsia="lt-LT"/>
                  </w:rPr>
                  <w:t>IŠLAIDOS</w:t>
                </w:r>
              </w:p>
            </w:tc>
            <w:tc>
              <w:tcPr>
                <w:tcW w:w="1610" w:type="dxa"/>
              </w:tcPr>
              <w:p>
                <w:pPr>
                  <w:jc w:val="right"/>
                  <w:rPr>
                    <w:b/>
                    <w:bCs/>
                    <w:szCs w:val="24"/>
                    <w:lang w:eastAsia="lt-LT"/>
                  </w:rPr>
                </w:pPr>
                <w:r>
                  <w:rPr>
                    <w:b/>
                    <w:bCs/>
                    <w:szCs w:val="24"/>
                    <w:lang w:eastAsia="lt-LT"/>
                  </w:rPr>
                  <w:t>0</w:t>
                </w:r>
              </w:p>
            </w:tc>
          </w:tr>
          <w:tr>
            <w:tc>
              <w:tcPr>
                <w:tcW w:w="715" w:type="dxa"/>
              </w:tcPr>
              <w:p>
                <w:pPr>
                  <w:jc w:val="center"/>
                  <w:rPr>
                    <w:szCs w:val="24"/>
                    <w:lang w:eastAsia="lt-LT"/>
                  </w:rPr>
                </w:pPr>
                <w:r>
                  <w:rPr>
                    <w:szCs w:val="24"/>
                    <w:lang w:eastAsia="lt-LT"/>
                  </w:rPr>
                  <w:t>3.1.</w:t>
                </w:r>
              </w:p>
            </w:tc>
            <w:tc>
              <w:tcPr>
                <w:tcW w:w="7020" w:type="dxa"/>
              </w:tcPr>
              <w:p>
                <w:pPr>
                  <w:rPr>
                    <w:szCs w:val="24"/>
                    <w:lang w:eastAsia="lt-LT"/>
                  </w:rPr>
                </w:pPr>
                <w:r>
                  <w:rPr>
                    <w:szCs w:val="24"/>
                    <w:lang w:eastAsia="lt-LT"/>
                  </w:rPr>
                  <w:t>Rezervinio (stabilizavimo) fondo valdymo išlaidos</w:t>
                </w:r>
              </w:p>
            </w:tc>
            <w:tc>
              <w:tcPr>
                <w:tcW w:w="1610" w:type="dxa"/>
              </w:tcPr>
              <w:p>
                <w:pPr>
                  <w:jc w:val="right"/>
                  <w:rPr>
                    <w:szCs w:val="24"/>
                    <w:lang w:eastAsia="lt-LT"/>
                  </w:rPr>
                </w:pPr>
                <w:r>
                  <w:rPr>
                    <w:szCs w:val="24"/>
                    <w:lang w:eastAsia="lt-LT"/>
                  </w:rPr>
                  <w:t>0</w:t>
                </w:r>
              </w:p>
            </w:tc>
          </w:tr>
          <w:tr>
            <w:tc>
              <w:tcPr>
                <w:tcW w:w="715" w:type="dxa"/>
              </w:tcPr>
              <w:p>
                <w:pPr>
                  <w:jc w:val="center"/>
                  <w:rPr>
                    <w:b/>
                    <w:bCs/>
                    <w:szCs w:val="24"/>
                    <w:lang w:eastAsia="lt-LT"/>
                  </w:rPr>
                </w:pPr>
                <w:r>
                  <w:rPr>
                    <w:b/>
                    <w:bCs/>
                    <w:szCs w:val="24"/>
                    <w:lang w:eastAsia="lt-LT"/>
                  </w:rPr>
                  <w:t>4.</w:t>
                </w:r>
              </w:p>
            </w:tc>
            <w:tc>
              <w:tcPr>
                <w:tcW w:w="7020" w:type="dxa"/>
              </w:tcPr>
              <w:p>
                <w:pPr>
                  <w:rPr>
                    <w:b/>
                    <w:bCs/>
                    <w:szCs w:val="24"/>
                    <w:lang w:eastAsia="lt-LT"/>
                  </w:rPr>
                </w:pPr>
                <w:r>
                  <w:rPr>
                    <w:b/>
                    <w:bCs/>
                    <w:szCs w:val="24"/>
                    <w:lang w:eastAsia="lt-LT"/>
                  </w:rPr>
                  <w:t>2025 metų Rezervinio (stabilizavimo) fondo lėšų dalis, kaupiama radioaktyviųjų atliekų giluminiam atliekynui įrengti ir radioaktyviosioms atliekoms tvarkyti</w:t>
                </w:r>
              </w:p>
            </w:tc>
            <w:tc>
              <w:tcPr>
                <w:tcW w:w="1610" w:type="dxa"/>
              </w:tcPr>
              <w:p>
                <w:pPr>
                  <w:jc w:val="right"/>
                  <w:rPr>
                    <w:b/>
                    <w:bCs/>
                    <w:szCs w:val="24"/>
                    <w:lang w:eastAsia="lt-LT"/>
                  </w:rPr>
                </w:pPr>
                <w:r>
                  <w:rPr>
                    <w:b/>
                    <w:bCs/>
                    <w:szCs w:val="24"/>
                    <w:lang w:eastAsia="lt-LT"/>
                  </w:rPr>
                  <w:t>50 987</w:t>
                </w:r>
              </w:p>
            </w:tc>
          </w:tr>
          <w:tr>
            <w:tc>
              <w:tcPr>
                <w:tcW w:w="715" w:type="dxa"/>
              </w:tcPr>
              <w:p>
                <w:pPr>
                  <w:jc w:val="center"/>
                  <w:rPr>
                    <w:b/>
                    <w:bCs/>
                    <w:szCs w:val="24"/>
                    <w:lang w:eastAsia="lt-LT"/>
                  </w:rPr>
                </w:pPr>
                <w:r>
                  <w:rPr>
                    <w:b/>
                    <w:bCs/>
                    <w:szCs w:val="24"/>
                    <w:lang w:eastAsia="lt-LT"/>
                  </w:rPr>
                  <w:t>5.</w:t>
                </w:r>
              </w:p>
            </w:tc>
            <w:tc>
              <w:tcPr>
                <w:tcW w:w="7020" w:type="dxa"/>
              </w:tcPr>
              <w:p>
                <w:pPr>
                  <w:rPr>
                    <w:b/>
                    <w:bCs/>
                    <w:szCs w:val="24"/>
                    <w:lang w:eastAsia="lt-LT"/>
                  </w:rPr>
                </w:pPr>
                <w:r>
                  <w:rPr>
                    <w:b/>
                    <w:bCs/>
                    <w:szCs w:val="24"/>
                    <w:lang w:eastAsia="lt-LT"/>
                  </w:rPr>
                  <w:t>Lėšos, kurios gali būti naudojamos valstybės turtiniams įsipareigojimams, susijusiems su valstybės skola, vykdyti (grąžintinai) iki 2027 m. gruodžio 31 d.</w:t>
                </w:r>
              </w:p>
            </w:tc>
            <w:tc>
              <w:tcPr>
                <w:tcW w:w="1610" w:type="dxa"/>
              </w:tcPr>
              <w:p>
                <w:pPr>
                  <w:jc w:val="right"/>
                  <w:rPr>
                    <w:b/>
                    <w:bCs/>
                    <w:szCs w:val="24"/>
                    <w:lang w:eastAsia="lt-LT"/>
                  </w:rPr>
                </w:pPr>
                <w:r>
                  <w:rPr>
                    <w:b/>
                    <w:bCs/>
                    <w:szCs w:val="24"/>
                    <w:lang w:eastAsia="lt-LT"/>
                  </w:rPr>
                  <w:t>570 000</w:t>
                </w:r>
              </w:p>
            </w:tc>
          </w:tr>
          <w:tr>
            <w:tc>
              <w:tcPr>
                <w:tcW w:w="715" w:type="dxa"/>
              </w:tcPr>
              <w:p>
                <w:pPr>
                  <w:jc w:val="center"/>
                  <w:rPr>
                    <w:b/>
                    <w:bCs/>
                    <w:szCs w:val="24"/>
                    <w:lang w:eastAsia="lt-LT"/>
                  </w:rPr>
                </w:pPr>
                <w:r>
                  <w:rPr>
                    <w:b/>
                    <w:bCs/>
                    <w:szCs w:val="24"/>
                    <w:lang w:eastAsia="lt-LT"/>
                  </w:rPr>
                  <w:t>6.</w:t>
                </w:r>
              </w:p>
            </w:tc>
            <w:tc>
              <w:tcPr>
                <w:tcW w:w="7020" w:type="dxa"/>
              </w:tcPr>
              <w:p>
                <w:pPr>
                  <w:rPr>
                    <w:b/>
                    <w:bCs/>
                    <w:szCs w:val="24"/>
                    <w:lang w:eastAsia="lt-LT"/>
                  </w:rPr>
                </w:pPr>
                <w:r>
                  <w:rPr>
                    <w:b/>
                    <w:bCs/>
                    <w:szCs w:val="24"/>
                    <w:lang w:eastAsia="lt-LT"/>
                  </w:rPr>
                  <w:t>NUMATOMAS LĖŠŲ LIKUTIS 2026 M. SAUSIO 1 D. (1 + 2 – 3)</w:t>
                </w:r>
              </w:p>
            </w:tc>
            <w:tc>
              <w:tcPr>
                <w:tcW w:w="1610" w:type="dxa"/>
              </w:tcPr>
              <w:p>
                <w:pPr>
                  <w:jc w:val="right"/>
                  <w:rPr>
                    <w:b/>
                    <w:bCs/>
                    <w:szCs w:val="24"/>
                    <w:lang w:eastAsia="lt-LT"/>
                  </w:rPr>
                </w:pPr>
                <w:r>
                  <w:rPr>
                    <w:b/>
                    <w:bCs/>
                    <w:szCs w:val="24"/>
                    <w:lang w:eastAsia="lt-LT"/>
                  </w:rPr>
                  <w:t>753 541</w:t>
                </w:r>
              </w:p>
            </w:tc>
          </w:tr>
          <w:tr>
            <w:tc>
              <w:tcPr>
                <w:tcW w:w="715" w:type="dxa"/>
              </w:tcPr>
              <w:p>
                <w:pPr>
                  <w:jc w:val="center"/>
                  <w:rPr>
                    <w:szCs w:val="24"/>
                    <w:lang w:eastAsia="lt-LT"/>
                  </w:rPr>
                </w:pPr>
                <w:r>
                  <w:rPr>
                    <w:szCs w:val="24"/>
                    <w:lang w:eastAsia="lt-LT"/>
                  </w:rPr>
                  <w:t>6.1.</w:t>
                </w:r>
              </w:p>
            </w:tc>
            <w:tc>
              <w:tcPr>
                <w:tcW w:w="7020" w:type="dxa"/>
              </w:tcPr>
              <w:p>
                <w:pPr>
                  <w:rPr>
                    <w:szCs w:val="24"/>
                    <w:lang w:eastAsia="lt-LT"/>
                  </w:rPr>
                </w:pPr>
                <w:r>
                  <w:rPr>
                    <w:szCs w:val="24"/>
                    <w:lang w:eastAsia="lt-LT"/>
                  </w:rPr>
                  <w:t xml:space="preserve">lėšų likučio 2026 m. sausio 1 d. dalis, numatoma radioaktyviųjų atliekų giluminiam atliekynui įrengti ir radioaktyviosioms atliekoms tvarkyti </w:t>
                </w:r>
              </w:p>
            </w:tc>
            <w:tc>
              <w:tcPr>
                <w:tcW w:w="1610" w:type="dxa"/>
              </w:tcPr>
              <w:p>
                <w:pPr>
                  <w:jc w:val="right"/>
                  <w:rPr>
                    <w:szCs w:val="24"/>
                    <w:lang w:eastAsia="lt-LT"/>
                  </w:rPr>
                </w:pPr>
                <w:r>
                  <w:rPr>
                    <w:szCs w:val="24"/>
                    <w:lang w:eastAsia="lt-LT"/>
                  </w:rPr>
                  <w:t>119 110</w:t>
                </w:r>
              </w:p>
            </w:tc>
          </w:tr>
        </w:tbl>
        <w:p>
          <w:pPr>
            <w:jc w:val="center"/>
            <w:rPr>
              <w:szCs w:val="24"/>
              <w:lang w:eastAsia="lt-LT"/>
            </w:rPr>
            <w:sectPr>
              <w:pgSz w:w="11907" w:h="16840" w:code="9"/>
              <w:pgMar w:top="1134" w:right="851" w:bottom="1134" w:left="1701" w:header="706" w:footer="706" w:gutter="0"/>
              <w:pgNumType w:start="1"/>
              <w:cols w:space="1296"/>
              <w:titlePg/>
              <w:docGrid w:linePitch="326"/>
            </w:sectPr>
          </w:pPr>
          <w:r>
            <w:rPr>
              <w:szCs w:val="24"/>
              <w:lang w:eastAsia="lt-LT"/>
            </w:rPr>
            <w:t>________________________</w:t>
          </w:r>
        </w:p>
        <w:p>
          <w:pPr>
            <w:tabs>
              <w:tab w:val="center" w:pos="4819"/>
              <w:tab w:val="right" w:pos="9638"/>
            </w:tabs>
          </w:pPr>
        </w:p>
      </w:sdtContent>
    </w:sdt>
    <w:sdt>
      <w:sdtPr>
        <w:alias w:val="9 pr."/>
        <w:tag w:val="part_40f4bf6f49254f279c90664bb4c98b76"/>
        <w:lock w:val="sdtLocked"/>
        <w:richText/>
      </w:sdtPr>
      <w:sdtContent>
        <w:p>
          <w:pPr>
            <w:ind w:firstLine="5954"/>
            <w:rPr>
              <w:szCs w:val="24"/>
              <w:lang w:eastAsia="lt-LT"/>
            </w:rPr>
          </w:pPr>
          <w:r>
            <w:rPr>
              <w:szCs w:val="24"/>
              <w:lang w:eastAsia="lt-LT"/>
            </w:rPr>
            <w:t>Lietuvos Respublikos</w:t>
          </w:r>
        </w:p>
        <w:p>
          <w:pPr>
            <w:ind w:firstLine="5954"/>
            <w:rPr>
              <w:szCs w:val="24"/>
              <w:lang w:eastAsia="lt-LT"/>
            </w:rPr>
          </w:pPr>
          <w:r>
            <w:rPr>
              <w:szCs w:val="24"/>
              <w:lang w:eastAsia="lt-LT"/>
            </w:rPr>
            <w:t>2025</w:t>
          </w:r>
          <w:r>
            <w:rPr>
              <w:szCs w:val="24"/>
            </w:rPr>
            <w:t>–2027</w:t>
          </w:r>
          <w:r>
            <w:rPr>
              <w:szCs w:val="24"/>
              <w:lang w:eastAsia="lt-LT"/>
            </w:rPr>
            <w:t xml:space="preserve"> metų biudžeto</w:t>
          </w:r>
        </w:p>
        <w:p>
          <w:pPr>
            <w:ind w:firstLine="5954"/>
            <w:rPr>
              <w:szCs w:val="24"/>
              <w:lang w:eastAsia="lt-LT"/>
            </w:rPr>
          </w:pPr>
          <w:r>
            <w:rPr>
              <w:szCs w:val="24"/>
              <w:lang w:eastAsia="lt-LT"/>
            </w:rPr>
            <w:t>patvirtinimo įstatymo</w:t>
          </w:r>
        </w:p>
        <w:p>
          <w:pPr>
            <w:ind w:firstLine="5954"/>
            <w:rPr>
              <w:szCs w:val="24"/>
              <w:lang w:eastAsia="lt-LT"/>
            </w:rPr>
          </w:pPr>
          <w:sdt>
            <w:sdtPr>
              <w:alias w:val="Numeris"/>
              <w:tag w:val="nr_40f4bf6f49254f279c90664bb4c98b76"/>
              <w:lock w:val="sdtLocked"/>
              <w:richText/>
            </w:sdtPr>
            <w:sdtContent>
              <w:r>
                <w:rPr>
                  <w:szCs w:val="24"/>
                  <w:lang w:eastAsia="lt-LT"/>
                </w:rPr>
                <w:t>9</w:t>
              </w:r>
            </w:sdtContent>
          </w:sdt>
          <w:r>
            <w:rPr>
              <w:szCs w:val="24"/>
              <w:lang w:eastAsia="lt-LT"/>
            </w:rPr>
            <w:t xml:space="preserve"> priedas</w:t>
          </w:r>
        </w:p>
        <w:p>
          <w:pPr>
            <w:rPr>
              <w:szCs w:val="24"/>
              <w:lang w:eastAsia="lt-LT"/>
            </w:rPr>
          </w:pPr>
        </w:p>
        <w:p>
          <w:pPr>
            <w:jc w:val="center"/>
            <w:rPr>
              <w:b/>
              <w:bCs/>
              <w:szCs w:val="24"/>
              <w:lang w:eastAsia="lt-LT"/>
            </w:rPr>
          </w:pPr>
          <w:sdt>
            <w:sdtPr>
              <w:alias w:val="Pavadinimas"/>
              <w:tag w:val="title_40f4bf6f49254f279c90664bb4c98b76"/>
              <w:lock w:val="sdtLocked"/>
              <w:richText/>
            </w:sdtPr>
            <w:sdtContent>
              <w:r>
                <w:rPr>
                  <w:b/>
                  <w:bCs/>
                  <w:szCs w:val="24"/>
                  <w:lang w:eastAsia="lt-LT"/>
                </w:rPr>
                <w:t>2025 METŲ VALSTYBĖS GYNYBOS FONDO LĖŠŲ SĄMATA</w:t>
              </w:r>
            </w:sdtContent>
          </w:sdt>
        </w:p>
        <w:p>
          <w:pPr>
            <w:rPr>
              <w:szCs w:val="24"/>
              <w:lang w:eastAsia="lt-LT"/>
            </w:rPr>
          </w:pPr>
        </w:p>
        <w:tbl>
          <w:tblPr>
            <w:tblW w:w="9360" w:type="dxa"/>
            <w:tblInd w:w="-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720"/>
            <w:gridCol w:w="7020"/>
            <w:gridCol w:w="1620"/>
          </w:tblGrid>
          <w:tr>
            <w:tc>
              <w:tcPr>
                <w:tcW w:w="720" w:type="dxa"/>
                <w:tcBorders>
                  <w:top w:val="nil"/>
                  <w:left w:val="nil"/>
                  <w:bottom w:val="single" w:sz="4" w:space="0" w:color="auto"/>
                  <w:right w:val="nil"/>
                </w:tcBorders>
              </w:tcPr>
              <w:p>
                <w:pPr>
                  <w:rPr>
                    <w:szCs w:val="24"/>
                    <w:lang w:eastAsia="lt-LT"/>
                  </w:rPr>
                </w:pPr>
              </w:p>
            </w:tc>
            <w:tc>
              <w:tcPr>
                <w:tcW w:w="7020" w:type="dxa"/>
                <w:tcBorders>
                  <w:top w:val="nil"/>
                  <w:left w:val="nil"/>
                  <w:bottom w:val="single" w:sz="4" w:space="0" w:color="auto"/>
                  <w:right w:val="nil"/>
                </w:tcBorders>
              </w:tcPr>
              <w:p>
                <w:pPr>
                  <w:rPr>
                    <w:szCs w:val="24"/>
                    <w:lang w:eastAsia="lt-LT"/>
                  </w:rPr>
                </w:pPr>
              </w:p>
            </w:tc>
            <w:tc>
              <w:tcPr>
                <w:tcW w:w="1620" w:type="dxa"/>
                <w:tcBorders>
                  <w:top w:val="nil"/>
                  <w:left w:val="nil"/>
                  <w:bottom w:val="single" w:sz="4" w:space="0" w:color="auto"/>
                  <w:right w:val="nil"/>
                </w:tcBorders>
              </w:tcPr>
              <w:p>
                <w:pPr>
                  <w:jc w:val="right"/>
                  <w:rPr>
                    <w:szCs w:val="24"/>
                    <w:lang w:eastAsia="lt-LT"/>
                  </w:rPr>
                </w:pPr>
                <w:r>
                  <w:rPr>
                    <w:szCs w:val="24"/>
                    <w:lang w:eastAsia="lt-LT"/>
                  </w:rPr>
                  <w:t>Tūkst. Eur</w:t>
                </w:r>
              </w:p>
            </w:tc>
          </w:tr>
          <w:tr>
            <w:tc>
              <w:tcPr>
                <w:tcW w:w="720" w:type="dxa"/>
                <w:tcBorders>
                  <w:top w:val="single" w:sz="4" w:space="0" w:color="auto"/>
                  <w:left w:val="single" w:sz="4" w:space="0" w:color="auto"/>
                  <w:bottom w:val="single" w:sz="4" w:space="0" w:color="auto"/>
                  <w:right w:val="single" w:sz="4" w:space="0" w:color="auto"/>
                </w:tcBorders>
              </w:tcPr>
              <w:p>
                <w:pPr>
                  <w:rPr>
                    <w:b/>
                    <w:bCs/>
                    <w:szCs w:val="24"/>
                    <w:lang w:eastAsia="lt-LT"/>
                  </w:rPr>
                </w:pPr>
                <w:r>
                  <w:rPr>
                    <w:b/>
                    <w:bCs/>
                    <w:szCs w:val="24"/>
                    <w:lang w:eastAsia="lt-LT"/>
                  </w:rPr>
                  <w:t>1.</w:t>
                </w:r>
              </w:p>
            </w:tc>
            <w:tc>
              <w:tcPr>
                <w:tcW w:w="7020" w:type="dxa"/>
                <w:tcBorders>
                  <w:top w:val="single" w:sz="4" w:space="0" w:color="auto"/>
                  <w:left w:val="single" w:sz="4" w:space="0" w:color="auto"/>
                  <w:bottom w:val="single" w:sz="4" w:space="0" w:color="auto"/>
                  <w:right w:val="single" w:sz="4" w:space="0" w:color="auto"/>
                </w:tcBorders>
              </w:tcPr>
              <w:p>
                <w:pPr>
                  <w:rPr>
                    <w:b/>
                    <w:bCs/>
                    <w:szCs w:val="24"/>
                    <w:lang w:eastAsia="lt-LT"/>
                  </w:rPr>
                </w:pPr>
                <w:r>
                  <w:rPr>
                    <w:b/>
                    <w:bCs/>
                    <w:szCs w:val="24"/>
                    <w:lang w:eastAsia="lt-LT"/>
                  </w:rPr>
                  <w:t>LĖŠŲ LIKUTIS 2025 M. SAUSIO 1 D.</w:t>
                </w:r>
              </w:p>
            </w:tc>
            <w:tc>
              <w:tcPr>
                <w:tcW w:w="1620" w:type="dxa"/>
                <w:tcBorders>
                  <w:top w:val="single" w:sz="4" w:space="0" w:color="auto"/>
                  <w:left w:val="single" w:sz="4" w:space="0" w:color="auto"/>
                  <w:bottom w:val="single" w:sz="4" w:space="0" w:color="auto"/>
                  <w:right w:val="single" w:sz="4" w:space="0" w:color="auto"/>
                </w:tcBorders>
              </w:tcPr>
              <w:p>
                <w:pPr>
                  <w:jc w:val="right"/>
                  <w:rPr>
                    <w:b/>
                    <w:bCs/>
                    <w:szCs w:val="24"/>
                    <w:lang w:eastAsia="lt-LT"/>
                  </w:rPr>
                </w:pPr>
                <w:r>
                  <w:rPr>
                    <w:b/>
                    <w:bCs/>
                    <w:szCs w:val="24"/>
                    <w:lang w:eastAsia="lt-LT"/>
                  </w:rPr>
                  <w:t>27</w:t>
                </w:r>
              </w:p>
            </w:tc>
          </w:tr>
          <w:tr>
            <w:tc>
              <w:tcPr>
                <w:tcW w:w="720" w:type="dxa"/>
                <w:tcBorders>
                  <w:top w:val="single" w:sz="4" w:space="0" w:color="auto"/>
                  <w:left w:val="single" w:sz="4" w:space="0" w:color="auto"/>
                  <w:bottom w:val="single" w:sz="4" w:space="0" w:color="auto"/>
                  <w:right w:val="single" w:sz="4" w:space="0" w:color="auto"/>
                </w:tcBorders>
              </w:tcPr>
              <w:p>
                <w:pPr>
                  <w:rPr>
                    <w:b/>
                    <w:bCs/>
                    <w:szCs w:val="24"/>
                    <w:lang w:eastAsia="lt-LT"/>
                  </w:rPr>
                </w:pPr>
                <w:r>
                  <w:rPr>
                    <w:b/>
                    <w:bCs/>
                    <w:szCs w:val="24"/>
                    <w:lang w:eastAsia="lt-LT"/>
                  </w:rPr>
                  <w:t>2.</w:t>
                </w:r>
              </w:p>
            </w:tc>
            <w:tc>
              <w:tcPr>
                <w:tcW w:w="7020" w:type="dxa"/>
                <w:tcBorders>
                  <w:top w:val="single" w:sz="4" w:space="0" w:color="auto"/>
                  <w:left w:val="single" w:sz="4" w:space="0" w:color="auto"/>
                  <w:bottom w:val="single" w:sz="4" w:space="0" w:color="auto"/>
                  <w:right w:val="single" w:sz="4" w:space="0" w:color="auto"/>
                </w:tcBorders>
              </w:tcPr>
              <w:p>
                <w:pPr>
                  <w:rPr>
                    <w:b/>
                    <w:bCs/>
                    <w:szCs w:val="24"/>
                    <w:lang w:eastAsia="lt-LT"/>
                  </w:rPr>
                </w:pPr>
                <w:r>
                  <w:rPr>
                    <w:b/>
                    <w:bCs/>
                    <w:szCs w:val="24"/>
                    <w:lang w:eastAsia="lt-LT"/>
                  </w:rPr>
                  <w:t>PAJAMOS</w:t>
                </w:r>
              </w:p>
            </w:tc>
            <w:tc>
              <w:tcPr>
                <w:tcW w:w="1620" w:type="dxa"/>
                <w:tcBorders>
                  <w:top w:val="single" w:sz="4" w:space="0" w:color="auto"/>
                  <w:left w:val="single" w:sz="4" w:space="0" w:color="auto"/>
                  <w:bottom w:val="single" w:sz="4" w:space="0" w:color="auto"/>
                  <w:right w:val="single" w:sz="4" w:space="0" w:color="auto"/>
                </w:tcBorders>
              </w:tcPr>
              <w:p>
                <w:pPr>
                  <w:jc w:val="right"/>
                  <w:rPr>
                    <w:b/>
                    <w:bCs/>
                    <w:szCs w:val="24"/>
                    <w:lang w:eastAsia="lt-LT"/>
                  </w:rPr>
                </w:pPr>
                <w:r>
                  <w:rPr>
                    <w:b/>
                    <w:bCs/>
                    <w:szCs w:val="24"/>
                    <w:lang w:eastAsia="lt-LT"/>
                  </w:rPr>
                  <w:t>240 157</w:t>
                </w:r>
              </w:p>
            </w:tc>
          </w:tr>
          <w:tr>
            <w:tc>
              <w:tcPr>
                <w:tcW w:w="7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2.1.</w:t>
                </w:r>
              </w:p>
            </w:tc>
            <w:tc>
              <w:tcPr>
                <w:tcW w:w="70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Valstybės biudžeto pajamos, gautos iš laikinojo solidarumo įnašo už 2025 metų šio įnašo mokėjimo laikotarpį</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90 000</w:t>
                </w:r>
              </w:p>
            </w:tc>
          </w:tr>
          <w:tr>
            <w:tc>
              <w:tcPr>
                <w:tcW w:w="7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2.2.</w:t>
                </w:r>
              </w:p>
            </w:tc>
            <w:tc>
              <w:tcPr>
                <w:tcW w:w="70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Fizinių ir juridinių asmenų, kitų organizacijų ir jų padalinių savanoriškos įmokos</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0</w:t>
                </w:r>
              </w:p>
            </w:tc>
          </w:tr>
          <w:tr>
            <w:tc>
              <w:tcPr>
                <w:tcW w:w="7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2.3.</w:t>
                </w:r>
              </w:p>
            </w:tc>
            <w:tc>
              <w:tcPr>
                <w:tcW w:w="70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1,9 procento valstybės biudžeto pajamų, gautų iš pelno mokesčio </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35 732</w:t>
                </w:r>
              </w:p>
            </w:tc>
          </w:tr>
          <w:tr>
            <w:tc>
              <w:tcPr>
                <w:tcW w:w="7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2.4.</w:t>
                </w:r>
              </w:p>
            </w:tc>
            <w:tc>
              <w:tcPr>
                <w:tcW w:w="70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4,1 procento valstybės biudžeto pajamų, gautų iš akcizų</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89 425</w:t>
                </w:r>
              </w:p>
            </w:tc>
          </w:tr>
          <w:tr>
            <w:tc>
              <w:tcPr>
                <w:tcW w:w="7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2.5.</w:t>
                </w:r>
              </w:p>
            </w:tc>
            <w:tc>
              <w:tcPr>
                <w:tcW w:w="70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Lėšos iš valstybės biudžeto pajamų, gautų iš gyventojų pajamų mokesčio</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25 000</w:t>
                </w:r>
              </w:p>
            </w:tc>
          </w:tr>
          <w:tr>
            <w:tc>
              <w:tcPr>
                <w:tcW w:w="7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2.6.</w:t>
                </w:r>
              </w:p>
            </w:tc>
            <w:tc>
              <w:tcPr>
                <w:tcW w:w="702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Kitos teisėtai gautos lėšos</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0</w:t>
                </w:r>
              </w:p>
            </w:tc>
          </w:tr>
          <w:tr>
            <w:tc>
              <w:tcPr>
                <w:tcW w:w="720"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b/>
                    <w:bCs/>
                    <w:szCs w:val="24"/>
                    <w:lang w:eastAsia="lt-LT"/>
                  </w:rPr>
                  <w:t>3.</w:t>
                </w:r>
              </w:p>
            </w:tc>
            <w:tc>
              <w:tcPr>
                <w:tcW w:w="7020"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b/>
                    <w:bCs/>
                    <w:szCs w:val="24"/>
                    <w:lang w:eastAsia="lt-LT"/>
                  </w:rPr>
                  <w:t>IŠLAIDOS</w:t>
                </w:r>
              </w:p>
            </w:tc>
            <w:tc>
              <w:tcPr>
                <w:tcW w:w="1620" w:type="dxa"/>
                <w:tcBorders>
                  <w:top w:val="single" w:sz="4" w:space="0" w:color="auto"/>
                  <w:left w:val="single" w:sz="4" w:space="0" w:color="auto"/>
                  <w:bottom w:val="single" w:sz="4" w:space="0" w:color="auto"/>
                  <w:right w:val="single" w:sz="4" w:space="0" w:color="auto"/>
                </w:tcBorders>
              </w:tcPr>
              <w:p>
                <w:pPr>
                  <w:jc w:val="right"/>
                  <w:rPr>
                    <w:b/>
                    <w:bCs/>
                    <w:szCs w:val="24"/>
                    <w:lang w:eastAsia="lt-LT"/>
                  </w:rPr>
                </w:pPr>
                <w:r>
                  <w:rPr>
                    <w:b/>
                    <w:bCs/>
                    <w:szCs w:val="24"/>
                    <w:lang w:eastAsia="lt-LT"/>
                  </w:rPr>
                  <w:t>240 184</w:t>
                </w:r>
              </w:p>
            </w:tc>
          </w:tr>
          <w:tr>
            <w:tc>
              <w:tcPr>
                <w:tcW w:w="720"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b/>
                    <w:bCs/>
                    <w:szCs w:val="24"/>
                    <w:lang w:eastAsia="lt-LT"/>
                  </w:rPr>
                  <w:t>4.</w:t>
                </w:r>
              </w:p>
            </w:tc>
            <w:tc>
              <w:tcPr>
                <w:tcW w:w="7020"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r>
                  <w:rPr>
                    <w:b/>
                    <w:bCs/>
                    <w:szCs w:val="24"/>
                    <w:lang w:eastAsia="lt-LT"/>
                  </w:rPr>
                  <w:t xml:space="preserve">NUMATOMAS LĖŠŲ LIKUTIS 2026 M. SAUSIO 1 D. (1 + 2 – 3) </w:t>
                </w:r>
              </w:p>
            </w:tc>
            <w:tc>
              <w:tcPr>
                <w:tcW w:w="1620" w:type="dxa"/>
                <w:tcBorders>
                  <w:top w:val="single" w:sz="4" w:space="0" w:color="auto"/>
                  <w:left w:val="single" w:sz="4" w:space="0" w:color="auto"/>
                  <w:bottom w:val="single" w:sz="4" w:space="0" w:color="auto"/>
                  <w:right w:val="single" w:sz="4" w:space="0" w:color="auto"/>
                </w:tcBorders>
              </w:tcPr>
              <w:p>
                <w:pPr>
                  <w:jc w:val="right"/>
                  <w:rPr>
                    <w:szCs w:val="24"/>
                    <w:lang w:eastAsia="lt-LT"/>
                  </w:rPr>
                </w:pPr>
                <w:r>
                  <w:rPr>
                    <w:szCs w:val="24"/>
                    <w:lang w:eastAsia="lt-LT"/>
                  </w:rPr>
                  <w:t>0</w:t>
                </w:r>
              </w:p>
            </w:tc>
          </w:tr>
        </w:tbl>
        <w:p>
          <w:pPr>
            <w:jc w:val="center"/>
            <w:rPr>
              <w:szCs w:val="24"/>
              <w:lang w:eastAsia="lt-LT"/>
            </w:rPr>
          </w:pPr>
          <w:r>
            <w:rPr>
              <w:szCs w:val="24"/>
              <w:lang w:eastAsia="lt-LT"/>
            </w:rPr>
            <w:t>________________________</w:t>
          </w:r>
        </w:p>
        <w:p>
          <w:pPr>
            <w:rPr>
              <w:szCs w:val="24"/>
              <w:lang w:eastAsia="lt-LT"/>
            </w:rPr>
          </w:pPr>
        </w:p>
        <w:p>
          <w:pPr>
            <w:rPr>
              <w:szCs w:val="24"/>
              <w:lang w:eastAsia="lt-LT"/>
            </w:rPr>
            <w:sectPr>
              <w:pgSz w:w="11907" w:h="16840" w:code="9"/>
              <w:pgMar w:top="1134" w:right="851" w:bottom="1134" w:left="1701" w:header="709" w:footer="709" w:gutter="0"/>
              <w:pgNumType w:start="1"/>
              <w:cols w:space="1296"/>
              <w:titlePg/>
              <w:docGrid w:linePitch="326"/>
            </w:sectPr>
          </w:pPr>
        </w:p>
        <w:p>
          <w:pPr>
            <w:tabs>
              <w:tab w:val="center" w:pos="4819"/>
              <w:tab w:val="right" w:pos="9638"/>
            </w:tabs>
          </w:pPr>
        </w:p>
      </w:sdtContent>
    </w:sdt>
    <w:sdt>
      <w:sdtPr>
        <w:alias w:val="10 pr."/>
        <w:tag w:val="part_72b8022bcfeb4a60b1cf8b3352f0eaa5"/>
        <w:lock w:val="sdtLocked"/>
        <w:richText/>
      </w:sdtPr>
      <w:sdtContent>
        <w:p>
          <w:pPr>
            <w:ind w:left="5566" w:firstLine="5954"/>
            <w:rPr>
              <w:szCs w:val="24"/>
              <w:lang w:eastAsia="lt-LT"/>
            </w:rPr>
          </w:pPr>
          <w:r>
            <w:rPr>
              <w:szCs w:val="24"/>
              <w:lang w:eastAsia="lt-LT"/>
            </w:rPr>
            <w:t>Lietuvos Respublikos</w:t>
          </w:r>
        </w:p>
        <w:p>
          <w:pPr>
            <w:ind w:left="5566" w:firstLine="5954"/>
            <w:rPr>
              <w:szCs w:val="24"/>
              <w:lang w:eastAsia="lt-LT"/>
            </w:rPr>
          </w:pPr>
          <w:r>
            <w:rPr>
              <w:szCs w:val="24"/>
              <w:lang w:eastAsia="lt-LT"/>
            </w:rPr>
            <w:t>2025</w:t>
          </w:r>
          <w:r>
            <w:rPr>
              <w:szCs w:val="24"/>
            </w:rPr>
            <w:t>–2027</w:t>
          </w:r>
          <w:r>
            <w:rPr>
              <w:szCs w:val="24"/>
              <w:lang w:eastAsia="lt-LT"/>
            </w:rPr>
            <w:t xml:space="preserve"> metų biudžeto</w:t>
          </w:r>
        </w:p>
        <w:p>
          <w:pPr>
            <w:ind w:left="5566" w:firstLine="5954"/>
            <w:rPr>
              <w:szCs w:val="24"/>
              <w:lang w:eastAsia="lt-LT"/>
            </w:rPr>
          </w:pPr>
          <w:r>
            <w:rPr>
              <w:szCs w:val="24"/>
              <w:lang w:eastAsia="lt-LT"/>
            </w:rPr>
            <w:t>patvirtinimo įstatymo</w:t>
          </w:r>
        </w:p>
        <w:p>
          <w:pPr>
            <w:ind w:left="5566" w:firstLine="5954"/>
            <w:rPr>
              <w:szCs w:val="24"/>
              <w:lang w:eastAsia="lt-LT"/>
            </w:rPr>
          </w:pPr>
          <w:sdt>
            <w:sdtPr>
              <w:alias w:val="Numeris"/>
              <w:tag w:val="nr_72b8022bcfeb4a60b1cf8b3352f0eaa5"/>
              <w:lock w:val="sdtLocked"/>
              <w:richText/>
            </w:sdtPr>
            <w:sdtContent>
              <w:r>
                <w:rPr>
                  <w:szCs w:val="24"/>
                  <w:lang w:eastAsia="lt-LT"/>
                </w:rPr>
                <w:t>10</w:t>
              </w:r>
            </w:sdtContent>
          </w:sdt>
          <w:r>
            <w:rPr>
              <w:szCs w:val="24"/>
              <w:lang w:eastAsia="lt-LT"/>
            </w:rPr>
            <w:t xml:space="preserve"> priedas</w:t>
          </w:r>
        </w:p>
        <w:p>
          <w:pPr>
            <w:spacing w:line="360" w:lineRule="auto"/>
            <w:ind w:firstLine="1296"/>
            <w:jc w:val="center"/>
            <w:rPr>
              <w:szCs w:val="24"/>
            </w:rPr>
          </w:pPr>
        </w:p>
        <w:p>
          <w:pPr>
            <w:jc w:val="center"/>
            <w:rPr>
              <w:b/>
              <w:bCs/>
              <w:szCs w:val="24"/>
              <w:lang w:eastAsia="lt-LT"/>
            </w:rPr>
          </w:pPr>
          <w:r>
            <w:rPr>
              <w:b/>
              <w:bCs/>
              <w:szCs w:val="24"/>
              <w:lang w:eastAsia="lt-LT"/>
            </w:rPr>
            <w:t>2025</w:t>
          </w:r>
          <w:r>
            <w:rPr>
              <w:b/>
              <w:bCs/>
              <w:szCs w:val="24"/>
            </w:rPr>
            <w:t>–2027</w:t>
          </w:r>
          <w:r>
            <w:rPr>
              <w:szCs w:val="24"/>
              <w:lang w:eastAsia="lt-LT"/>
            </w:rPr>
            <w:t xml:space="preserve"> </w:t>
          </w:r>
          <w:r>
            <w:rPr>
              <w:b/>
              <w:bCs/>
              <w:szCs w:val="24"/>
              <w:lang w:eastAsia="lt-LT"/>
            </w:rPr>
            <w:t>METAIS VALSTYBĖS VEIKLOS SRITYSE SIEKIAMŲ 2021</w:t>
          </w:r>
          <w:r>
            <w:rPr>
              <w:rFonts w:eastAsia="Calibri"/>
              <w:color w:val="000000"/>
              <w:szCs w:val="24"/>
              <w:lang w:eastAsia="lt-LT"/>
            </w:rPr>
            <w:t>–</w:t>
          </w:r>
          <w:r>
            <w:rPr>
              <w:b/>
              <w:bCs/>
              <w:szCs w:val="24"/>
              <w:lang w:eastAsia="lt-LT"/>
            </w:rPr>
            <w:t xml:space="preserve">2030 METŲ NACIONALINIAME PAŽANGOS PLANE NUSTATYTŲ PAŽANGOS UŽDAVINIŲ STEBĖSENOS RODIKLIŲ REIKŠMĖS </w:t>
          </w:r>
        </w:p>
        <w:p>
          <w:pPr>
            <w:jc w:val="center"/>
            <w:rPr>
              <w:b/>
              <w:bCs/>
              <w:szCs w:val="24"/>
              <w:lang w:eastAsia="lt-LT"/>
            </w:rPr>
          </w:pPr>
        </w:p>
        <w:p>
          <w:pPr>
            <w:jc w:val="center"/>
            <w:rPr>
              <w:b/>
              <w:bCs/>
              <w:szCs w:val="24"/>
              <w:lang w:eastAsia="lt-LT"/>
            </w:rPr>
          </w:pPr>
        </w:p>
        <w:tbl>
          <w:tblPr>
            <w:tblW w:w="14318" w:type="dxa"/>
            <w:tblInd w:w="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08"/>
            <w:gridCol w:w="1844"/>
            <w:gridCol w:w="94"/>
            <w:gridCol w:w="114"/>
            <w:gridCol w:w="203"/>
            <w:gridCol w:w="524"/>
            <w:gridCol w:w="17"/>
            <w:gridCol w:w="328"/>
            <w:gridCol w:w="91"/>
            <w:gridCol w:w="114"/>
            <w:gridCol w:w="10"/>
            <w:gridCol w:w="193"/>
            <w:gridCol w:w="88"/>
            <w:gridCol w:w="147"/>
            <w:gridCol w:w="81"/>
            <w:gridCol w:w="96"/>
            <w:gridCol w:w="112"/>
            <w:gridCol w:w="17"/>
            <w:gridCol w:w="30"/>
            <w:gridCol w:w="301"/>
            <w:gridCol w:w="91"/>
            <w:gridCol w:w="114"/>
            <w:gridCol w:w="7"/>
            <w:gridCol w:w="196"/>
            <w:gridCol w:w="235"/>
            <w:gridCol w:w="81"/>
            <w:gridCol w:w="96"/>
            <w:gridCol w:w="112"/>
            <w:gridCol w:w="17"/>
            <w:gridCol w:w="30"/>
            <w:gridCol w:w="301"/>
            <w:gridCol w:w="212"/>
            <w:gridCol w:w="428"/>
            <w:gridCol w:w="81"/>
            <w:gridCol w:w="96"/>
            <w:gridCol w:w="159"/>
            <w:gridCol w:w="110"/>
            <w:gridCol w:w="1620"/>
            <w:gridCol w:w="1620"/>
          </w:tblGrid>
          <w:tr>
            <w:trPr>
              <w:trHeight w:val="453"/>
              <w:tblHeader/>
            </w:trPr>
            <w:tc>
              <w:tcPr>
                <w:tcW w:w="4308" w:type="dxa"/>
                <w:vMerge w:val="restart"/>
                <w:tcBorders>
                  <w:top w:val="single" w:sz="6" w:space="0" w:color="auto"/>
                  <w:left w:val="single" w:sz="6" w:space="0" w:color="auto"/>
                  <w:right w:val="single" w:sz="6" w:space="0" w:color="auto"/>
                </w:tcBorders>
                <w:shd w:val="clear" w:color="auto" w:fill="auto"/>
                <w:vAlign w:val="center"/>
              </w:tcPr>
              <w:p>
                <w:pPr>
                  <w:jc w:val="center"/>
                  <w:textAlignment w:val="baseline"/>
                  <w:rPr>
                    <w:b/>
                    <w:bCs/>
                    <w:color w:val="000000"/>
                    <w:szCs w:val="24"/>
                    <w:lang w:eastAsia="lt-LT"/>
                  </w:rPr>
                </w:pPr>
                <w:r>
                  <w:rPr>
                    <w:b/>
                    <w:bCs/>
                    <w:color w:val="000000"/>
                    <w:szCs w:val="24"/>
                    <w:lang w:eastAsia="lt-LT"/>
                  </w:rPr>
                  <w:t xml:space="preserve">Valstybės veiklos sritis / </w:t>
                </w:r>
              </w:p>
              <w:p>
                <w:pPr>
                  <w:jc w:val="center"/>
                  <w:textAlignment w:val="baseline"/>
                  <w:rPr>
                    <w:b/>
                    <w:bCs/>
                    <w:color w:val="000000"/>
                    <w:szCs w:val="24"/>
                    <w:lang w:eastAsia="lt-LT"/>
                  </w:rPr>
                </w:pPr>
                <w:r>
                  <w:rPr>
                    <w:b/>
                    <w:bCs/>
                    <w:color w:val="000000"/>
                    <w:szCs w:val="24"/>
                    <w:lang w:eastAsia="lt-LT"/>
                  </w:rPr>
                  <w:t>2021–2030 metų nacionaliniame pažangos plane nustatytas uždavinys</w:t>
                </w:r>
              </w:p>
            </w:tc>
            <w:tc>
              <w:tcPr>
                <w:tcW w:w="3620" w:type="dxa"/>
                <w:gridSpan w:val="12"/>
                <w:vMerge w:val="restart"/>
                <w:tcBorders>
                  <w:top w:val="single" w:sz="6" w:space="0" w:color="auto"/>
                  <w:left w:val="single" w:sz="6" w:space="0" w:color="auto"/>
                  <w:right w:val="single" w:sz="6" w:space="0" w:color="auto"/>
                </w:tcBorders>
                <w:shd w:val="clear" w:color="auto" w:fill="auto"/>
                <w:vAlign w:val="center"/>
              </w:tcPr>
              <w:p>
                <w:pPr>
                  <w:jc w:val="center"/>
                  <w:textAlignment w:val="baseline"/>
                  <w:rPr>
                    <w:b/>
                    <w:bCs/>
                    <w:color w:val="000000"/>
                    <w:szCs w:val="24"/>
                    <w:lang w:eastAsia="lt-LT"/>
                  </w:rPr>
                </w:pPr>
                <w:r>
                  <w:rPr>
                    <w:b/>
                    <w:bCs/>
                    <w:color w:val="000000"/>
                    <w:szCs w:val="24"/>
                    <w:lang w:eastAsia="lt-LT"/>
                  </w:rPr>
                  <w:t>2021–2030 metų nacionaliniame pažangos plane nustatyto uždavinio stebėsenos rodiklis </w:t>
                </w:r>
              </w:p>
            </w:tc>
            <w:tc>
              <w:tcPr>
                <w:tcW w:w="6390" w:type="dxa"/>
                <w:gridSpan w:val="26"/>
                <w:tcBorders>
                  <w:top w:val="single" w:sz="6" w:space="0" w:color="auto"/>
                  <w:left w:val="single" w:sz="6" w:space="0" w:color="auto"/>
                  <w:bottom w:val="single" w:sz="6" w:space="0" w:color="auto"/>
                  <w:right w:val="single" w:sz="6" w:space="0" w:color="auto"/>
                </w:tcBorders>
                <w:shd w:val="clear" w:color="auto" w:fill="auto"/>
                <w:vAlign w:val="center"/>
              </w:tcPr>
              <w:p>
                <w:pPr>
                  <w:jc w:val="center"/>
                  <w:textAlignment w:val="baseline"/>
                  <w:rPr>
                    <w:b/>
                    <w:bCs/>
                    <w:szCs w:val="24"/>
                    <w:lang w:eastAsia="lt-LT"/>
                  </w:rPr>
                </w:pPr>
                <w:r>
                  <w:rPr>
                    <w:b/>
                    <w:bCs/>
                    <w:szCs w:val="24"/>
                    <w:lang w:eastAsia="lt-LT"/>
                  </w:rPr>
                  <w:t xml:space="preserve">2021–2030 metų nacionaliniame pažangos plane nustatyto uždavinio stebėsenos rodiklio reikšmė </w:t>
                </w:r>
              </w:p>
            </w:tc>
          </w:tr>
          <w:tr>
            <w:trPr>
              <w:trHeight w:val="786"/>
              <w:tblHeader/>
            </w:trPr>
            <w:tc>
              <w:tcPr>
                <w:tcW w:w="4308" w:type="dxa"/>
                <w:vMerge/>
                <w:tcBorders>
                  <w:left w:val="single" w:sz="6" w:space="0" w:color="auto"/>
                  <w:bottom w:val="single" w:sz="6" w:space="0" w:color="auto"/>
                  <w:right w:val="single" w:sz="6" w:space="0" w:color="auto"/>
                </w:tcBorders>
                <w:shd w:val="clear" w:color="auto" w:fill="auto"/>
                <w:vAlign w:val="center"/>
                <w:hideMark/>
              </w:tcPr>
              <w:p>
                <w:pPr>
                  <w:jc w:val="center"/>
                  <w:textAlignment w:val="baseline"/>
                  <w:rPr>
                    <w:b/>
                    <w:bCs/>
                    <w:szCs w:val="24"/>
                    <w:lang w:eastAsia="lt-LT"/>
                  </w:rPr>
                </w:pPr>
              </w:p>
            </w:tc>
            <w:tc>
              <w:tcPr>
                <w:tcW w:w="3620" w:type="dxa"/>
                <w:gridSpan w:val="12"/>
                <w:vMerge/>
                <w:tcBorders>
                  <w:left w:val="single" w:sz="6" w:space="0" w:color="auto"/>
                  <w:bottom w:val="single" w:sz="6" w:space="0" w:color="auto"/>
                  <w:right w:val="single" w:sz="6" w:space="0" w:color="auto"/>
                </w:tcBorders>
                <w:shd w:val="clear" w:color="auto" w:fill="auto"/>
                <w:vAlign w:val="center"/>
                <w:hideMark/>
              </w:tcPr>
              <w:p>
                <w:pPr>
                  <w:jc w:val="center"/>
                  <w:textAlignment w:val="baseline"/>
                  <w:rPr>
                    <w:b/>
                    <w:bCs/>
                    <w:szCs w:val="24"/>
                    <w:lang w:eastAsia="lt-LT"/>
                  </w:rPr>
                </w:pPr>
              </w:p>
            </w:tc>
            <w:tc>
              <w:tcPr>
                <w:tcW w:w="1604" w:type="dxa"/>
                <w:gridSpan w:val="14"/>
                <w:tcBorders>
                  <w:top w:val="single" w:sz="6" w:space="0" w:color="auto"/>
                  <w:left w:val="single" w:sz="6" w:space="0" w:color="auto"/>
                  <w:bottom w:val="single" w:sz="6" w:space="0" w:color="auto"/>
                  <w:right w:val="single" w:sz="6" w:space="0" w:color="auto"/>
                </w:tcBorders>
                <w:shd w:val="clear" w:color="auto" w:fill="auto"/>
                <w:vAlign w:val="center"/>
                <w:hideMark/>
              </w:tcPr>
              <w:p>
                <w:pPr>
                  <w:jc w:val="center"/>
                  <w:textAlignment w:val="baseline"/>
                  <w:rPr>
                    <w:b/>
                    <w:bCs/>
                    <w:szCs w:val="24"/>
                    <w:lang w:eastAsia="lt-LT"/>
                  </w:rPr>
                </w:pPr>
                <w:r>
                  <w:rPr>
                    <w:b/>
                    <w:bCs/>
                    <w:szCs w:val="24"/>
                    <w:lang w:eastAsia="lt-LT"/>
                  </w:rPr>
                  <w:t>Faktinė</w:t>
                </w:r>
              </w:p>
            </w:tc>
            <w:tc>
              <w:tcPr>
                <w:tcW w:w="1546" w:type="dxa"/>
                <w:gridSpan w:val="10"/>
                <w:tcBorders>
                  <w:top w:val="single" w:sz="6" w:space="0" w:color="auto"/>
                  <w:left w:val="single" w:sz="6" w:space="0" w:color="auto"/>
                  <w:bottom w:val="single" w:sz="6" w:space="0" w:color="auto"/>
                  <w:right w:val="single" w:sz="6" w:space="0" w:color="auto"/>
                </w:tcBorders>
                <w:vAlign w:val="center"/>
              </w:tcPr>
              <w:p>
                <w:pPr>
                  <w:jc w:val="center"/>
                  <w:textAlignment w:val="baseline"/>
                  <w:rPr>
                    <w:b/>
                    <w:bCs/>
                    <w:szCs w:val="24"/>
                    <w:lang w:eastAsia="lt-LT"/>
                  </w:rPr>
                </w:pPr>
                <w:r>
                  <w:rPr>
                    <w:b/>
                    <w:bCs/>
                    <w:szCs w:val="24"/>
                    <w:lang w:eastAsia="lt-LT"/>
                  </w:rPr>
                  <w:t>2025 m. siekiama</w:t>
                </w:r>
              </w:p>
            </w:tc>
            <w:tc>
              <w:tcPr>
                <w:tcW w:w="1620" w:type="dxa"/>
                <w:tcBorders>
                  <w:top w:val="single" w:sz="6" w:space="0" w:color="auto"/>
                  <w:left w:val="single" w:sz="6" w:space="0" w:color="auto"/>
                  <w:bottom w:val="single" w:sz="6" w:space="0" w:color="auto"/>
                  <w:right w:val="single" w:sz="6" w:space="0" w:color="auto"/>
                </w:tcBorders>
                <w:vAlign w:val="center"/>
              </w:tcPr>
              <w:p>
                <w:pPr>
                  <w:jc w:val="center"/>
                  <w:textAlignment w:val="baseline"/>
                  <w:rPr>
                    <w:b/>
                    <w:bCs/>
                    <w:szCs w:val="24"/>
                    <w:lang w:eastAsia="lt-LT"/>
                  </w:rPr>
                </w:pPr>
                <w:r>
                  <w:rPr>
                    <w:b/>
                    <w:bCs/>
                    <w:szCs w:val="24"/>
                    <w:lang w:eastAsia="lt-LT"/>
                  </w:rPr>
                  <w:t>2026 m. siekiama</w:t>
                </w:r>
              </w:p>
            </w:tc>
            <w:tc>
              <w:tcPr>
                <w:tcW w:w="1620" w:type="dxa"/>
                <w:tcBorders>
                  <w:top w:val="single" w:sz="6" w:space="0" w:color="auto"/>
                  <w:left w:val="single" w:sz="6" w:space="0" w:color="auto"/>
                  <w:bottom w:val="single" w:sz="6" w:space="0" w:color="auto"/>
                  <w:right w:val="single" w:sz="6" w:space="0" w:color="auto"/>
                </w:tcBorders>
                <w:vAlign w:val="center"/>
              </w:tcPr>
              <w:p>
                <w:pPr>
                  <w:jc w:val="center"/>
                  <w:textAlignment w:val="baseline"/>
                  <w:rPr>
                    <w:b/>
                    <w:bCs/>
                    <w:szCs w:val="24"/>
                    <w:lang w:eastAsia="lt-LT"/>
                  </w:rPr>
                </w:pPr>
                <w:r>
                  <w:rPr>
                    <w:b/>
                    <w:bCs/>
                    <w:szCs w:val="24"/>
                    <w:lang w:eastAsia="lt-LT"/>
                  </w:rPr>
                  <w:t>2027 m. siekiama</w:t>
                </w:r>
              </w:p>
            </w:tc>
          </w:tr>
          <w:tr>
            <w:trPr>
              <w:gridAfter w:val="8"/>
              <w:wAfter w:w="4326" w:type="dxa"/>
              <w:trHeight w:val="570"/>
            </w:trPr>
            <w:tc>
              <w:tcPr>
                <w:tcW w:w="7432" w:type="dxa"/>
                <w:gridSpan w:val="8"/>
                <w:tcBorders>
                  <w:top w:val="single" w:sz="6" w:space="0" w:color="auto"/>
                  <w:left w:val="nil"/>
                  <w:bottom w:val="single" w:sz="6" w:space="0" w:color="auto"/>
                  <w:right w:val="nil"/>
                </w:tcBorders>
                <w:shd w:val="clear" w:color="auto" w:fill="auto"/>
                <w:vAlign w:val="center"/>
                <w:hideMark/>
              </w:tcPr>
              <w:p>
                <w:pPr>
                  <w:textAlignment w:val="baseline"/>
                  <w:rPr>
                    <w:b/>
                    <w:bCs/>
                    <w:color w:val="000000"/>
                    <w:szCs w:val="24"/>
                    <w:lang w:eastAsia="lt-LT"/>
                  </w:rPr>
                </w:pPr>
                <w:r>
                  <w:rPr>
                    <w:b/>
                    <w:bCs/>
                    <w:color w:val="000000"/>
                    <w:szCs w:val="24"/>
                    <w:lang w:eastAsia="lt-LT"/>
                  </w:rPr>
                  <w:t xml:space="preserve">I SKYRIUS. </w:t>
                </w:r>
                <w:r>
                  <w:rPr>
                    <w:b/>
                    <w:bCs/>
                    <w:szCs w:val="24"/>
                    <w:lang w:eastAsia="lt-LT"/>
                  </w:rPr>
                  <w:t>VALSTYBĖS VALDYMAS, REGIONINĖ POLITIKA IR VIEŠASIS ADMINISTRAVIMAS</w:t>
                </w:r>
                <w:r>
                  <w:rPr>
                    <w:szCs w:val="24"/>
                    <w:lang w:eastAsia="lt-LT"/>
                  </w:rPr>
                  <w:t> </w:t>
                </w:r>
              </w:p>
            </w:tc>
            <w:tc>
              <w:tcPr>
                <w:tcW w:w="1280" w:type="dxa"/>
                <w:gridSpan w:val="12"/>
                <w:tcBorders>
                  <w:top w:val="single" w:sz="6" w:space="0" w:color="auto"/>
                  <w:left w:val="nil"/>
                  <w:bottom w:val="single" w:sz="6" w:space="0" w:color="auto"/>
                  <w:right w:val="nil"/>
                </w:tcBorders>
              </w:tcPr>
              <w:p>
                <w:pPr>
                  <w:textAlignment w:val="baseline"/>
                  <w:rPr>
                    <w:b/>
                    <w:bCs/>
                    <w:color w:val="000000"/>
                    <w:szCs w:val="24"/>
                    <w:lang w:eastAsia="lt-LT"/>
                  </w:rPr>
                </w:pPr>
              </w:p>
            </w:tc>
            <w:tc>
              <w:tcPr>
                <w:tcW w:w="1280" w:type="dxa"/>
                <w:gridSpan w:val="11"/>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885"/>
            </w:trPr>
            <w:tc>
              <w:tcPr>
                <w:tcW w:w="4308" w:type="dxa"/>
                <w:vMerge w:val="restart"/>
                <w:tcBorders>
                  <w:top w:val="single" w:sz="6" w:space="0" w:color="auto"/>
                  <w:left w:val="nil"/>
                  <w:right w:val="nil"/>
                </w:tcBorders>
                <w:shd w:val="clear" w:color="auto" w:fill="auto"/>
              </w:tcPr>
              <w:p>
                <w:pPr>
                  <w:textAlignment w:val="baseline"/>
                  <w:rPr>
                    <w:szCs w:val="24"/>
                    <w:lang w:eastAsia="lt-LT"/>
                  </w:rPr>
                </w:pPr>
                <w:r>
                  <w:rPr>
                    <w:szCs w:val="24"/>
                    <w:lang w:eastAsia="lt-LT"/>
                  </w:rPr>
                  <w:t>1.7. Skatinti valstybės skaitmeninimą</w:t>
                </w:r>
              </w:p>
              <w:p>
                <w:pPr>
                  <w:textAlignment w:val="baseline"/>
                  <w:rPr>
                    <w:szCs w:val="24"/>
                    <w:lang w:eastAsia="lt-LT"/>
                  </w:rPr>
                </w:pPr>
                <w:r>
                  <w:rPr>
                    <w:szCs w:val="24"/>
                    <w:lang w:eastAsia="lt-LT"/>
                  </w:rPr>
                  <w:t>8.3. Stiprinti žmogiškųjų išteklių valdymo sistemą viešojo valdymo institucijose</w:t>
                </w:r>
              </w:p>
              <w:p>
                <w:pPr>
                  <w:textAlignment w:val="baseline"/>
                  <w:rPr>
                    <w:szCs w:val="24"/>
                    <w:lang w:eastAsia="lt-LT"/>
                  </w:rPr>
                </w:pPr>
                <w:r>
                  <w:rPr>
                    <w:szCs w:val="24"/>
                    <w:lang w:eastAsia="lt-LT"/>
                  </w:rPr>
                  <w:t>8.4. Tobulinti viešojo valdymo sistemą, didinti jos efektyvumą ir atvirumą </w:t>
                </w:r>
              </w:p>
              <w:p>
                <w:pPr>
                  <w:textAlignment w:val="baseline"/>
                  <w:rPr>
                    <w:szCs w:val="24"/>
                    <w:lang w:eastAsia="lt-LT"/>
                  </w:rPr>
                </w:pPr>
                <w:r>
                  <w:rPr>
                    <w:szCs w:val="24"/>
                    <w:lang w:eastAsia="lt-LT"/>
                  </w:rPr>
                  <w:t>8.6. Gerinti viešojo valdymo institucijų teikiamų paslaugų kokybę, didinti jų prieinamumą ir patrauklumą</w:t>
                </w: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Gyventojų, kurie naudojosi elektroniniu būdu teikiamomis viešosiomis ir administracinėmis paslaugomis, prieinamomis per Elektroninių valdžios vartų portalą,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72,5</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74</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75,5</w:t>
                </w:r>
              </w:p>
            </w:tc>
          </w:tr>
          <w:tr>
            <w:trPr>
              <w:trHeight w:val="885"/>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Valstybės institucijų ir įstaigų, kurių informacinių ir ryšių technologijų (IRT) infrastruktūra konsoliduota Valstybės informacinių technologijų paslaugų teikėjo valdomoje IRT infrastruktūroje, dalis nuo visų konsolidavimo procese dalyvaujančių institucijų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val="en-GB" w:eastAsia="lt-LT"/>
                  </w:rPr>
                </w:pPr>
                <w:r>
                  <w:rPr>
                    <w:szCs w:val="24"/>
                    <w:lang w:val="en-GB" w:eastAsia="lt-LT"/>
                  </w:rPr>
                  <w:t>53,8</w:t>
                </w:r>
              </w:p>
              <w:p>
                <w:pPr>
                  <w:jc w:val="center"/>
                  <w:textAlignment w:val="baseline"/>
                  <w:rPr>
                    <w:szCs w:val="24"/>
                    <w:lang w:eastAsia="lt-LT"/>
                  </w:rPr>
                </w:pPr>
                <w:r>
                  <w:rPr>
                    <w:szCs w:val="24"/>
                    <w:lang w:val="en-GB"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61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81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rFonts w:eastAsia="Calibri"/>
                    <w:color w:val="000000"/>
                    <w:szCs w:val="24"/>
                    <w:lang w:eastAsia="lt-LT"/>
                  </w:rPr>
                  <w:t>–</w:t>
                </w:r>
              </w:p>
              <w:p>
                <w:pPr>
                  <w:jc w:val="center"/>
                  <w:textAlignment w:val="baseline"/>
                  <w:rPr>
                    <w:szCs w:val="24"/>
                    <w:lang w:eastAsia="lt-LT"/>
                  </w:rPr>
                </w:pPr>
                <w:r>
                  <w:rPr>
                    <w:szCs w:val="24"/>
                    <w:lang w:eastAsia="lt-LT"/>
                  </w:rPr>
                  <w:t>(1 pastaba)</w:t>
                </w:r>
              </w:p>
            </w:tc>
          </w:tr>
          <w:tr>
            <w:trPr>
              <w:trHeight w:val="885"/>
            </w:trPr>
            <w:tc>
              <w:tcPr>
                <w:tcW w:w="4308" w:type="dxa"/>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7.1. Stiprinti regionų ekonominį augimą, atsižvelgiant į jų potencialą</w:t>
                </w:r>
              </w:p>
              <w:p>
                <w:pPr>
                  <w:textAlignment w:val="baseline"/>
                  <w:rPr>
                    <w:szCs w:val="24"/>
                    <w:lang w:eastAsia="lt-LT"/>
                  </w:rPr>
                </w:pPr>
                <w:r>
                  <w:rPr>
                    <w:szCs w:val="24"/>
                    <w:lang w:eastAsia="lt-LT"/>
                  </w:rPr>
                  <w:t>7.2. Didinti darbo vietų pasiekiamumą ir viešųjų paslaugų prieinamumą visiems</w:t>
                </w:r>
              </w:p>
            </w:tc>
            <w:tc>
              <w:tcPr>
                <w:tcW w:w="3620" w:type="dxa"/>
                <w:gridSpan w:val="12"/>
                <w:tcBorders>
                  <w:top w:val="single" w:sz="6" w:space="0" w:color="auto"/>
                  <w:left w:val="nil"/>
                  <w:bottom w:val="single" w:sz="6" w:space="0" w:color="auto"/>
                  <w:right w:val="nil"/>
                </w:tcBorders>
                <w:shd w:val="clear" w:color="auto" w:fill="auto"/>
              </w:tcPr>
              <w:p>
                <w:pPr>
                  <w:rPr>
                    <w:color w:val="000000"/>
                    <w:szCs w:val="24"/>
                  </w:rPr>
                </w:pPr>
                <w:r>
                  <w:t>Regionų plėtros programos lėšos, dėl kurių sudarytos projektų sutartys, (mln. eurų)</w:t>
                </w:r>
              </w:p>
            </w:tc>
            <w:tc>
              <w:tcPr>
                <w:tcW w:w="1604" w:type="dxa"/>
                <w:gridSpan w:val="14"/>
                <w:tcBorders>
                  <w:top w:val="single" w:sz="6" w:space="0" w:color="auto"/>
                  <w:left w:val="nil"/>
                  <w:bottom w:val="single" w:sz="6" w:space="0" w:color="auto"/>
                  <w:right w:val="nil"/>
                </w:tcBorders>
                <w:shd w:val="clear" w:color="auto" w:fill="auto"/>
                <w:vAlign w:val="center"/>
              </w:tcPr>
              <w:p>
                <w:pPr>
                  <w:spacing w:line="252" w:lineRule="atLeast"/>
                  <w:jc w:val="center"/>
                  <w:textAlignment w:val="baseline"/>
                  <w:rPr>
                    <w:color w:val="242424"/>
                    <w:szCs w:val="24"/>
                    <w:bdr w:val="none" w:sz="0" w:space="0" w:color="auto" w:frame="1"/>
                    <w:lang w:eastAsia="lt-LT"/>
                  </w:rPr>
                </w:pPr>
                <w:r>
                  <w:rPr>
                    <w:color w:val="242424"/>
                    <w:szCs w:val="24"/>
                    <w:bdr w:val="none" w:sz="0" w:space="0" w:color="auto" w:frame="1"/>
                    <w:lang w:eastAsia="lt-LT"/>
                  </w:rPr>
                  <w:t>117,9</w:t>
                </w:r>
              </w:p>
              <w:p>
                <w:pPr>
                  <w:spacing w:line="252" w:lineRule="atLeast"/>
                  <w:jc w:val="center"/>
                  <w:textAlignment w:val="baseline"/>
                  <w:rPr>
                    <w:color w:val="242424"/>
                    <w:szCs w:val="24"/>
                    <w:bdr w:val="none" w:sz="0" w:space="0" w:color="auto" w:frame="1"/>
                    <w:lang w:eastAsia="lt-LT"/>
                  </w:rPr>
                </w:pPr>
                <w:r>
                  <w:rPr>
                    <w:color w:val="242424"/>
                    <w:szCs w:val="24"/>
                    <w:bdr w:val="none" w:sz="0" w:space="0" w:color="auto" w:frame="1"/>
                    <w:lang w:eastAsia="lt-LT"/>
                  </w:rPr>
                  <w:t>(2024-10-11)</w:t>
                </w:r>
              </w:p>
              <w:p>
                <w:pPr>
                  <w:spacing w:line="252" w:lineRule="atLeast"/>
                  <w:jc w:val="center"/>
                  <w:textAlignment w:val="baseline"/>
                  <w:rPr>
                    <w:color w:val="242424"/>
                    <w:szCs w:val="24"/>
                    <w:lang w:eastAsia="lt-LT"/>
                  </w:rPr>
                </w:pPr>
                <w:r>
                  <w:rPr>
                    <w:color w:val="242424"/>
                    <w:szCs w:val="24"/>
                    <w:bdr w:val="none" w:sz="0" w:space="0" w:color="auto" w:frame="1"/>
                    <w:lang w:eastAsia="lt-LT"/>
                  </w:rPr>
                  <w:t>0</w:t>
                </w:r>
              </w:p>
              <w:p>
                <w:pPr>
                  <w:jc w:val="center"/>
                  <w:textAlignment w:val="baseline"/>
                  <w:rPr>
                    <w:szCs w:val="24"/>
                    <w:lang w:eastAsia="lt-LT"/>
                  </w:rPr>
                </w:pPr>
                <w:r>
                  <w:rPr>
                    <w:color w:val="242424"/>
                    <w:bdr w:val="none" w:sz="0" w:space="0" w:color="auto" w:frame="1"/>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color w:val="242424"/>
                    <w:bdr w:val="none" w:sz="0" w:space="0" w:color="auto" w:frame="1"/>
                  </w:rPr>
                  <w:t>1 266</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color w:val="242424"/>
                    <w:bdr w:val="none" w:sz="0" w:space="0" w:color="auto" w:frame="1"/>
                  </w:rPr>
                  <w:t>1 624</w:t>
                </w:r>
              </w:p>
            </w:tc>
            <w:tc>
              <w:tcPr>
                <w:tcW w:w="1620" w:type="dxa"/>
                <w:tcBorders>
                  <w:top w:val="single" w:sz="6" w:space="0" w:color="auto"/>
                  <w:left w:val="nil"/>
                  <w:bottom w:val="single" w:sz="6" w:space="0" w:color="auto"/>
                  <w:right w:val="nil"/>
                </w:tcBorders>
                <w:vAlign w:val="center"/>
              </w:tcPr>
              <w:p>
                <w:pPr>
                  <w:jc w:val="center"/>
                  <w:textAlignment w:val="baseline"/>
                  <w:rPr>
                    <w:color w:val="242424"/>
                    <w:bdr w:val="none" w:sz="0" w:space="0" w:color="auto" w:frame="1"/>
                  </w:rPr>
                </w:pPr>
                <w:r>
                  <w:rPr>
                    <w:rFonts w:eastAsia="Calibri"/>
                    <w:color w:val="000000"/>
                    <w:szCs w:val="24"/>
                    <w:lang w:eastAsia="lt-LT"/>
                  </w:rPr>
                  <w:t>–</w:t>
                </w:r>
              </w:p>
              <w:p>
                <w:pPr>
                  <w:jc w:val="center"/>
                  <w:textAlignment w:val="baseline"/>
                  <w:rPr>
                    <w:szCs w:val="24"/>
                    <w:lang w:eastAsia="lt-LT"/>
                  </w:rPr>
                </w:pPr>
                <w:r>
                  <w:rPr>
                    <w:bdr w:val="none" w:sz="0" w:space="0" w:color="auto" w:frame="1"/>
                  </w:rPr>
                  <w:t>(2 pastaba)</w:t>
                </w:r>
              </w:p>
            </w:tc>
          </w:tr>
          <w:tr>
            <w:trPr>
              <w:gridAfter w:val="10"/>
              <w:wAfter w:w="4657" w:type="dxa"/>
              <w:trHeight w:val="405"/>
            </w:trPr>
            <w:tc>
              <w:tcPr>
                <w:tcW w:w="7104" w:type="dxa"/>
                <w:gridSpan w:val="7"/>
                <w:tcBorders>
                  <w:top w:val="single" w:sz="6" w:space="0" w:color="auto"/>
                  <w:left w:val="nil"/>
                  <w:bottom w:val="single" w:sz="6" w:space="0" w:color="auto"/>
                  <w:right w:val="nil"/>
                </w:tcBorders>
                <w:shd w:val="clear" w:color="auto" w:fill="auto"/>
                <w:vAlign w:val="center"/>
                <w:hideMark/>
              </w:tcPr>
              <w:p>
                <w:pPr>
                  <w:textAlignment w:val="baseline"/>
                  <w:rPr>
                    <w:b/>
                    <w:bCs/>
                    <w:color w:val="000000"/>
                    <w:szCs w:val="24"/>
                    <w:lang w:eastAsia="lt-LT"/>
                  </w:rPr>
                </w:pPr>
                <w:r>
                  <w:rPr>
                    <w:b/>
                    <w:bCs/>
                    <w:color w:val="000000"/>
                    <w:szCs w:val="24"/>
                    <w:lang w:eastAsia="lt-LT"/>
                  </w:rPr>
                  <w:t xml:space="preserve">II SKYRIUS. </w:t>
                </w:r>
                <w:r>
                  <w:rPr>
                    <w:b/>
                    <w:bCs/>
                    <w:szCs w:val="24"/>
                    <w:lang w:eastAsia="lt-LT"/>
                  </w:rPr>
                  <w:t>APLINKA, MIŠKAI, KLIMATO KAITA IR ŽEMĖS TVARKYMAS</w:t>
                </w:r>
              </w:p>
            </w:tc>
            <w:tc>
              <w:tcPr>
                <w:tcW w:w="1277" w:type="dxa"/>
                <w:gridSpan w:val="11"/>
                <w:tcBorders>
                  <w:top w:val="single" w:sz="6" w:space="0" w:color="auto"/>
                  <w:left w:val="nil"/>
                  <w:bottom w:val="single" w:sz="6" w:space="0" w:color="auto"/>
                  <w:right w:val="nil"/>
                </w:tcBorders>
              </w:tcPr>
              <w:p>
                <w:pPr>
                  <w:textAlignment w:val="baseline"/>
                  <w:rPr>
                    <w:b/>
                    <w:bCs/>
                    <w:color w:val="000000"/>
                    <w:szCs w:val="24"/>
                    <w:lang w:eastAsia="lt-LT"/>
                  </w:rPr>
                </w:pPr>
              </w:p>
            </w:tc>
            <w:tc>
              <w:tcPr>
                <w:tcW w:w="1280" w:type="dxa"/>
                <w:gridSpan w:val="11"/>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885"/>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6.4. Švelninti poveikį klimato kaitai, įskaitant gyvenamųjų ir savivaldybių viešųjų pastatų energijos vartojimo efektyvumo didinimą ir energijos iš atsinaujinančių išteklių naudojimo skatinimą</w:t>
                </w:r>
              </w:p>
              <w:p>
                <w:pPr>
                  <w:textAlignment w:val="baseline"/>
                  <w:rPr>
                    <w:szCs w:val="24"/>
                    <w:lang w:eastAsia="lt-LT"/>
                  </w:rPr>
                </w:pPr>
                <w:r>
                  <w:rPr>
                    <w:szCs w:val="24"/>
                    <w:lang w:eastAsia="lt-LT"/>
                  </w:rPr>
                  <w:t>6.7. Gerinti vandens telkinių būklę bei didinti vandens tiekimo ir nuotekų tvarkymo paslaugų prieinamumą ir efektyvumą</w:t>
                </w:r>
              </w:p>
              <w:p>
                <w:pPr>
                  <w:textAlignment w:val="baseline"/>
                  <w:rPr>
                    <w:szCs w:val="24"/>
                    <w:lang w:eastAsia="lt-LT"/>
                  </w:rPr>
                </w:pPr>
                <w:r>
                  <w:rPr>
                    <w:szCs w:val="24"/>
                    <w:lang w:eastAsia="lt-LT"/>
                  </w:rPr>
                  <w:t xml:space="preserve">6.8. </w:t>
                </w:r>
                <w:r>
                  <w:rPr>
                    <w:szCs w:val="24"/>
                  </w:rPr>
                  <w:t xml:space="preserve">Išsaugoti ir atkurti biologinę įvairovę, ekosistemų, jų paslaugų kokybę bei kraštovaizdžio savitumą </w:t>
                </w:r>
                <w:r>
                  <w:rPr>
                    <w:bCs/>
                    <w:szCs w:val="24"/>
                  </w:rPr>
                  <w:t>ir užtikrinti darnų gamtos išteklių naudojimą</w:t>
                </w:r>
              </w:p>
              <w:p>
                <w:pPr>
                  <w:ind w:firstLine="62"/>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Gyventojų, aprūpinamų geriamojo vandens tiekimo paslaugomis, skaičius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2 408 355</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2 432 355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2 439 355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2 449 355</w:t>
                </w:r>
              </w:p>
            </w:tc>
          </w:tr>
          <w:tr>
            <w:trPr>
              <w:trHeight w:val="885"/>
            </w:trPr>
            <w:tc>
              <w:tcPr>
                <w:tcW w:w="4308" w:type="dxa"/>
                <w:vMerge/>
                <w:tcBorders>
                  <w:left w:val="nil"/>
                  <w:right w:val="nil"/>
                </w:tcBorders>
                <w:shd w:val="clear" w:color="auto" w:fill="auto"/>
                <w:hideMark/>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Gyventojų, aprūpinamų centralizuotai teikiamomis nuotekų tvarkymo paslaugomis, skaičius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2 253 041</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2 300 041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2 320 041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2 345 041</w:t>
                </w:r>
              </w:p>
            </w:tc>
          </w:tr>
          <w:tr>
            <w:trPr>
              <w:trHeight w:val="885"/>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Lietuvos miškingumas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33,84</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34</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34,2</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34,4</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Renovuotų daugiabučių namų skaičius per metus (vnt.)</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278</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500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550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600</w:t>
                </w:r>
              </w:p>
            </w:tc>
          </w:tr>
          <w:tr>
            <w:trPr>
              <w:trHeight w:val="375"/>
            </w:trPr>
            <w:tc>
              <w:tcPr>
                <w:tcW w:w="11078" w:type="dxa"/>
                <w:gridSpan w:val="37"/>
                <w:tcBorders>
                  <w:top w:val="single" w:sz="6" w:space="0" w:color="auto"/>
                  <w:left w:val="nil"/>
                  <w:bottom w:val="single" w:sz="6" w:space="0" w:color="auto"/>
                  <w:right w:val="nil"/>
                </w:tcBorders>
                <w:shd w:val="clear" w:color="auto" w:fill="auto"/>
                <w:vAlign w:val="center"/>
                <w:hideMark/>
              </w:tcPr>
              <w:p>
                <w:pPr>
                  <w:textAlignment w:val="baseline"/>
                  <w:rPr>
                    <w:szCs w:val="24"/>
                    <w:lang w:eastAsia="lt-LT"/>
                  </w:rPr>
                </w:pPr>
                <w:r>
                  <w:rPr>
                    <w:b/>
                    <w:bCs/>
                    <w:color w:val="000000"/>
                    <w:szCs w:val="24"/>
                    <w:lang w:eastAsia="lt-LT"/>
                  </w:rPr>
                  <w:t>III SKYRIUS. E</w:t>
                </w:r>
                <w:r>
                  <w:rPr>
                    <w:b/>
                    <w:bCs/>
                    <w:szCs w:val="24"/>
                    <w:lang w:eastAsia="lt-LT"/>
                  </w:rPr>
                  <w:t>NERGETIKA</w:t>
                </w:r>
                <w:r>
                  <w:rPr>
                    <w:szCs w:val="24"/>
                    <w:lang w:eastAsia="lt-LT"/>
                  </w:rPr>
                  <w:t> </w:t>
                </w:r>
              </w:p>
            </w:tc>
            <w:tc>
              <w:tcPr>
                <w:tcW w:w="1620" w:type="dxa"/>
                <w:tcBorders>
                  <w:top w:val="single" w:sz="6" w:space="0" w:color="auto"/>
                  <w:left w:val="nil"/>
                  <w:bottom w:val="single" w:sz="6" w:space="0" w:color="auto"/>
                  <w:right w:val="nil"/>
                </w:tcBorders>
              </w:tcPr>
              <w:p>
                <w:pPr>
                  <w:textAlignment w:val="baseline"/>
                  <w:rPr>
                    <w:b/>
                    <w:bCs/>
                    <w:color w:val="000000"/>
                    <w:szCs w:val="24"/>
                    <w:lang w:eastAsia="lt-LT"/>
                  </w:rPr>
                </w:pPr>
              </w:p>
            </w:tc>
            <w:tc>
              <w:tcPr>
                <w:tcW w:w="1620" w:type="dxa"/>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597"/>
            </w:trPr>
            <w:tc>
              <w:tcPr>
                <w:tcW w:w="4308" w:type="dxa"/>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6.3. Užtikrinti Lietuvos elektros energijos rinkos ir elektros energetikos sistemos adekvatumą, didinti vidaus energijos gamybos ir bendrojo galutinio energijos vartojimo atsinaujinančių energijos išteklių dalį bei diegti taršos mažinimo priemones energetikos sektoriuje </w:t>
                </w:r>
              </w:p>
            </w:tc>
            <w:tc>
              <w:tcPr>
                <w:tcW w:w="3620" w:type="dxa"/>
                <w:gridSpan w:val="12"/>
                <w:tcBorders>
                  <w:top w:val="single" w:sz="6" w:space="0" w:color="auto"/>
                  <w:left w:val="nil"/>
                  <w:bottom w:val="single" w:sz="6" w:space="0" w:color="auto"/>
                  <w:right w:val="nil"/>
                </w:tcBorders>
                <w:shd w:val="clear" w:color="auto" w:fill="auto"/>
              </w:tcPr>
              <w:p>
                <w:pPr>
                  <w:textAlignment w:val="baseline"/>
                  <w:rPr>
                    <w:lang w:eastAsia="lt-LT"/>
                  </w:rPr>
                </w:pPr>
                <w:r>
                  <w:rPr>
                    <w:szCs w:val="24"/>
                    <w:lang w:eastAsia="lt-LT"/>
                  </w:rPr>
                  <w:t>Elektros energijos iš atsinaujinančių energijos</w:t>
                </w:r>
                <w:r>
                  <w:rPr>
                    <w:i/>
                    <w:iCs/>
                    <w:szCs w:val="24"/>
                    <w:lang w:eastAsia="lt-LT"/>
                  </w:rPr>
                  <w:t xml:space="preserve"> </w:t>
                </w:r>
                <w:r>
                  <w:rPr>
                    <w:szCs w:val="24"/>
                    <w:lang w:eastAsia="lt-LT"/>
                  </w:rPr>
                  <w:t>išteklių dalis galutiniame elektros energijos suvartojimo balanse (proc.)</w:t>
                </w:r>
                <w:r>
                  <w:rPr>
                    <w:lang w:eastAsia="lt-LT"/>
                  </w:rPr>
                  <w:t xml:space="preserve"> </w:t>
                </w:r>
              </w:p>
              <w:p>
                <w:pPr>
                  <w:textAlignment w:val="baseline"/>
                  <w:rPr>
                    <w:szCs w:val="24"/>
                    <w:lang w:eastAsia="lt-LT"/>
                  </w:rPr>
                </w:pP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36,21</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val="en-GB" w:eastAsia="lt-LT"/>
                  </w:rPr>
                </w:pPr>
                <w:r>
                  <w:rPr>
                    <w:szCs w:val="24"/>
                    <w:lang w:val="en-GB" w:eastAsia="lt-LT"/>
                  </w:rPr>
                  <w:t>52,5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62,3</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72,1</w:t>
                </w:r>
              </w:p>
            </w:tc>
          </w:tr>
          <w:tr>
            <w:trPr>
              <w:trHeight w:val="597"/>
            </w:trPr>
            <w:tc>
              <w:tcPr>
                <w:tcW w:w="4308" w:type="dxa"/>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6.5. Didinti viešųjų centrinės valdžios, individualių gyvenamųjų pastatų ir įmonių energijos vartojimo efektyvumą ir energijos iš atsinaujinančių išteklių juose naudojimą</w:t>
                </w: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lang w:eastAsia="lt-LT"/>
                  </w:rPr>
                  <w:t>Iš atsinaujinančių energijos išteklių pasigamintą elektros energiją savo reikmėms vartojančių asmenų skaičius (asmenys)</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115 055</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145 833</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176 667</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207 500</w:t>
                </w:r>
              </w:p>
            </w:tc>
          </w:tr>
          <w:tr>
            <w:trPr>
              <w:gridAfter w:val="7"/>
              <w:wAfter w:w="4114" w:type="dxa"/>
              <w:trHeight w:val="465"/>
            </w:trPr>
            <w:tc>
              <w:tcPr>
                <w:tcW w:w="7647" w:type="dxa"/>
                <w:gridSpan w:val="11"/>
                <w:tcBorders>
                  <w:top w:val="single" w:sz="6" w:space="0" w:color="auto"/>
                  <w:left w:val="nil"/>
                  <w:bottom w:val="single" w:sz="6" w:space="0" w:color="auto"/>
                  <w:right w:val="nil"/>
                </w:tcBorders>
                <w:shd w:val="clear" w:color="auto" w:fill="auto"/>
                <w:vAlign w:val="center"/>
                <w:hideMark/>
              </w:tcPr>
              <w:p>
                <w:pPr>
                  <w:textAlignment w:val="baseline"/>
                  <w:rPr>
                    <w:b/>
                    <w:bCs/>
                    <w:szCs w:val="24"/>
                    <w:lang w:eastAsia="lt-LT"/>
                  </w:rPr>
                </w:pPr>
                <w:r>
                  <w:rPr>
                    <w:b/>
                    <w:bCs/>
                    <w:szCs w:val="24"/>
                    <w:lang w:eastAsia="lt-LT"/>
                  </w:rPr>
                  <w:t>IV SKYRIUS. VIEŠIEJI FINANSAI IR OFICIALIOJI STATISTIKA </w:t>
                </w:r>
              </w:p>
            </w:tc>
            <w:tc>
              <w:tcPr>
                <w:tcW w:w="1277" w:type="dxa"/>
                <w:gridSpan w:val="12"/>
                <w:tcBorders>
                  <w:top w:val="single" w:sz="6" w:space="0" w:color="auto"/>
                  <w:left w:val="nil"/>
                  <w:bottom w:val="single" w:sz="6" w:space="0" w:color="auto"/>
                  <w:right w:val="nil"/>
                </w:tcBorders>
                <w:vAlign w:val="center"/>
              </w:tcPr>
              <w:p>
                <w:pPr>
                  <w:jc w:val="center"/>
                  <w:textAlignment w:val="baseline"/>
                  <w:rPr>
                    <w:b/>
                    <w:bCs/>
                    <w:szCs w:val="24"/>
                    <w:lang w:eastAsia="lt-LT"/>
                  </w:rPr>
                </w:pPr>
              </w:p>
            </w:tc>
            <w:tc>
              <w:tcPr>
                <w:tcW w:w="1280" w:type="dxa"/>
                <w:gridSpan w:val="9"/>
                <w:tcBorders>
                  <w:top w:val="single" w:sz="6" w:space="0" w:color="auto"/>
                  <w:left w:val="nil"/>
                  <w:bottom w:val="single" w:sz="6" w:space="0" w:color="auto"/>
                  <w:right w:val="nil"/>
                </w:tcBorders>
                <w:vAlign w:val="center"/>
              </w:tcPr>
              <w:p>
                <w:pPr>
                  <w:jc w:val="center"/>
                  <w:textAlignment w:val="baseline"/>
                  <w:rPr>
                    <w:b/>
                    <w:bCs/>
                    <w:szCs w:val="24"/>
                    <w:lang w:eastAsia="lt-LT"/>
                  </w:rPr>
                </w:pPr>
              </w:p>
            </w:tc>
          </w:tr>
          <w:tr>
            <w:trPr>
              <w:trHeight w:val="705"/>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 xml:space="preserve">8.5. </w:t>
                </w:r>
                <w:r>
                  <w:rPr>
                    <w:color w:val="000000"/>
                    <w:szCs w:val="24"/>
                    <w:lang w:eastAsia="lt-LT"/>
                  </w:rPr>
                  <w:t>Didinti viešųjų finansų ir valstybės turto valdymo ir panaudojimo efektyvumą  </w:t>
                </w: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Neišnaudoto pridėtinės vertės mokesčio potencialo įvertis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12,2</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Centralizuotai valdomo administracinės paskirties valstybės nekilnojamojo turto ploto pokytis, palyginti su 2021 m., (proc.). (2021 m. administracinės paskirties valstybės nekilnojamojo turto apimtis 665 tūkst. kv. metrų)</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–5,3</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–12</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szCs w:val="24"/>
                    <w:lang w:eastAsia="lt-LT"/>
                  </w:rPr>
                  <w:t>–14,3</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szCs w:val="24"/>
                    <w:lang w:eastAsia="lt-LT"/>
                  </w:rPr>
                  <w:t>–17,6</w:t>
                </w:r>
              </w:p>
            </w:tc>
          </w:tr>
          <w:tr>
            <w:trPr>
              <w:gridAfter w:val="11"/>
              <w:wAfter w:w="4674" w:type="dxa"/>
              <w:trHeight w:val="600"/>
            </w:trPr>
            <w:tc>
              <w:tcPr>
                <w:tcW w:w="7087" w:type="dxa"/>
                <w:gridSpan w:val="6"/>
                <w:tcBorders>
                  <w:top w:val="single" w:sz="6" w:space="0" w:color="auto"/>
                  <w:left w:val="nil"/>
                  <w:bottom w:val="single" w:sz="6" w:space="0" w:color="auto"/>
                  <w:right w:val="nil"/>
                </w:tcBorders>
                <w:shd w:val="clear" w:color="auto" w:fill="auto"/>
                <w:vAlign w:val="center"/>
                <w:hideMark/>
              </w:tcPr>
              <w:p>
                <w:pPr>
                  <w:textAlignment w:val="baseline"/>
                  <w:rPr>
                    <w:b/>
                    <w:bCs/>
                    <w:szCs w:val="24"/>
                    <w:lang w:eastAsia="lt-LT"/>
                  </w:rPr>
                </w:pPr>
                <w:r>
                  <w:rPr>
                    <w:b/>
                    <w:bCs/>
                    <w:szCs w:val="24"/>
                    <w:lang w:eastAsia="lt-LT"/>
                  </w:rPr>
                  <w:t>V</w:t>
                </w:r>
                <w:r>
                  <w:rPr>
                    <w:b/>
                    <w:bCs/>
                    <w:color w:val="000000"/>
                    <w:szCs w:val="24"/>
                    <w:lang w:eastAsia="lt-LT"/>
                  </w:rPr>
                  <w:t xml:space="preserve"> SKYRIUS.</w:t>
                </w:r>
                <w:r>
                  <w:rPr>
                    <w:b/>
                    <w:bCs/>
                    <w:szCs w:val="24"/>
                    <w:lang w:eastAsia="lt-LT"/>
                  </w:rPr>
                  <w:t xml:space="preserve"> EKONOMIKOS KONKURENCINGUMAS IR VALSTYBĖS INFORMACINIAI IŠTEKLIAI</w:t>
                </w:r>
                <w:r>
                  <w:rPr>
                    <w:szCs w:val="24"/>
                    <w:lang w:eastAsia="lt-LT"/>
                  </w:rPr>
                  <w:t> </w:t>
                </w:r>
              </w:p>
            </w:tc>
            <w:tc>
              <w:tcPr>
                <w:tcW w:w="1277" w:type="dxa"/>
                <w:gridSpan w:val="11"/>
                <w:tcBorders>
                  <w:top w:val="single" w:sz="6" w:space="0" w:color="auto"/>
                  <w:left w:val="nil"/>
                  <w:bottom w:val="single" w:sz="6" w:space="0" w:color="auto"/>
                  <w:right w:val="nil"/>
                </w:tcBorders>
              </w:tcPr>
              <w:p>
                <w:pPr>
                  <w:textAlignment w:val="baseline"/>
                  <w:rPr>
                    <w:b/>
                    <w:bCs/>
                    <w:szCs w:val="24"/>
                    <w:lang w:eastAsia="lt-LT"/>
                  </w:rPr>
                </w:pPr>
              </w:p>
            </w:tc>
            <w:tc>
              <w:tcPr>
                <w:tcW w:w="1280" w:type="dxa"/>
                <w:gridSpan w:val="11"/>
                <w:tcBorders>
                  <w:top w:val="single" w:sz="6" w:space="0" w:color="auto"/>
                  <w:left w:val="nil"/>
                  <w:bottom w:val="single" w:sz="6" w:space="0" w:color="auto"/>
                  <w:right w:val="nil"/>
                </w:tcBorders>
              </w:tcPr>
              <w:p>
                <w:pPr>
                  <w:textAlignment w:val="baseline"/>
                  <w:rPr>
                    <w:b/>
                    <w:bCs/>
                    <w:szCs w:val="24"/>
                    <w:lang w:eastAsia="lt-LT"/>
                  </w:rPr>
                </w:pPr>
              </w:p>
            </w:tc>
          </w:tr>
          <w:tr>
            <w:trPr>
              <w:trHeight w:val="579"/>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1.5. Skatinti pažangiųjų technologijų ir inovacijų kūrimą, diegimą ir sklaidą </w:t>
                </w:r>
              </w:p>
              <w:p>
                <w:pPr>
                  <w:textAlignment w:val="baseline"/>
                  <w:rPr>
                    <w:szCs w:val="24"/>
                    <w:lang w:eastAsia="lt-LT"/>
                  </w:rPr>
                </w:pPr>
                <w:r>
                  <w:rPr>
                    <w:szCs w:val="24"/>
                    <w:lang w:eastAsia="lt-LT"/>
                  </w:rPr>
                  <w:t>1.11. Skatinti prekių ir paslaugų eksportą</w:t>
                </w:r>
              </w:p>
            </w:tc>
            <w:tc>
              <w:tcPr>
                <w:tcW w:w="3620" w:type="dxa"/>
                <w:gridSpan w:val="12"/>
                <w:tcBorders>
                  <w:top w:val="single" w:sz="6" w:space="0" w:color="auto"/>
                  <w:left w:val="nil"/>
                  <w:right w:val="nil"/>
                </w:tcBorders>
                <w:shd w:val="clear" w:color="auto" w:fill="auto"/>
              </w:tcPr>
              <w:p>
                <w:pPr>
                  <w:textAlignment w:val="baseline"/>
                  <w:rPr>
                    <w:szCs w:val="24"/>
                    <w:lang w:eastAsia="lt-LT"/>
                  </w:rPr>
                </w:pPr>
                <w:r>
                  <w:rPr>
                    <w:szCs w:val="24"/>
                    <w:lang w:eastAsia="lt-LT"/>
                  </w:rPr>
                  <w:t>Lietuviškos kilmės prekių (be energetinių (mineralinių) produktų) ir paslaugų eksportas (proc. nuo BVP)</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val="en-GB" w:eastAsia="lt-LT"/>
                  </w:rPr>
                </w:pPr>
                <w:r>
                  <w:rPr>
                    <w:szCs w:val="24"/>
                    <w:lang w:val="en-GB" w:eastAsia="lt-LT"/>
                  </w:rPr>
                  <w:t>53,4</w:t>
                </w:r>
              </w:p>
              <w:p>
                <w:pPr>
                  <w:jc w:val="center"/>
                  <w:textAlignment w:val="baseline"/>
                  <w:rPr>
                    <w:szCs w:val="24"/>
                    <w:lang w:eastAsia="lt-LT"/>
                  </w:rPr>
                </w:pPr>
                <w:r>
                  <w:rPr>
                    <w:szCs w:val="24"/>
                    <w:lang w:eastAsia="lt-LT"/>
                  </w:rPr>
                  <w:t>(</w:t>
                </w:r>
                <w:r>
                  <w:rPr>
                    <w:szCs w:val="24"/>
                    <w:lang w:val="en-GB"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5</w:t>
                </w:r>
                <w:r>
                  <w:rPr>
                    <w:szCs w:val="24"/>
                    <w:lang w:val="en-US" w:eastAsia="lt-LT"/>
                  </w:rPr>
                  <w:t>7,7</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60,5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63,6</w:t>
                </w:r>
              </w:p>
            </w:tc>
          </w:tr>
          <w:tr>
            <w:trPr>
              <w:trHeight w:val="656"/>
            </w:trPr>
            <w:tc>
              <w:tcPr>
                <w:tcW w:w="4308" w:type="dxa"/>
                <w:vMerge/>
                <w:tcBorders>
                  <w:left w:val="nil"/>
                  <w:right w:val="nil"/>
                </w:tcBorders>
                <w:shd w:val="clear" w:color="auto" w:fill="auto"/>
              </w:tcPr>
              <w:p>
                <w:pPr>
                  <w:textAlignment w:val="baseline"/>
                  <w:rPr>
                    <w:szCs w:val="24"/>
                    <w:lang w:val="en-US"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Lietuviškos kilmės pažangiųjų ir vidutiniškai pažangių technologijų prekių eksportas (proc. nuo BVP)</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7,8</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8,7</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9,1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9,5</w:t>
                </w:r>
              </w:p>
            </w:tc>
          </w:tr>
          <w:tr>
            <w:trPr>
              <w:trHeight w:val="656"/>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Daug žinių reikalaujančių paslaugų eksportas (proc. nuo BVP)</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 xml:space="preserve">10,9 </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15,9</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18,8</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22,4</w:t>
                </w:r>
              </w:p>
            </w:tc>
          </w:tr>
          <w:tr>
            <w:trPr>
              <w:trHeight w:val="656"/>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Transporto paslaugų eksportas (mln. eurų)</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val="en-GB" w:eastAsia="lt-LT"/>
                  </w:rPr>
                </w:pPr>
                <w:r>
                  <w:rPr>
                    <w:szCs w:val="24"/>
                    <w:lang w:val="en-GB" w:eastAsia="lt-LT"/>
                  </w:rPr>
                  <w:t>9 401</w:t>
                </w:r>
              </w:p>
              <w:p>
                <w:pPr>
                  <w:jc w:val="center"/>
                  <w:textAlignment w:val="baseline"/>
                  <w:rPr>
                    <w:szCs w:val="24"/>
                    <w:lang w:val="en-GB" w:eastAsia="lt-LT"/>
                  </w:rPr>
                </w:pPr>
                <w:r>
                  <w:rPr>
                    <w:szCs w:val="24"/>
                    <w:lang w:val="en-GB"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10 410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10 890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10 995</w:t>
                </w:r>
              </w:p>
            </w:tc>
          </w:tr>
          <w:tr>
            <w:trPr>
              <w:gridAfter w:val="15"/>
              <w:wAfter w:w="5198" w:type="dxa"/>
              <w:trHeight w:val="510"/>
            </w:trPr>
            <w:tc>
              <w:tcPr>
                <w:tcW w:w="6563" w:type="dxa"/>
                <w:gridSpan w:val="5"/>
                <w:tcBorders>
                  <w:top w:val="single" w:sz="6" w:space="0" w:color="auto"/>
                  <w:left w:val="nil"/>
                  <w:bottom w:val="single" w:sz="6" w:space="0" w:color="auto"/>
                  <w:right w:val="nil"/>
                </w:tcBorders>
                <w:shd w:val="clear" w:color="auto" w:fill="auto"/>
                <w:vAlign w:val="center"/>
                <w:hideMark/>
              </w:tcPr>
              <w:p>
                <w:pPr>
                  <w:textAlignment w:val="baseline"/>
                  <w:rPr>
                    <w:szCs w:val="24"/>
                    <w:lang w:eastAsia="lt-LT"/>
                  </w:rPr>
                </w:pPr>
                <w:r>
                  <w:rPr>
                    <w:b/>
                    <w:bCs/>
                    <w:color w:val="000000"/>
                    <w:szCs w:val="24"/>
                    <w:lang w:eastAsia="lt-LT"/>
                  </w:rPr>
                  <w:t xml:space="preserve">VI SKYRIUS. </w:t>
                </w:r>
                <w:r>
                  <w:rPr>
                    <w:b/>
                    <w:bCs/>
                    <w:szCs w:val="24"/>
                    <w:lang w:eastAsia="lt-LT"/>
                  </w:rPr>
                  <w:t>VALSTYBĖS SAUGUMAS IR GYNYBA</w:t>
                </w:r>
                <w:r>
                  <w:rPr>
                    <w:szCs w:val="24"/>
                    <w:lang w:eastAsia="lt-LT"/>
                  </w:rPr>
                  <w:t> </w:t>
                </w:r>
              </w:p>
            </w:tc>
            <w:tc>
              <w:tcPr>
                <w:tcW w:w="1277" w:type="dxa"/>
                <w:gridSpan w:val="7"/>
                <w:tcBorders>
                  <w:top w:val="single" w:sz="6" w:space="0" w:color="auto"/>
                  <w:left w:val="nil"/>
                  <w:bottom w:val="single" w:sz="6" w:space="0" w:color="auto"/>
                  <w:right w:val="nil"/>
                </w:tcBorders>
              </w:tcPr>
              <w:p>
                <w:pPr>
                  <w:textAlignment w:val="baseline"/>
                  <w:rPr>
                    <w:b/>
                    <w:bCs/>
                    <w:color w:val="000000"/>
                    <w:szCs w:val="24"/>
                    <w:lang w:eastAsia="lt-LT"/>
                  </w:rPr>
                </w:pPr>
              </w:p>
            </w:tc>
            <w:tc>
              <w:tcPr>
                <w:tcW w:w="1280" w:type="dxa"/>
                <w:gridSpan w:val="12"/>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939"/>
            </w:trPr>
            <w:tc>
              <w:tcPr>
                <w:tcW w:w="4308" w:type="dxa"/>
                <w:vMerge w:val="restart"/>
                <w:tcBorders>
                  <w:top w:val="single" w:sz="6" w:space="0" w:color="auto"/>
                  <w:left w:val="nil"/>
                  <w:right w:val="nil"/>
                </w:tcBorders>
                <w:shd w:val="clear" w:color="auto" w:fill="auto"/>
                <w:hideMark/>
              </w:tcPr>
              <w:p>
                <w:pPr>
                  <w:textAlignment w:val="baseline"/>
                  <w:rPr>
                    <w:color w:val="000000"/>
                    <w:szCs w:val="24"/>
                    <w:lang w:eastAsia="lt-LT"/>
                  </w:rPr>
                </w:pPr>
                <w:r>
                  <w:rPr>
                    <w:szCs w:val="24"/>
                    <w:lang w:eastAsia="lt-LT"/>
                  </w:rPr>
                  <w:t xml:space="preserve">10.1. </w:t>
                </w:r>
                <w:r>
                  <w:rPr>
                    <w:color w:val="000000"/>
                    <w:szCs w:val="24"/>
                    <w:lang w:eastAsia="lt-LT"/>
                  </w:rPr>
                  <w:t>Stiprinti Lietuvos kariuomenės kovinę galią ir atgrasymo potencialą </w:t>
                </w:r>
              </w:p>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Bendros gynybai skirtos išlaidos, (proc. nuo BVP)</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2,77</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w:t>
                </w:r>
              </w:p>
            </w:tc>
          </w:tr>
          <w:tr>
            <w:trPr>
              <w:trHeight w:val="696"/>
            </w:trPr>
            <w:tc>
              <w:tcPr>
                <w:tcW w:w="4308" w:type="dxa"/>
                <w:vMerge/>
                <w:tcBorders>
                  <w:left w:val="nil"/>
                  <w:right w:val="nil"/>
                </w:tcBorders>
                <w:shd w:val="clear" w:color="auto" w:fill="auto"/>
                <w:vAlign w:val="center"/>
                <w:hideMark/>
              </w:tcPr>
              <w:p>
                <w:pPr>
                  <w:rPr>
                    <w:szCs w:val="24"/>
                    <w:lang w:eastAsia="lt-LT"/>
                  </w:rPr>
                </w:pP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color w:val="000000"/>
                    <w:szCs w:val="24"/>
                    <w:lang w:eastAsia="lt-LT"/>
                  </w:rPr>
                  <w:t>Profesinės karo tarnybos karių skaičius (vnt.)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11 859</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13 950</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14 400</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14 800</w:t>
                </w:r>
              </w:p>
            </w:tc>
          </w:tr>
          <w:tr>
            <w:trPr>
              <w:trHeight w:val="840"/>
            </w:trPr>
            <w:tc>
              <w:tcPr>
                <w:tcW w:w="4308" w:type="dxa"/>
                <w:vMerge/>
                <w:tcBorders>
                  <w:left w:val="nil"/>
                  <w:bottom w:val="single" w:sz="6" w:space="0" w:color="auto"/>
                  <w:right w:val="nil"/>
                </w:tcBorders>
                <w:shd w:val="clear" w:color="auto" w:fill="auto"/>
                <w:vAlign w:val="center"/>
              </w:tcPr>
              <w:p>
                <w:pPr>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color w:val="000000"/>
                    <w:szCs w:val="24"/>
                    <w:lang w:eastAsia="lt-LT"/>
                  </w:rPr>
                </w:pPr>
                <w:r>
                  <w:rPr>
                    <w:color w:val="000000"/>
                    <w:szCs w:val="24"/>
                    <w:lang w:eastAsia="lt-LT"/>
                  </w:rPr>
                  <w:t>Modernizacijai skiriamų lėšų dalis, palyginti su bendromis gynybai skirtomis išlaidomis, (proc.)</w:t>
                </w:r>
              </w:p>
              <w:p>
                <w:pPr>
                  <w:textAlignment w:val="baseline"/>
                  <w:rPr>
                    <w:color w:val="000000"/>
                    <w:szCs w:val="24"/>
                    <w:lang w:eastAsia="lt-LT"/>
                  </w:rPr>
                </w:pP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color w:val="000000"/>
                    <w:szCs w:val="24"/>
                    <w:lang w:eastAsia="lt-LT"/>
                  </w:rPr>
                </w:pPr>
                <w:r>
                  <w:rPr>
                    <w:color w:val="000000"/>
                    <w:szCs w:val="24"/>
                    <w:lang w:eastAsia="lt-LT"/>
                  </w:rPr>
                  <w:t>28</w:t>
                </w:r>
              </w:p>
              <w:p>
                <w:pPr>
                  <w:jc w:val="center"/>
                  <w:textAlignment w:val="baseline"/>
                  <w:rPr>
                    <w:color w:val="000000"/>
                    <w:szCs w:val="24"/>
                    <w:lang w:eastAsia="lt-LT"/>
                  </w:rPr>
                </w:pPr>
                <w:r>
                  <w:rPr>
                    <w:color w:val="000000"/>
                    <w:szCs w:val="24"/>
                    <w:lang w:eastAsia="lt-LT"/>
                  </w:rPr>
                  <w:t>(apie 567 mln. eurų)</w:t>
                </w:r>
              </w:p>
              <w:p>
                <w:pPr>
                  <w:jc w:val="center"/>
                  <w:textAlignment w:val="baseline"/>
                  <w:rPr>
                    <w:szCs w:val="24"/>
                    <w:lang w:eastAsia="lt-LT"/>
                  </w:rPr>
                </w:pPr>
                <w:r>
                  <w:rPr>
                    <w:color w:val="000000"/>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23,7</w:t>
                </w:r>
              </w:p>
              <w:p>
                <w:pPr>
                  <w:jc w:val="center"/>
                  <w:textAlignment w:val="baseline"/>
                  <w:rPr>
                    <w:color w:val="000000"/>
                    <w:szCs w:val="24"/>
                    <w:lang w:eastAsia="lt-LT"/>
                  </w:rPr>
                </w:pPr>
                <w:r>
                  <w:rPr>
                    <w:szCs w:val="24"/>
                    <w:lang w:eastAsia="lt-LT"/>
                  </w:rPr>
                  <w:t xml:space="preserve">(apie </w:t>
                </w:r>
                <w:r>
                  <w:rPr>
                    <w:color w:val="000000"/>
                    <w:szCs w:val="24"/>
                    <w:lang w:eastAsia="lt-LT"/>
                  </w:rPr>
                  <w:t>537,7 mln. eurų)</w:t>
                </w:r>
              </w:p>
              <w:p>
                <w:pPr>
                  <w:jc w:val="center"/>
                  <w:textAlignment w:val="baseline"/>
                  <w:rPr>
                    <w:color w:val="000000"/>
                    <w:szCs w:val="24"/>
                    <w:lang w:eastAsia="lt-LT"/>
                  </w:rPr>
                </w:pPr>
                <w:r>
                  <w:rPr>
                    <w:szCs w:val="24"/>
                    <w:lang w:eastAsia="lt-LT"/>
                  </w:rPr>
                  <w:t>(3 pastaba)</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29</w:t>
                </w:r>
              </w:p>
              <w:p>
                <w:pPr>
                  <w:jc w:val="center"/>
                  <w:textAlignment w:val="baseline"/>
                  <w:rPr>
                    <w:color w:val="000000"/>
                    <w:szCs w:val="24"/>
                    <w:lang w:eastAsia="lt-LT"/>
                  </w:rPr>
                </w:pPr>
                <w:r>
                  <w:rPr>
                    <w:color w:val="000000"/>
                    <w:szCs w:val="24"/>
                    <w:lang w:eastAsia="lt-LT"/>
                  </w:rPr>
                  <w:t>(apie 715,1 mln. eurų)</w:t>
                </w:r>
              </w:p>
              <w:p>
                <w:pPr>
                  <w:jc w:val="center"/>
                  <w:textAlignment w:val="baseline"/>
                  <w:rPr>
                    <w:color w:val="000000"/>
                    <w:szCs w:val="24"/>
                    <w:lang w:eastAsia="lt-LT"/>
                  </w:rPr>
                </w:pP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33,7</w:t>
                </w:r>
              </w:p>
              <w:p>
                <w:pPr>
                  <w:jc w:val="center"/>
                  <w:textAlignment w:val="baseline"/>
                  <w:rPr>
                    <w:color w:val="000000"/>
                    <w:szCs w:val="24"/>
                    <w:lang w:eastAsia="lt-LT"/>
                  </w:rPr>
                </w:pPr>
                <w:r>
                  <w:rPr>
                    <w:color w:val="000000"/>
                    <w:szCs w:val="24"/>
                    <w:lang w:eastAsia="lt-LT"/>
                  </w:rPr>
                  <w:t>(apie 865,4 mln. eurų)</w:t>
                </w:r>
              </w:p>
            </w:tc>
          </w:tr>
          <w:tr>
            <w:trPr>
              <w:trHeight w:val="840"/>
            </w:trPr>
            <w:tc>
              <w:tcPr>
                <w:tcW w:w="4308" w:type="dxa"/>
                <w:tcBorders>
                  <w:top w:val="nil"/>
                  <w:left w:val="nil"/>
                  <w:bottom w:val="single" w:sz="6" w:space="0" w:color="auto"/>
                  <w:right w:val="nil"/>
                </w:tcBorders>
                <w:shd w:val="clear" w:color="auto" w:fill="auto"/>
                <w:vAlign w:val="center"/>
              </w:tcPr>
              <w:p>
                <w:pPr>
                  <w:rPr>
                    <w:szCs w:val="24"/>
                    <w:lang w:eastAsia="lt-LT"/>
                  </w:rPr>
                </w:pPr>
                <w:r>
                  <w:rPr>
                    <w:bCs/>
                    <w:szCs w:val="24"/>
                  </w:rPr>
                  <w:t xml:space="preserve">10.5. </w:t>
                </w:r>
                <w:r>
                  <w:rPr>
                    <w:szCs w:val="24"/>
                  </w:rPr>
                  <w:t>Stiprinti kibernetinį saugumą ir gynybą</w:t>
                </w:r>
              </w:p>
            </w:tc>
            <w:tc>
              <w:tcPr>
                <w:tcW w:w="3620" w:type="dxa"/>
                <w:gridSpan w:val="12"/>
                <w:tcBorders>
                  <w:top w:val="single" w:sz="6" w:space="0" w:color="auto"/>
                  <w:left w:val="nil"/>
                  <w:bottom w:val="single" w:sz="6" w:space="0" w:color="auto"/>
                  <w:right w:val="nil"/>
                </w:tcBorders>
                <w:shd w:val="clear" w:color="auto" w:fill="auto"/>
              </w:tcPr>
              <w:p>
                <w:pPr>
                  <w:textAlignment w:val="baseline"/>
                  <w:rPr>
                    <w:color w:val="000000"/>
                    <w:szCs w:val="24"/>
                    <w:lang w:eastAsia="lt-LT"/>
                  </w:rPr>
                </w:pPr>
                <w:r>
                  <w:rPr>
                    <w:color w:val="000000"/>
                    <w:szCs w:val="24"/>
                    <w:lang w:eastAsia="lt-LT"/>
                  </w:rPr>
                  <w:t>Nacionalinio kibernetinio saugumo centro registruotų didelio poveikio kibernetinių incidentų skaičius (vnt.)</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color w:val="000000"/>
                    <w:szCs w:val="24"/>
                    <w:lang w:eastAsia="lt-LT"/>
                  </w:rPr>
                </w:pPr>
                <w:r>
                  <w:rPr>
                    <w:color w:val="000000"/>
                    <w:szCs w:val="24"/>
                    <w:lang w:eastAsia="lt-LT"/>
                  </w:rPr>
                  <w:t>1</w:t>
                </w:r>
              </w:p>
              <w:p>
                <w:pPr>
                  <w:jc w:val="center"/>
                  <w:textAlignment w:val="baseline"/>
                  <w:rPr>
                    <w:szCs w:val="24"/>
                    <w:lang w:eastAsia="lt-LT"/>
                  </w:rPr>
                </w:pPr>
                <w:r>
                  <w:rPr>
                    <w:color w:val="000000"/>
                    <w:szCs w:val="24"/>
                    <w:lang w:eastAsia="lt-LT"/>
                  </w:rPr>
                  <w:t>(</w:t>
                </w:r>
                <w:r>
                  <w:rPr>
                    <w:szCs w:val="24"/>
                    <w:lang w:eastAsia="lt-LT"/>
                  </w:rPr>
                  <w:t>2024</w:t>
                </w:r>
                <w:r>
                  <w:rPr>
                    <w:color w:val="000000"/>
                    <w:szCs w:val="24"/>
                    <w:lang w:eastAsia="lt-LT"/>
                  </w:rPr>
                  <w:t>)</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0</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0</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0</w:t>
                </w:r>
              </w:p>
            </w:tc>
          </w:tr>
          <w:tr>
            <w:trPr>
              <w:gridAfter w:val="3"/>
              <w:wAfter w:w="3350" w:type="dxa"/>
              <w:trHeight w:val="525"/>
            </w:trPr>
            <w:tc>
              <w:tcPr>
                <w:tcW w:w="8411" w:type="dxa"/>
                <w:gridSpan w:val="19"/>
                <w:tcBorders>
                  <w:top w:val="single" w:sz="6" w:space="0" w:color="auto"/>
                  <w:left w:val="nil"/>
                  <w:bottom w:val="single" w:sz="6" w:space="0" w:color="auto"/>
                  <w:right w:val="nil"/>
                </w:tcBorders>
                <w:shd w:val="clear" w:color="auto" w:fill="auto"/>
                <w:vAlign w:val="center"/>
                <w:hideMark/>
              </w:tcPr>
              <w:p>
                <w:pPr>
                  <w:textAlignment w:val="baseline"/>
                  <w:rPr>
                    <w:color w:val="000000"/>
                    <w:szCs w:val="24"/>
                    <w:lang w:eastAsia="lt-LT"/>
                  </w:rPr>
                </w:pPr>
                <w:r>
                  <w:rPr>
                    <w:b/>
                    <w:bCs/>
                    <w:color w:val="000000"/>
                    <w:szCs w:val="24"/>
                    <w:lang w:eastAsia="lt-LT"/>
                  </w:rPr>
                  <w:t xml:space="preserve">VII SKYRIUS. </w:t>
                </w:r>
                <w:r>
                  <w:rPr>
                    <w:b/>
                    <w:bCs/>
                    <w:szCs w:val="24"/>
                    <w:lang w:eastAsia="lt-LT"/>
                  </w:rPr>
                  <w:t>VIEŠASIS SAUGUMAS</w:t>
                </w:r>
                <w:r>
                  <w:rPr>
                    <w:szCs w:val="24"/>
                    <w:lang w:eastAsia="lt-LT"/>
                  </w:rPr>
                  <w:t> </w:t>
                </w:r>
                <w:r>
                  <w:rPr>
                    <w:color w:val="000000"/>
                    <w:szCs w:val="24"/>
                    <w:lang w:eastAsia="lt-LT"/>
                  </w:rPr>
                  <w:t> </w:t>
                </w:r>
              </w:p>
            </w:tc>
            <w:tc>
              <w:tcPr>
                <w:tcW w:w="1280" w:type="dxa"/>
                <w:gridSpan w:val="11"/>
                <w:tcBorders>
                  <w:top w:val="single" w:sz="6" w:space="0" w:color="auto"/>
                  <w:left w:val="nil"/>
                  <w:bottom w:val="single" w:sz="6" w:space="0" w:color="auto"/>
                  <w:right w:val="nil"/>
                </w:tcBorders>
              </w:tcPr>
              <w:p>
                <w:pPr>
                  <w:textAlignment w:val="baseline"/>
                  <w:rPr>
                    <w:b/>
                    <w:bCs/>
                    <w:color w:val="000000"/>
                    <w:szCs w:val="24"/>
                    <w:lang w:eastAsia="lt-LT"/>
                  </w:rPr>
                </w:pPr>
              </w:p>
            </w:tc>
            <w:tc>
              <w:tcPr>
                <w:tcW w:w="1277" w:type="dxa"/>
                <w:gridSpan w:val="6"/>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597"/>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10.4. Užtikrinti efektyvų krizių nacionalinio saugumo srityje ir ekstremaliųjų situacijų valdymą bei jų prevenciją </w:t>
                </w: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Valstybės ir savivaldybių institucijų ir įstaigų, pasirengusių reaguoti į ekstremaliąsias situacijas, dalis (proc.)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87</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90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92</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94</w:t>
                </w:r>
              </w:p>
            </w:tc>
          </w:tr>
          <w:tr>
            <w:trPr>
              <w:trHeight w:val="885"/>
            </w:trPr>
            <w:tc>
              <w:tcPr>
                <w:tcW w:w="4308" w:type="dxa"/>
                <w:vMerge/>
                <w:tcBorders>
                  <w:left w:val="nil"/>
                  <w:bottom w:val="single" w:sz="6" w:space="0" w:color="auto"/>
                  <w:right w:val="nil"/>
                </w:tcBorders>
                <w:shd w:val="clear" w:color="auto" w:fill="auto"/>
                <w:hideMark/>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Gyventojų, kuriems užtikrinta vieta priedangose,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30</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lang w:eastAsia="lt-LT"/>
                  </w:rPr>
                  <w:t>54</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lang w:eastAsia="lt-LT"/>
                  </w:rPr>
                  <w:t>57</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lang w:eastAsia="lt-LT"/>
                  </w:rPr>
                  <w:t>60</w:t>
                </w:r>
              </w:p>
            </w:tc>
          </w:tr>
          <w:tr>
            <w:trPr>
              <w:gridAfter w:val="15"/>
              <w:wAfter w:w="5198" w:type="dxa"/>
              <w:trHeight w:val="540"/>
            </w:trPr>
            <w:tc>
              <w:tcPr>
                <w:tcW w:w="6563" w:type="dxa"/>
                <w:gridSpan w:val="5"/>
                <w:tcBorders>
                  <w:top w:val="single" w:sz="6" w:space="0" w:color="auto"/>
                  <w:left w:val="nil"/>
                  <w:bottom w:val="single" w:sz="6" w:space="0" w:color="auto"/>
                  <w:right w:val="nil"/>
                </w:tcBorders>
                <w:shd w:val="clear" w:color="auto" w:fill="auto"/>
                <w:vAlign w:val="center"/>
                <w:hideMark/>
              </w:tcPr>
              <w:p>
                <w:pPr>
                  <w:textAlignment w:val="baseline"/>
                  <w:rPr>
                    <w:b/>
                    <w:bCs/>
                    <w:color w:val="000000"/>
                    <w:szCs w:val="24"/>
                    <w:lang w:eastAsia="lt-LT"/>
                  </w:rPr>
                </w:pPr>
              </w:p>
              <w:p>
                <w:pPr>
                  <w:textAlignment w:val="baseline"/>
                  <w:rPr>
                    <w:b/>
                    <w:bCs/>
                    <w:color w:val="000000"/>
                    <w:szCs w:val="24"/>
                    <w:lang w:eastAsia="lt-LT"/>
                  </w:rPr>
                </w:pPr>
                <w:r>
                  <w:rPr>
                    <w:b/>
                    <w:bCs/>
                    <w:color w:val="000000"/>
                    <w:szCs w:val="24"/>
                    <w:lang w:eastAsia="lt-LT"/>
                  </w:rPr>
                  <w:t xml:space="preserve">VIII SKYRIUS. </w:t>
                </w:r>
                <w:r>
                  <w:rPr>
                    <w:b/>
                    <w:bCs/>
                    <w:szCs w:val="24"/>
                    <w:lang w:eastAsia="lt-LT"/>
                  </w:rPr>
                  <w:t>KULTŪRA IR VISUOMENĖS INFORMAVIMAS</w:t>
                </w:r>
                <w:r>
                  <w:rPr>
                    <w:szCs w:val="24"/>
                    <w:lang w:eastAsia="lt-LT"/>
                  </w:rPr>
                  <w:t> </w:t>
                </w:r>
              </w:p>
            </w:tc>
            <w:tc>
              <w:tcPr>
                <w:tcW w:w="1277" w:type="dxa"/>
                <w:gridSpan w:val="7"/>
                <w:tcBorders>
                  <w:top w:val="single" w:sz="6" w:space="0" w:color="auto"/>
                  <w:left w:val="nil"/>
                  <w:bottom w:val="single" w:sz="6" w:space="0" w:color="auto"/>
                  <w:right w:val="nil"/>
                </w:tcBorders>
              </w:tcPr>
              <w:p>
                <w:pPr>
                  <w:textAlignment w:val="baseline"/>
                  <w:rPr>
                    <w:b/>
                    <w:bCs/>
                    <w:color w:val="000000"/>
                    <w:szCs w:val="24"/>
                    <w:lang w:eastAsia="lt-LT"/>
                  </w:rPr>
                </w:pPr>
              </w:p>
            </w:tc>
            <w:tc>
              <w:tcPr>
                <w:tcW w:w="1280" w:type="dxa"/>
                <w:gridSpan w:val="12"/>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885"/>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 xml:space="preserve">1.9. </w:t>
                </w:r>
                <w:r>
                  <w:rPr>
                    <w:szCs w:val="24"/>
                  </w:rPr>
                  <w:t>Didinti kultūros ir kūrybinių industrijų potencialą ir skatinti kūrybiniu turiniu grįstų naujų produktų ir paslaugų kūrimą</w:t>
                </w:r>
              </w:p>
              <w:p>
                <w:pPr>
                  <w:textAlignment w:val="baseline"/>
                  <w:rPr>
                    <w:szCs w:val="24"/>
                    <w:lang w:eastAsia="lt-LT"/>
                  </w:rPr>
                </w:pPr>
                <w:r>
                  <w:rPr>
                    <w:szCs w:val="24"/>
                    <w:lang w:eastAsia="lt-LT"/>
                  </w:rPr>
                  <w:t>4.1. Skatinti gyventojus dalyvauti kultūrinėse veiklose ir prisidėti prie kultūros plėtros</w:t>
                </w: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 xml:space="preserve">Kultūros ir kūrybinių industrijų sektoriaus pridėtinė vertė (mln. eurų)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1 164,04</w:t>
                </w:r>
              </w:p>
              <w:p>
                <w:pPr>
                  <w:jc w:val="center"/>
                  <w:textAlignment w:val="baseline"/>
                  <w:rPr>
                    <w:szCs w:val="24"/>
                    <w:lang w:eastAsia="lt-LT"/>
                  </w:rPr>
                </w:pPr>
                <w:r>
                  <w:rPr>
                    <w:szCs w:val="24"/>
                    <w:lang w:eastAsia="lt-LT"/>
                  </w:rPr>
                  <w:t>(2022)</w:t>
                </w:r>
              </w:p>
              <w:p>
                <w:pPr>
                  <w:jc w:val="center"/>
                  <w:textAlignment w:val="baseline"/>
                  <w:rPr>
                    <w:szCs w:val="24"/>
                    <w:lang w:eastAsia="lt-LT"/>
                  </w:rPr>
                </w:pPr>
                <w:r>
                  <w:rPr>
                    <w:szCs w:val="24"/>
                    <w:lang w:eastAsia="lt-LT"/>
                  </w:rPr>
                  <w:t>(4 pastaba)</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1 347,52</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1 414,9</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1 485,64</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color w:val="000000"/>
                    <w:szCs w:val="24"/>
                    <w:lang w:eastAsia="lt-LT"/>
                  </w:rPr>
                </w:pPr>
                <w:r>
                  <w:rPr>
                    <w:szCs w:val="24"/>
                    <w:lang w:eastAsia="lt-LT"/>
                  </w:rPr>
                  <w:t>Suteiktų kultūros paso paslaugų skaičius (vnt.)</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25 994</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ne mažiau</w:t>
                </w:r>
              </w:p>
              <w:p>
                <w:pPr>
                  <w:jc w:val="center"/>
                  <w:textAlignment w:val="baseline"/>
                  <w:rPr>
                    <w:szCs w:val="24"/>
                    <w:lang w:eastAsia="lt-LT"/>
                  </w:rPr>
                </w:pPr>
                <w:r>
                  <w:rPr>
                    <w:szCs w:val="24"/>
                    <w:lang w:eastAsia="lt-LT"/>
                  </w:rPr>
                  <w:t>kaip 2023 m.</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ne mažiau</w:t>
                </w:r>
              </w:p>
              <w:p>
                <w:pPr>
                  <w:jc w:val="center"/>
                  <w:textAlignment w:val="baseline"/>
                  <w:rPr>
                    <w:szCs w:val="24"/>
                    <w:lang w:eastAsia="lt-LT"/>
                  </w:rPr>
                </w:pPr>
                <w:r>
                  <w:rPr>
                    <w:szCs w:val="24"/>
                    <w:lang w:eastAsia="lt-LT"/>
                  </w:rPr>
                  <w:t>kaip 2023 m.</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ne mažiau</w:t>
                </w:r>
              </w:p>
              <w:p>
                <w:pPr>
                  <w:jc w:val="center"/>
                  <w:textAlignment w:val="baseline"/>
                  <w:rPr>
                    <w:szCs w:val="24"/>
                    <w:lang w:eastAsia="lt-LT"/>
                  </w:rPr>
                </w:pPr>
                <w:r>
                  <w:rPr>
                    <w:szCs w:val="24"/>
                    <w:lang w:eastAsia="lt-LT"/>
                  </w:rPr>
                  <w:t>kaip 2023 m.</w:t>
                </w:r>
              </w:p>
            </w:tc>
          </w:tr>
          <w:tr>
            <w:trPr>
              <w:trHeight w:val="885"/>
            </w:trPr>
            <w:tc>
              <w:tcPr>
                <w:tcW w:w="4308" w:type="dxa"/>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Fizinių apsilankymų kultūros įstaigose skaičiaus pokytis per metus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(36 521 758)</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w:t>
                </w:r>
              </w:p>
            </w:tc>
          </w:tr>
          <w:tr>
            <w:trPr>
              <w:gridAfter w:val="17"/>
              <w:wAfter w:w="5401" w:type="dxa"/>
              <w:trHeight w:val="450"/>
            </w:trPr>
            <w:tc>
              <w:tcPr>
                <w:tcW w:w="6360" w:type="dxa"/>
                <w:gridSpan w:val="4"/>
                <w:tcBorders>
                  <w:top w:val="single" w:sz="6" w:space="0" w:color="auto"/>
                  <w:left w:val="nil"/>
                  <w:bottom w:val="single" w:sz="6" w:space="0" w:color="auto"/>
                  <w:right w:val="nil"/>
                </w:tcBorders>
                <w:shd w:val="clear" w:color="auto" w:fill="auto"/>
                <w:vAlign w:val="center"/>
                <w:hideMark/>
              </w:tcPr>
              <w:p>
                <w:pPr>
                  <w:textAlignment w:val="baseline"/>
                  <w:rPr>
                    <w:b/>
                    <w:bCs/>
                    <w:color w:val="000000"/>
                    <w:szCs w:val="24"/>
                    <w:lang w:eastAsia="lt-LT"/>
                  </w:rPr>
                </w:pPr>
                <w:r>
                  <w:rPr>
                    <w:b/>
                    <w:bCs/>
                    <w:color w:val="000000"/>
                    <w:szCs w:val="24"/>
                    <w:lang w:eastAsia="lt-LT"/>
                  </w:rPr>
                  <w:t>IX SKYRIUS.</w:t>
                </w:r>
                <w:r>
                  <w:rPr>
                    <w:b/>
                    <w:bCs/>
                    <w:szCs w:val="24"/>
                    <w:lang w:eastAsia="lt-LT"/>
                  </w:rPr>
                  <w:t xml:space="preserve"> SOCIALINĖ APSAUGA IR UŽIMTUMAS</w:t>
                </w:r>
                <w:r>
                  <w:rPr>
                    <w:szCs w:val="24"/>
                    <w:lang w:eastAsia="lt-LT"/>
                  </w:rPr>
                  <w:t> </w:t>
                </w:r>
              </w:p>
            </w:tc>
            <w:tc>
              <w:tcPr>
                <w:tcW w:w="1277" w:type="dxa"/>
                <w:gridSpan w:val="6"/>
                <w:tcBorders>
                  <w:top w:val="single" w:sz="6" w:space="0" w:color="auto"/>
                  <w:left w:val="nil"/>
                  <w:bottom w:val="single" w:sz="6" w:space="0" w:color="auto"/>
                  <w:right w:val="nil"/>
                </w:tcBorders>
              </w:tcPr>
              <w:p>
                <w:pPr>
                  <w:textAlignment w:val="baseline"/>
                  <w:rPr>
                    <w:b/>
                    <w:bCs/>
                    <w:color w:val="000000"/>
                    <w:szCs w:val="24"/>
                    <w:lang w:eastAsia="lt-LT"/>
                  </w:rPr>
                </w:pPr>
              </w:p>
            </w:tc>
            <w:tc>
              <w:tcPr>
                <w:tcW w:w="1280" w:type="dxa"/>
                <w:gridSpan w:val="12"/>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885"/>
            </w:trPr>
            <w:tc>
              <w:tcPr>
                <w:tcW w:w="4308" w:type="dxa"/>
                <w:vMerge w:val="restart"/>
                <w:tcBorders>
                  <w:top w:val="single" w:sz="6" w:space="0" w:color="auto"/>
                  <w:left w:val="nil"/>
                  <w:right w:val="nil"/>
                </w:tcBorders>
                <w:shd w:val="clear" w:color="auto" w:fill="auto"/>
              </w:tcPr>
              <w:p>
                <w:pPr>
                  <w:textAlignment w:val="baseline"/>
                  <w:rPr>
                    <w:szCs w:val="24"/>
                    <w:lang w:eastAsia="lt-LT"/>
                  </w:rPr>
                </w:pPr>
                <w:r>
                  <w:rPr>
                    <w:szCs w:val="24"/>
                    <w:lang w:eastAsia="lt-LT"/>
                  </w:rPr>
                  <w:t>2.1. Mažinti pajamų nelygybę</w:t>
                </w:r>
              </w:p>
              <w:p>
                <w:pPr>
                  <w:textAlignment w:val="baseline"/>
                  <w:rPr>
                    <w:szCs w:val="24"/>
                    <w:lang w:eastAsia="lt-LT"/>
                  </w:rPr>
                </w:pPr>
                <w:r>
                  <w:rPr>
                    <w:szCs w:val="24"/>
                    <w:lang w:eastAsia="lt-LT"/>
                  </w:rPr>
                  <w:t>2.2. Didinti neįgaliųjų ir jų šeimų, senyvo amžiaus žmonių bei kitų pažeidžiamų ir socialinėje atskirtyje esančių grupių gerovę</w:t>
                </w:r>
              </w:p>
              <w:p>
                <w:pPr>
                  <w:textAlignment w:val="baseline"/>
                  <w:rPr>
                    <w:szCs w:val="24"/>
                    <w:lang w:eastAsia="lt-LT"/>
                  </w:rPr>
                </w:pPr>
                <w:r>
                  <w:rPr>
                    <w:szCs w:val="24"/>
                    <w:lang w:eastAsia="lt-LT"/>
                  </w:rPr>
                  <w:t>2.3. Didinti darbo ieškančių asmenų įsidarbinimo galimybes ir užimtumo rėmimo sistemos veiksmingumą ir efektyvumą</w:t>
                </w:r>
              </w:p>
              <w:p>
                <w:pPr>
                  <w:textAlignment w:val="baseline"/>
                  <w:rPr>
                    <w:szCs w:val="24"/>
                    <w:lang w:eastAsia="lt-LT"/>
                  </w:rPr>
                </w:pPr>
                <w:r>
                  <w:rPr>
                    <w:szCs w:val="24"/>
                    <w:lang w:eastAsia="lt-LT"/>
                  </w:rPr>
                  <w:t>2.6. Plėtoti neįgaliesiems tinkamą aplinką visose gyvenimo srityse</w:t>
                </w:r>
              </w:p>
              <w:p>
                <w:pPr>
                  <w:textAlignment w:val="baseline"/>
                  <w:rPr>
                    <w:szCs w:val="24"/>
                    <w:lang w:eastAsia="lt-LT"/>
                  </w:rPr>
                </w:pPr>
                <w:r>
                  <w:rPr>
                    <w:szCs w:val="24"/>
                    <w:lang w:eastAsia="lt-LT"/>
                  </w:rPr>
                  <w:t>2.9. Stiprinti socialinį dialogą ir gerinti darbo vietų kokybę</w:t>
                </w: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color w:val="000000"/>
                    <w:szCs w:val="24"/>
                    <w:lang w:eastAsia="lt-LT"/>
                  </w:rPr>
                  <w:t>Skurdo rizikos lygis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val="en-GB" w:eastAsia="lt-LT"/>
                  </w:rPr>
                </w:pPr>
                <w:r>
                  <w:rPr>
                    <w:szCs w:val="24"/>
                    <w:lang w:val="en-GB" w:eastAsia="lt-LT"/>
                  </w:rPr>
                  <w:t>20,6</w:t>
                </w:r>
              </w:p>
              <w:p>
                <w:pPr>
                  <w:jc w:val="center"/>
                  <w:textAlignment w:val="baseline"/>
                  <w:rPr>
                    <w:szCs w:val="24"/>
                    <w:lang w:eastAsia="lt-LT"/>
                  </w:rPr>
                </w:pPr>
                <w:r>
                  <w:rPr>
                    <w:szCs w:val="24"/>
                    <w:lang w:val="en-GB"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19,6</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lang w:eastAsia="lt-LT"/>
                  </w:rPr>
                  <w:t>19</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lang w:eastAsia="lt-LT"/>
                  </w:rPr>
                  <w:t>18,5</w:t>
                </w:r>
              </w:p>
            </w:tc>
          </w:tr>
          <w:tr>
            <w:trPr>
              <w:trHeight w:val="885"/>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 xml:space="preserve">Gyventojų užimtumo lygis </w:t>
                </w:r>
              </w:p>
              <w:p>
                <w:pPr>
                  <w:textAlignment w:val="baseline"/>
                  <w:rPr>
                    <w:szCs w:val="24"/>
                    <w:lang w:eastAsia="lt-LT"/>
                  </w:rPr>
                </w:pPr>
                <w:r>
                  <w:rPr>
                    <w:szCs w:val="24"/>
                    <w:lang w:eastAsia="lt-LT"/>
                  </w:rPr>
                  <w:t>(20–64 m.)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78,5</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78,7</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78,8</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79</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lang w:eastAsia="lt-LT"/>
                  </w:rPr>
                  <w:t xml:space="preserve">Socialinės priežiūros ir socialinės globos paslaugas gaunančių asmenų dalis nuo bendro su skurdo rizika ar socialine atskirtimi susiduriančių gyventojų skaičiaus (proc.)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18,8</w:t>
                </w:r>
              </w:p>
              <w:p>
                <w:pPr>
                  <w:jc w:val="center"/>
                  <w:textAlignment w:val="baseline"/>
                  <w:rPr>
                    <w:szCs w:val="24"/>
                    <w:lang w:eastAsia="lt-LT"/>
                  </w:rPr>
                </w:pPr>
                <w:r>
                  <w:rPr>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19,0</w:t>
                </w:r>
              </w:p>
            </w:tc>
            <w:tc>
              <w:tcPr>
                <w:tcW w:w="1620" w:type="dxa"/>
                <w:tcBorders>
                  <w:top w:val="single" w:sz="6" w:space="0" w:color="auto"/>
                  <w:left w:val="nil"/>
                  <w:bottom w:val="single" w:sz="6" w:space="0" w:color="auto"/>
                  <w:right w:val="nil"/>
                </w:tcBorders>
                <w:vAlign w:val="center"/>
              </w:tcPr>
              <w:p>
                <w:pPr>
                  <w:jc w:val="center"/>
                  <w:rPr>
                    <w:szCs w:val="24"/>
                    <w:lang w:eastAsia="lt-LT"/>
                  </w:rPr>
                </w:pPr>
                <w:r>
                  <w:rPr>
                    <w:lang w:eastAsia="lt-LT"/>
                  </w:rPr>
                  <w:t>19,5</w:t>
                </w:r>
              </w:p>
            </w:tc>
            <w:tc>
              <w:tcPr>
                <w:tcW w:w="1620" w:type="dxa"/>
                <w:tcBorders>
                  <w:top w:val="single" w:sz="6" w:space="0" w:color="auto"/>
                  <w:left w:val="nil"/>
                  <w:bottom w:val="single" w:sz="6" w:space="0" w:color="auto"/>
                  <w:right w:val="nil"/>
                </w:tcBorders>
                <w:vAlign w:val="center"/>
              </w:tcPr>
              <w:p>
                <w:pPr>
                  <w:jc w:val="center"/>
                  <w:rPr>
                    <w:szCs w:val="24"/>
                    <w:lang w:eastAsia="lt-LT"/>
                  </w:rPr>
                </w:pPr>
                <w:r>
                  <w:rPr>
                    <w:lang w:eastAsia="lt-LT"/>
                  </w:rPr>
                  <w:t>20</w:t>
                </w:r>
              </w:p>
            </w:tc>
          </w:tr>
          <w:tr>
            <w:trPr>
              <w:gridAfter w:val="4"/>
              <w:wAfter w:w="3509" w:type="dxa"/>
              <w:trHeight w:val="495"/>
            </w:trPr>
            <w:tc>
              <w:tcPr>
                <w:tcW w:w="8252" w:type="dxa"/>
                <w:gridSpan w:val="16"/>
                <w:tcBorders>
                  <w:top w:val="single" w:sz="6" w:space="0" w:color="auto"/>
                  <w:left w:val="nil"/>
                  <w:bottom w:val="single" w:sz="6" w:space="0" w:color="auto"/>
                  <w:right w:val="nil"/>
                </w:tcBorders>
                <w:shd w:val="clear" w:color="auto" w:fill="auto"/>
                <w:vAlign w:val="center"/>
                <w:hideMark/>
              </w:tcPr>
              <w:p>
                <w:pPr>
                  <w:textAlignment w:val="baseline"/>
                  <w:rPr>
                    <w:b/>
                    <w:bCs/>
                    <w:szCs w:val="24"/>
                    <w:lang w:eastAsia="lt-LT"/>
                  </w:rPr>
                </w:pPr>
                <w:r>
                  <w:rPr>
                    <w:b/>
                    <w:bCs/>
                    <w:color w:val="000000"/>
                    <w:szCs w:val="24"/>
                    <w:lang w:eastAsia="lt-LT"/>
                  </w:rPr>
                  <w:t xml:space="preserve">X SKYRIUS. </w:t>
                </w:r>
                <w:r>
                  <w:rPr>
                    <w:b/>
                    <w:bCs/>
                    <w:szCs w:val="24"/>
                    <w:lang w:eastAsia="lt-LT"/>
                  </w:rPr>
                  <w:t>TRANSPORTAS IR RYŠIAI</w:t>
                </w:r>
              </w:p>
            </w:tc>
            <w:tc>
              <w:tcPr>
                <w:tcW w:w="1280" w:type="dxa"/>
                <w:gridSpan w:val="11"/>
                <w:tcBorders>
                  <w:top w:val="single" w:sz="6" w:space="0" w:color="auto"/>
                  <w:left w:val="nil"/>
                  <w:bottom w:val="single" w:sz="6" w:space="0" w:color="auto"/>
                  <w:right w:val="nil"/>
                </w:tcBorders>
              </w:tcPr>
              <w:p>
                <w:pPr>
                  <w:textAlignment w:val="baseline"/>
                  <w:rPr>
                    <w:b/>
                    <w:bCs/>
                    <w:color w:val="000000"/>
                    <w:szCs w:val="24"/>
                    <w:lang w:eastAsia="lt-LT"/>
                  </w:rPr>
                </w:pPr>
              </w:p>
            </w:tc>
            <w:tc>
              <w:tcPr>
                <w:tcW w:w="1277" w:type="dxa"/>
                <w:gridSpan w:val="8"/>
                <w:tcBorders>
                  <w:top w:val="single" w:sz="6" w:space="0" w:color="auto"/>
                  <w:left w:val="nil"/>
                  <w:bottom w:val="single" w:sz="6" w:space="0" w:color="auto"/>
                  <w:right w:val="nil"/>
                </w:tcBorders>
              </w:tcPr>
              <w:p>
                <w:pPr>
                  <w:textAlignment w:val="baseline"/>
                  <w:rPr>
                    <w:b/>
                    <w:bCs/>
                    <w:color w:val="000000"/>
                    <w:szCs w:val="24"/>
                    <w:lang w:eastAsia="lt-LT"/>
                  </w:rPr>
                </w:pPr>
              </w:p>
            </w:tc>
          </w:tr>
          <w:tr>
            <w:trPr>
              <w:trHeight w:val="885"/>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5.3. Gerinti transporto junglumą šalies viduje, su Europos Sąjungos valstybėmis narėmis ir trečiosiomis šalimis, užtikrinti eismo saugumą </w:t>
                </w:r>
              </w:p>
              <w:p>
                <w:pPr>
                  <w:textAlignment w:val="baseline"/>
                  <w:rPr>
                    <w:szCs w:val="24"/>
                    <w:lang w:eastAsia="lt-LT"/>
                  </w:rPr>
                </w:pPr>
                <w:r>
                  <w:rPr>
                    <w:szCs w:val="24"/>
                  </w:rPr>
                  <w:t>6.1. Didinti energijos iš atsinaujinančių energijos išteklių dalį ir alternatyvių degalų vartojimą transporto sektoriuje, skatinti darnų įvairiarūšį judumą ir mažinti transporto sukeliamą aplinkos taršą</w:t>
                </w: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lang w:eastAsia="lt-LT"/>
                  </w:rPr>
                  <w:t>Valstybinės reikšmės krašto kelių, kurių suminio kelio dangos būklės indekso (DBI) reikšmė viršija leistinas ribas, dalis nuo viso valstybinės reikšmės krašto kelių ilgio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39,21</w:t>
                </w:r>
              </w:p>
              <w:p>
                <w:pPr>
                  <w:jc w:val="center"/>
                  <w:textAlignment w:val="baseline"/>
                  <w:rPr>
                    <w:szCs w:val="24"/>
                    <w:lang w:eastAsia="lt-LT"/>
                  </w:rPr>
                </w:pPr>
                <w:r>
                  <w:rPr>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42,63</w:t>
                </w:r>
              </w:p>
              <w:p>
                <w:pPr>
                  <w:jc w:val="center"/>
                  <w:textAlignment w:val="baseline"/>
                  <w:rPr>
                    <w:szCs w:val="24"/>
                    <w:lang w:eastAsia="lt-LT"/>
                  </w:rPr>
                </w:pPr>
                <w:r>
                  <w:rPr>
                    <w:szCs w:val="24"/>
                    <w:lang w:eastAsia="lt-LT"/>
                  </w:rPr>
                  <w:t>(5 pastaba)</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43,53</w:t>
                </w:r>
              </w:p>
              <w:p>
                <w:pPr>
                  <w:jc w:val="center"/>
                  <w:textAlignment w:val="baseline"/>
                  <w:rPr>
                    <w:szCs w:val="24"/>
                    <w:lang w:eastAsia="lt-LT"/>
                  </w:rPr>
                </w:pPr>
                <w:r>
                  <w:rPr>
                    <w:szCs w:val="24"/>
                    <w:lang w:eastAsia="lt-LT"/>
                  </w:rPr>
                  <w:t>(5 pastaba)</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44,44</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Skrydžių krypčių iš Lietuvos oro uostų skaičius (vnt.)</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100</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106</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112</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117</w:t>
                </w:r>
              </w:p>
            </w:tc>
          </w:tr>
          <w:tr>
            <w:trPr>
              <w:trHeight w:val="495"/>
            </w:trPr>
            <w:tc>
              <w:tcPr>
                <w:tcW w:w="11078" w:type="dxa"/>
                <w:gridSpan w:val="37"/>
                <w:tcBorders>
                  <w:top w:val="single" w:sz="6" w:space="0" w:color="auto"/>
                  <w:left w:val="nil"/>
                  <w:bottom w:val="single" w:sz="6" w:space="0" w:color="auto"/>
                  <w:right w:val="nil"/>
                </w:tcBorders>
                <w:shd w:val="clear" w:color="auto" w:fill="auto"/>
                <w:vAlign w:val="center"/>
                <w:hideMark/>
              </w:tcPr>
              <w:p>
                <w:pPr>
                  <w:textAlignment w:val="baseline"/>
                  <w:rPr>
                    <w:color w:val="000000"/>
                    <w:szCs w:val="24"/>
                    <w:lang w:eastAsia="lt-LT"/>
                  </w:rPr>
                </w:pPr>
                <w:r>
                  <w:rPr>
                    <w:b/>
                    <w:bCs/>
                    <w:szCs w:val="24"/>
                    <w:lang w:eastAsia="lt-LT"/>
                  </w:rPr>
                  <w:t>XI</w:t>
                </w:r>
                <w:r>
                  <w:rPr>
                    <w:b/>
                    <w:bCs/>
                    <w:color w:val="000000"/>
                    <w:szCs w:val="24"/>
                    <w:lang w:eastAsia="lt-LT"/>
                  </w:rPr>
                  <w:t xml:space="preserve"> SKYRIUS.</w:t>
                </w:r>
                <w:r>
                  <w:rPr>
                    <w:b/>
                    <w:bCs/>
                    <w:szCs w:val="24"/>
                    <w:lang w:eastAsia="lt-LT"/>
                  </w:rPr>
                  <w:t xml:space="preserve"> SVEIKATA</w:t>
                </w:r>
                <w:r>
                  <w:rPr>
                    <w:szCs w:val="24"/>
                    <w:lang w:eastAsia="lt-LT"/>
                  </w:rPr>
                  <w:t> </w:t>
                </w:r>
                <w:r>
                  <w:rPr>
                    <w:color w:val="000000"/>
                    <w:szCs w:val="24"/>
                    <w:lang w:eastAsia="lt-LT"/>
                  </w:rPr>
                  <w:t> </w:t>
                </w:r>
              </w:p>
            </w:tc>
            <w:tc>
              <w:tcPr>
                <w:tcW w:w="1620" w:type="dxa"/>
                <w:tcBorders>
                  <w:top w:val="single" w:sz="6" w:space="0" w:color="auto"/>
                  <w:left w:val="nil"/>
                  <w:bottom w:val="single" w:sz="6" w:space="0" w:color="auto"/>
                  <w:right w:val="nil"/>
                </w:tcBorders>
              </w:tcPr>
              <w:p>
                <w:pPr>
                  <w:textAlignment w:val="baseline"/>
                  <w:rPr>
                    <w:b/>
                    <w:bCs/>
                    <w:szCs w:val="24"/>
                    <w:lang w:eastAsia="lt-LT"/>
                  </w:rPr>
                </w:pPr>
              </w:p>
            </w:tc>
            <w:tc>
              <w:tcPr>
                <w:tcW w:w="1620" w:type="dxa"/>
                <w:tcBorders>
                  <w:top w:val="single" w:sz="6" w:space="0" w:color="auto"/>
                  <w:left w:val="nil"/>
                  <w:bottom w:val="single" w:sz="6" w:space="0" w:color="auto"/>
                  <w:right w:val="nil"/>
                </w:tcBorders>
              </w:tcPr>
              <w:p>
                <w:pPr>
                  <w:textAlignment w:val="baseline"/>
                  <w:rPr>
                    <w:b/>
                    <w:bCs/>
                    <w:szCs w:val="24"/>
                    <w:lang w:eastAsia="lt-LT"/>
                  </w:rPr>
                </w:pPr>
              </w:p>
            </w:tc>
          </w:tr>
          <w:tr>
            <w:trPr>
              <w:trHeight w:val="597"/>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2.10. Skatinti sveikatos išsaugojimo ir stiprinimo veiklas ir stiprinti psichologinį (emocinį) visuomenės atsparumą </w:t>
                </w:r>
              </w:p>
              <w:p>
                <w:pPr>
                  <w:textAlignment w:val="baseline"/>
                  <w:rPr>
                    <w:szCs w:val="24"/>
                    <w:lang w:eastAsia="lt-LT"/>
                  </w:rPr>
                </w:pPr>
                <w:r>
                  <w:rPr>
                    <w:szCs w:val="24"/>
                    <w:lang w:eastAsia="lt-LT"/>
                  </w:rPr>
                  <w:t>2.11. Didinti kokybiškų ir inovatyvių sveikatos priežiūros paslaugų prieinamumą ir sveikatos atsparumą grėsmėms </w:t>
                </w: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Prevencinėmis priemonėmis išvengiamas mirtingumas (mirusiųjų skaičius 100 tūkst. gyventojų)</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lang w:eastAsia="lt-LT"/>
                  </w:rPr>
                </w:pPr>
                <w:r>
                  <w:rPr>
                    <w:lang w:eastAsia="lt-LT"/>
                  </w:rPr>
                  <w:t>2</w:t>
                </w:r>
                <w:r>
                  <w:rPr>
                    <w:lang w:val="en-GB" w:eastAsia="lt-LT"/>
                  </w:rPr>
                  <w:t>64,94</w:t>
                </w:r>
              </w:p>
              <w:p>
                <w:pPr>
                  <w:jc w:val="center"/>
                  <w:textAlignment w:val="baseline"/>
                  <w:rPr>
                    <w:szCs w:val="24"/>
                    <w:lang w:eastAsia="lt-LT"/>
                  </w:rPr>
                </w:pPr>
                <w:r>
                  <w:rPr>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220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210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200</w:t>
                </w:r>
              </w:p>
            </w:tc>
          </w:tr>
          <w:tr>
            <w:trPr>
              <w:trHeight w:val="885"/>
            </w:trPr>
            <w:tc>
              <w:tcPr>
                <w:tcW w:w="4308" w:type="dxa"/>
                <w:vMerge/>
                <w:tcBorders>
                  <w:left w:val="nil"/>
                  <w:right w:val="nil"/>
                </w:tcBorders>
                <w:shd w:val="clear" w:color="auto" w:fill="auto"/>
                <w:hideMark/>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Gydymo priemonėmis išvengiamas mirtingumas (mirusiųjų skaičius 100 tūkst. gyventojų)</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163,84</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150</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145</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140</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Gyventojų, laukusių greitosios medicinos pagalbos mažiau nei 15 min. esant I reagavimo kategorijos iškvietimui, dalis nuo visų I reagavimo kategorijos iškvietimų (proc.)</w:t>
                </w:r>
              </w:p>
            </w:tc>
            <w:tc>
              <w:tcPr>
                <w:tcW w:w="1604" w:type="dxa"/>
                <w:gridSpan w:val="14"/>
                <w:tcBorders>
                  <w:top w:val="single" w:sz="6" w:space="0" w:color="auto"/>
                  <w:left w:val="nil"/>
                  <w:bottom w:val="single" w:sz="6" w:space="0" w:color="auto"/>
                  <w:right w:val="nil"/>
                </w:tcBorders>
                <w:shd w:val="clear" w:color="auto" w:fill="auto"/>
                <w:vAlign w:val="center"/>
              </w:tcPr>
              <w:p>
                <w:pPr>
                  <w:spacing w:line="256" w:lineRule="auto"/>
                  <w:jc w:val="center"/>
                  <w:textAlignment w:val="baseline"/>
                  <w:rPr>
                    <w:kern w:val="2"/>
                    <w:szCs w:val="24"/>
                    <w:lang w:eastAsia="lt-LT"/>
                    <w14:ligatures w14:val="standardContextual"/>
                  </w:rPr>
                </w:pPr>
                <w:r>
                  <w:rPr>
                    <w:kern w:val="2"/>
                    <w:szCs w:val="24"/>
                    <w:lang w:eastAsia="lt-LT"/>
                    <w14:ligatures w14:val="standardContextual"/>
                  </w:rPr>
                  <w:t>88,7</w:t>
                </w:r>
              </w:p>
              <w:p>
                <w:pPr>
                  <w:jc w:val="center"/>
                  <w:textAlignment w:val="baseline"/>
                  <w:rPr>
                    <w:szCs w:val="24"/>
                    <w:lang w:eastAsia="lt-LT"/>
                  </w:rPr>
                </w:pPr>
                <w:r>
                  <w:rPr>
                    <w:kern w:val="2"/>
                    <w:szCs w:val="24"/>
                    <w:lang w:eastAsia="lt-LT"/>
                    <w14:ligatures w14:val="standardContextual"/>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t>89,3</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t>89,6</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t>89,9</w:t>
                </w:r>
              </w:p>
            </w:tc>
          </w:tr>
          <w:tr>
            <w:trPr>
              <w:gridAfter w:val="18"/>
              <w:wAfter w:w="5515" w:type="dxa"/>
              <w:trHeight w:val="540"/>
            </w:trPr>
            <w:tc>
              <w:tcPr>
                <w:tcW w:w="6246" w:type="dxa"/>
                <w:gridSpan w:val="3"/>
                <w:tcBorders>
                  <w:top w:val="single" w:sz="6" w:space="0" w:color="auto"/>
                  <w:left w:val="nil"/>
                  <w:bottom w:val="single" w:sz="6" w:space="0" w:color="auto"/>
                  <w:right w:val="nil"/>
                </w:tcBorders>
                <w:shd w:val="clear" w:color="auto" w:fill="auto"/>
                <w:vAlign w:val="center"/>
                <w:hideMark/>
              </w:tcPr>
              <w:p>
                <w:pPr>
                  <w:textAlignment w:val="baseline"/>
                  <w:rPr>
                    <w:b/>
                    <w:bCs/>
                    <w:szCs w:val="24"/>
                    <w:lang w:eastAsia="lt-LT"/>
                  </w:rPr>
                </w:pPr>
                <w:r>
                  <w:rPr>
                    <w:b/>
                    <w:bCs/>
                    <w:szCs w:val="24"/>
                    <w:lang w:eastAsia="lt-LT"/>
                  </w:rPr>
                  <w:t xml:space="preserve">XII </w:t>
                </w:r>
                <w:r>
                  <w:rPr>
                    <w:b/>
                    <w:bCs/>
                    <w:color w:val="000000"/>
                    <w:szCs w:val="24"/>
                    <w:lang w:eastAsia="lt-LT"/>
                  </w:rPr>
                  <w:t>SKYRIUS.</w:t>
                </w:r>
                <w:r>
                  <w:rPr>
                    <w:b/>
                    <w:bCs/>
                    <w:szCs w:val="24"/>
                    <w:lang w:eastAsia="lt-LT"/>
                  </w:rPr>
                  <w:t xml:space="preserve"> ŠVIETIMAS, MOKSLAS IR SPORTAS</w:t>
                </w:r>
                <w:r>
                  <w:rPr>
                    <w:szCs w:val="24"/>
                    <w:lang w:eastAsia="lt-LT"/>
                  </w:rPr>
                  <w:t> </w:t>
                </w:r>
              </w:p>
            </w:tc>
            <w:tc>
              <w:tcPr>
                <w:tcW w:w="1277" w:type="dxa"/>
                <w:gridSpan w:val="6"/>
                <w:tcBorders>
                  <w:top w:val="single" w:sz="6" w:space="0" w:color="auto"/>
                  <w:left w:val="nil"/>
                  <w:bottom w:val="single" w:sz="6" w:space="0" w:color="auto"/>
                  <w:right w:val="nil"/>
                </w:tcBorders>
              </w:tcPr>
              <w:p>
                <w:pPr>
                  <w:textAlignment w:val="baseline"/>
                  <w:rPr>
                    <w:b/>
                    <w:bCs/>
                    <w:szCs w:val="24"/>
                    <w:lang w:eastAsia="lt-LT"/>
                  </w:rPr>
                </w:pPr>
              </w:p>
            </w:tc>
            <w:tc>
              <w:tcPr>
                <w:tcW w:w="1280" w:type="dxa"/>
                <w:gridSpan w:val="12"/>
                <w:tcBorders>
                  <w:top w:val="single" w:sz="6" w:space="0" w:color="auto"/>
                  <w:left w:val="nil"/>
                  <w:bottom w:val="single" w:sz="6" w:space="0" w:color="auto"/>
                  <w:right w:val="nil"/>
                </w:tcBorders>
              </w:tcPr>
              <w:p>
                <w:pPr>
                  <w:textAlignment w:val="baseline"/>
                  <w:rPr>
                    <w:b/>
                    <w:bCs/>
                    <w:szCs w:val="24"/>
                    <w:lang w:eastAsia="lt-LT"/>
                  </w:rPr>
                </w:pPr>
              </w:p>
            </w:tc>
          </w:tr>
          <w:tr>
            <w:trPr>
              <w:trHeight w:val="885"/>
            </w:trPr>
            <w:tc>
              <w:tcPr>
                <w:tcW w:w="4308" w:type="dxa"/>
                <w:vMerge w:val="restart"/>
                <w:tcBorders>
                  <w:top w:val="single" w:sz="6" w:space="0" w:color="auto"/>
                  <w:left w:val="nil"/>
                  <w:right w:val="nil"/>
                </w:tcBorders>
                <w:shd w:val="clear" w:color="auto" w:fill="auto"/>
              </w:tcPr>
              <w:p>
                <w:pPr>
                  <w:textAlignment w:val="baseline"/>
                  <w:rPr>
                    <w:szCs w:val="24"/>
                  </w:rPr>
                </w:pPr>
                <w:r>
                  <w:rPr>
                    <w:szCs w:val="24"/>
                    <w:lang w:eastAsia="lt-LT"/>
                  </w:rPr>
                  <w:t xml:space="preserve">1.2. </w:t>
                </w:r>
                <w:r>
                  <w:rPr>
                    <w:szCs w:val="24"/>
                  </w:rPr>
                  <w:t>Kurti aukšto lygio mokslo žinias, didinančias šalies konkurencingumą</w:t>
                </w:r>
              </w:p>
              <w:p>
                <w:pPr>
                  <w:textAlignment w:val="baseline"/>
                  <w:rPr>
                    <w:szCs w:val="24"/>
                  </w:rPr>
                </w:pPr>
                <w:r>
                  <w:rPr>
                    <w:szCs w:val="24"/>
                    <w:lang w:eastAsia="lt-LT"/>
                  </w:rPr>
                  <w:t xml:space="preserve">1.3. </w:t>
                </w:r>
                <w:r>
                  <w:rPr>
                    <w:szCs w:val="24"/>
                  </w:rPr>
                  <w:t xml:space="preserve">Skatinti mokslui imlaus verslo kūrimąsi </w:t>
                </w:r>
                <w:r>
                  <w:rPr>
                    <w:szCs w:val="24"/>
                    <w:shd w:val="clear" w:color="auto" w:fill="FFFFFF"/>
                  </w:rPr>
                  <w:t>bei mokslo ir verslo bendradarbiavimą</w:t>
                </w:r>
                <w:r>
                  <w:rPr>
                    <w:szCs w:val="24"/>
                  </w:rPr>
                  <w:t xml:space="preserve"> ir plėtoti verslumo kultūrą mokslo ir studijų institucijose</w:t>
                </w:r>
              </w:p>
              <w:p>
                <w:pPr>
                  <w:textAlignment w:val="baseline"/>
                  <w:rPr>
                    <w:szCs w:val="24"/>
                  </w:rPr>
                </w:pPr>
                <w:r>
                  <w:rPr>
                    <w:szCs w:val="24"/>
                  </w:rPr>
                  <w:t>3.1. Pagerinti ugdymosi rezultatus ir sumažinti jų atotrūkį</w:t>
                </w:r>
              </w:p>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Nacionalinių mokinių pasiekimų patikrinimų (toliau – NMPP) metu lietuvių kalbos ir literatūros (skaitymo) patenkinamo pasiekimų lygio nepasiekusių ketvirtokų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3,1</w:t>
                </w:r>
              </w:p>
              <w:p>
                <w:pPr>
                  <w:jc w:val="center"/>
                  <w:textAlignment w:val="baseline"/>
                  <w:rPr>
                    <w:szCs w:val="24"/>
                    <w:lang w:eastAsia="lt-LT"/>
                  </w:rPr>
                </w:pPr>
                <w:r>
                  <w:rPr>
                    <w:szCs w:val="24"/>
                    <w:lang w:eastAsia="lt-LT"/>
                  </w:rPr>
                  <w:t>(2024)</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3</w:t>
                </w:r>
              </w:p>
            </w:tc>
          </w:tr>
          <w:tr>
            <w:trPr>
              <w:trHeight w:val="885"/>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NMPP metu matematikos patenkinamo pasiekimų lygio nepasiekusių ketvirtokų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1,6</w:t>
                </w:r>
              </w:p>
              <w:p>
                <w:pPr>
                  <w:jc w:val="center"/>
                  <w:textAlignment w:val="baseline"/>
                  <w:rPr>
                    <w:szCs w:val="24"/>
                    <w:lang w:eastAsia="lt-LT"/>
                  </w:rPr>
                </w:pPr>
                <w:r>
                  <w:rPr>
                    <w:szCs w:val="24"/>
                    <w:lang w:eastAsia="lt-LT"/>
                  </w:rPr>
                  <w:t>(2024)</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1,5</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1,5</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1,5</w:t>
                </w:r>
              </w:p>
            </w:tc>
          </w:tr>
          <w:tr>
            <w:trPr>
              <w:trHeight w:val="885"/>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NMPP metu lietuvių kalbos ir literatūros (skaitymo) patenkinamo pasiekimų lygio nepasiekusių aštuntokų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0,5</w:t>
                </w:r>
              </w:p>
              <w:p>
                <w:pPr>
                  <w:jc w:val="center"/>
                  <w:textAlignment w:val="baseline"/>
                  <w:rPr>
                    <w:szCs w:val="24"/>
                    <w:lang w:eastAsia="lt-LT"/>
                  </w:rPr>
                </w:pPr>
                <w:r>
                  <w:rPr>
                    <w:szCs w:val="24"/>
                    <w:lang w:eastAsia="lt-LT"/>
                  </w:rPr>
                  <w:t>(2024)</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0,5</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0,5</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0,5</w:t>
                </w:r>
              </w:p>
            </w:tc>
          </w:tr>
          <w:tr>
            <w:trPr>
              <w:trHeight w:val="885"/>
            </w:trPr>
            <w:tc>
              <w:tcPr>
                <w:tcW w:w="4308" w:type="dxa"/>
                <w:vMerge/>
                <w:tcBorders>
                  <w:left w:val="nil"/>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NMPP metu matematikos patenkinamo pasiekimų lygio nepasiekusių aštuntokų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10,2</w:t>
                </w:r>
              </w:p>
              <w:p>
                <w:pPr>
                  <w:jc w:val="center"/>
                  <w:textAlignment w:val="baseline"/>
                  <w:rPr>
                    <w:szCs w:val="24"/>
                    <w:lang w:eastAsia="lt-LT"/>
                  </w:rPr>
                </w:pPr>
                <w:r>
                  <w:rPr>
                    <w:szCs w:val="24"/>
                    <w:lang w:eastAsia="lt-LT"/>
                  </w:rPr>
                  <w:t>(2024)</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10,0</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9,5</w:t>
                </w: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lang w:eastAsia="lt-LT"/>
                  </w:rPr>
                </w:pPr>
                <w:r>
                  <w:rPr>
                    <w:color w:val="000000"/>
                    <w:szCs w:val="24"/>
                    <w:lang w:eastAsia="lt-LT"/>
                  </w:rPr>
                  <w:t>9,0</w:t>
                </w:r>
              </w:p>
            </w:tc>
          </w:tr>
          <w:tr>
            <w:trPr>
              <w:gridAfter w:val="5"/>
              <w:wAfter w:w="3605" w:type="dxa"/>
              <w:trHeight w:val="525"/>
            </w:trPr>
            <w:tc>
              <w:tcPr>
                <w:tcW w:w="8156" w:type="dxa"/>
                <w:gridSpan w:val="15"/>
                <w:tcBorders>
                  <w:top w:val="single" w:sz="6" w:space="0" w:color="auto"/>
                  <w:left w:val="nil"/>
                  <w:bottom w:val="single" w:sz="6" w:space="0" w:color="auto"/>
                  <w:right w:val="nil"/>
                </w:tcBorders>
                <w:shd w:val="clear" w:color="auto" w:fill="auto"/>
                <w:vAlign w:val="center"/>
              </w:tcPr>
              <w:p>
                <w:pPr>
                  <w:textAlignment w:val="baseline"/>
                  <w:rPr>
                    <w:b/>
                    <w:bCs/>
                    <w:szCs w:val="24"/>
                    <w:lang w:eastAsia="lt-LT"/>
                  </w:rPr>
                </w:pPr>
                <w:r>
                  <w:rPr>
                    <w:b/>
                    <w:bCs/>
                    <w:szCs w:val="24"/>
                    <w:lang w:eastAsia="lt-LT"/>
                  </w:rPr>
                  <w:t>XIII SKYRIUS. TEISINGUMAS  </w:t>
                </w:r>
              </w:p>
            </w:tc>
            <w:tc>
              <w:tcPr>
                <w:tcW w:w="1280" w:type="dxa"/>
                <w:gridSpan w:val="11"/>
                <w:tcBorders>
                  <w:top w:val="single" w:sz="6" w:space="0" w:color="auto"/>
                  <w:left w:val="nil"/>
                  <w:bottom w:val="single" w:sz="6" w:space="0" w:color="auto"/>
                  <w:right w:val="nil"/>
                </w:tcBorders>
              </w:tcPr>
              <w:p>
                <w:pPr>
                  <w:textAlignment w:val="baseline"/>
                  <w:rPr>
                    <w:b/>
                    <w:bCs/>
                    <w:szCs w:val="24"/>
                    <w:lang w:eastAsia="lt-LT"/>
                  </w:rPr>
                </w:pPr>
              </w:p>
            </w:tc>
            <w:tc>
              <w:tcPr>
                <w:tcW w:w="1277" w:type="dxa"/>
                <w:gridSpan w:val="8"/>
                <w:tcBorders>
                  <w:top w:val="single" w:sz="6" w:space="0" w:color="auto"/>
                  <w:left w:val="nil"/>
                  <w:bottom w:val="single" w:sz="6" w:space="0" w:color="auto"/>
                  <w:right w:val="nil"/>
                </w:tcBorders>
              </w:tcPr>
              <w:p>
                <w:pPr>
                  <w:textAlignment w:val="baseline"/>
                  <w:rPr>
                    <w:b/>
                    <w:bCs/>
                    <w:szCs w:val="24"/>
                    <w:lang w:eastAsia="lt-LT"/>
                  </w:rPr>
                </w:pPr>
              </w:p>
            </w:tc>
          </w:tr>
          <w:tr>
            <w:trPr>
              <w:trHeight w:val="885"/>
            </w:trPr>
            <w:tc>
              <w:tcPr>
                <w:tcW w:w="4308" w:type="dxa"/>
                <w:vMerge w:val="restart"/>
                <w:tcBorders>
                  <w:top w:val="single" w:sz="6" w:space="0" w:color="auto"/>
                  <w:left w:val="nil"/>
                  <w:right w:val="nil"/>
                </w:tcBorders>
                <w:shd w:val="clear" w:color="auto" w:fill="auto"/>
                <w:hideMark/>
              </w:tcPr>
              <w:p>
                <w:pPr>
                  <w:textAlignment w:val="baseline"/>
                  <w:rPr>
                    <w:color w:val="000000"/>
                    <w:szCs w:val="24"/>
                    <w:lang w:eastAsia="lt-LT"/>
                  </w:rPr>
                </w:pPr>
                <w:r>
                  <w:rPr>
                    <w:szCs w:val="24"/>
                    <w:lang w:eastAsia="lt-LT"/>
                  </w:rPr>
                  <w:t xml:space="preserve">8.1. </w:t>
                </w:r>
                <w:r>
                  <w:rPr>
                    <w:color w:val="000000"/>
                    <w:szCs w:val="24"/>
                    <w:shd w:val="clear" w:color="auto" w:fill="FFFFFF"/>
                    <w:lang w:eastAsia="lt-LT"/>
                  </w:rPr>
                  <w:t>Didinti teisingumo sistemos efektyvumą ir veiksmingumą</w:t>
                </w:r>
                <w:r>
                  <w:rPr>
                    <w:color w:val="000000"/>
                    <w:szCs w:val="24"/>
                    <w:lang w:eastAsia="lt-LT"/>
                  </w:rPr>
                  <w:t> </w:t>
                </w:r>
              </w:p>
              <w:p>
                <w:pPr>
                  <w:textAlignment w:val="baseline"/>
                  <w:rPr>
                    <w:szCs w:val="24"/>
                    <w:lang w:eastAsia="lt-LT"/>
                  </w:rPr>
                </w:pPr>
                <w:r>
                  <w:rPr>
                    <w:szCs w:val="24"/>
                    <w:lang w:eastAsia="lt-LT"/>
                  </w:rPr>
                  <w:t>8.2. Didinti bausmių vykdymo sistemos efektyvumą</w:t>
                </w: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color w:val="000000"/>
                    <w:szCs w:val="24"/>
                    <w:shd w:val="clear" w:color="auto" w:fill="FFFFFF"/>
                    <w:lang w:eastAsia="lt-LT"/>
                  </w:rPr>
                  <w:t>Lietuvos laisvės atėmimo vietose laikomų asmenų skaičius 100 tūkst. gyventojų (vnt.)</w:t>
                </w:r>
                <w:r>
                  <w:rPr>
                    <w:color w:val="000000"/>
                    <w:szCs w:val="24"/>
                    <w:lang w:eastAsia="lt-LT"/>
                  </w:rPr>
                  <w:t> </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158</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shd w:val="clear" w:color="auto" w:fill="FFFFFF"/>
                    <w:lang w:eastAsia="lt-LT"/>
                  </w:rPr>
                </w:pPr>
                <w:r>
                  <w:rPr>
                    <w:color w:val="000000"/>
                    <w:szCs w:val="24"/>
                    <w:shd w:val="clear" w:color="auto" w:fill="FFFFFF"/>
                    <w:lang w:eastAsia="lt-LT"/>
                  </w:rPr>
                  <w:t>149</w:t>
                </w:r>
              </w:p>
              <w:p>
                <w:pPr>
                  <w:jc w:val="center"/>
                  <w:textAlignment w:val="baseline"/>
                  <w:rPr>
                    <w:color w:val="000000"/>
                    <w:szCs w:val="24"/>
                    <w:shd w:val="clear" w:color="auto" w:fill="FFFFFF"/>
                    <w:lang w:eastAsia="lt-LT"/>
                  </w:rPr>
                </w:pP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shd w:val="clear" w:color="auto" w:fill="FFFFFF"/>
                    <w:lang w:eastAsia="lt-LT"/>
                  </w:rPr>
                </w:pPr>
                <w:r>
                  <w:rPr>
                    <w:color w:val="000000"/>
                    <w:szCs w:val="24"/>
                    <w:shd w:val="clear" w:color="auto" w:fill="FFFFFF"/>
                    <w:lang w:eastAsia="lt-LT"/>
                  </w:rPr>
                  <w:t>147</w:t>
                </w:r>
              </w:p>
              <w:p>
                <w:pPr>
                  <w:jc w:val="center"/>
                  <w:textAlignment w:val="baseline"/>
                  <w:rPr>
                    <w:color w:val="000000"/>
                    <w:szCs w:val="24"/>
                    <w:shd w:val="clear" w:color="auto" w:fill="FFFFFF"/>
                    <w:lang w:eastAsia="lt-LT"/>
                  </w:rPr>
                </w:pP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shd w:val="clear" w:color="auto" w:fill="FFFFFF"/>
                    <w:lang w:eastAsia="lt-LT"/>
                  </w:rPr>
                </w:pPr>
                <w:r>
                  <w:rPr>
                    <w:color w:val="000000"/>
                    <w:szCs w:val="24"/>
                    <w:shd w:val="clear" w:color="auto" w:fill="FFFFFF"/>
                    <w:lang w:eastAsia="lt-LT"/>
                  </w:rPr>
                  <w:t>145</w:t>
                </w:r>
              </w:p>
              <w:p>
                <w:pPr>
                  <w:jc w:val="center"/>
                  <w:textAlignment w:val="baseline"/>
                  <w:rPr>
                    <w:color w:val="000000"/>
                    <w:szCs w:val="24"/>
                    <w:shd w:val="clear" w:color="auto" w:fill="FFFFFF"/>
                    <w:lang w:eastAsia="lt-LT"/>
                  </w:rPr>
                </w:pP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color w:val="000000"/>
                    <w:szCs w:val="24"/>
                    <w:shd w:val="clear" w:color="auto" w:fill="FFFFFF"/>
                    <w:lang w:eastAsia="lt-LT"/>
                  </w:rPr>
                </w:pPr>
                <w:r>
                  <w:rPr>
                    <w:color w:val="000000"/>
                    <w:szCs w:val="24"/>
                    <w:shd w:val="clear" w:color="auto" w:fill="FFFFFF"/>
                    <w:lang w:eastAsia="lt-LT"/>
                  </w:rPr>
                  <w:t>Asmenų, per 2 metus nuo paleidimo grįžusių į laisvės atėmimo vietas, dalis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22,7</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color w:val="000000"/>
                    <w:szCs w:val="24"/>
                    <w:shd w:val="clear" w:color="auto" w:fill="FFFFFF"/>
                    <w:lang w:eastAsia="lt-LT"/>
                  </w:rPr>
                </w:pPr>
                <w:r>
                  <w:rPr>
                    <w:color w:val="000000"/>
                    <w:szCs w:val="24"/>
                    <w:shd w:val="clear" w:color="auto" w:fill="FFFFFF"/>
                    <w:lang w:eastAsia="lt-LT"/>
                  </w:rPr>
                  <w:t>21,6</w:t>
                </w:r>
              </w:p>
              <w:p>
                <w:pPr>
                  <w:jc w:val="center"/>
                  <w:textAlignment w:val="baseline"/>
                  <w:rPr>
                    <w:color w:val="000000"/>
                    <w:szCs w:val="24"/>
                    <w:shd w:val="clear" w:color="auto" w:fill="FFFFFF"/>
                    <w:lang w:eastAsia="lt-LT"/>
                  </w:rPr>
                </w:pP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shd w:val="clear" w:color="auto" w:fill="FFFFFF"/>
                    <w:lang w:eastAsia="lt-LT"/>
                  </w:rPr>
                </w:pPr>
                <w:r>
                  <w:rPr>
                    <w:color w:val="000000"/>
                    <w:szCs w:val="24"/>
                    <w:shd w:val="clear" w:color="auto" w:fill="FFFFFF"/>
                    <w:lang w:eastAsia="lt-LT"/>
                  </w:rPr>
                  <w:t>21,3</w:t>
                </w:r>
              </w:p>
              <w:p>
                <w:pPr>
                  <w:jc w:val="center"/>
                  <w:textAlignment w:val="baseline"/>
                  <w:rPr>
                    <w:color w:val="000000"/>
                    <w:szCs w:val="24"/>
                    <w:shd w:val="clear" w:color="auto" w:fill="FFFFFF"/>
                    <w:lang w:eastAsia="lt-LT"/>
                  </w:rPr>
                </w:pPr>
              </w:p>
            </w:tc>
            <w:tc>
              <w:tcPr>
                <w:tcW w:w="1620" w:type="dxa"/>
                <w:tcBorders>
                  <w:top w:val="single" w:sz="6" w:space="0" w:color="auto"/>
                  <w:left w:val="nil"/>
                  <w:bottom w:val="single" w:sz="6" w:space="0" w:color="auto"/>
                  <w:right w:val="nil"/>
                </w:tcBorders>
                <w:vAlign w:val="center"/>
              </w:tcPr>
              <w:p>
                <w:pPr>
                  <w:jc w:val="center"/>
                  <w:textAlignment w:val="baseline"/>
                  <w:rPr>
                    <w:color w:val="000000"/>
                    <w:szCs w:val="24"/>
                    <w:shd w:val="clear" w:color="auto" w:fill="FFFFFF"/>
                    <w:lang w:eastAsia="lt-LT"/>
                  </w:rPr>
                </w:pPr>
                <w:r>
                  <w:rPr>
                    <w:color w:val="000000"/>
                    <w:szCs w:val="24"/>
                    <w:shd w:val="clear" w:color="auto" w:fill="FFFFFF"/>
                    <w:lang w:eastAsia="lt-LT"/>
                  </w:rPr>
                  <w:t>21</w:t>
                </w:r>
              </w:p>
              <w:p>
                <w:pPr>
                  <w:jc w:val="center"/>
                  <w:textAlignment w:val="baseline"/>
                  <w:rPr>
                    <w:color w:val="000000"/>
                    <w:szCs w:val="24"/>
                    <w:shd w:val="clear" w:color="auto" w:fill="FFFFFF"/>
                    <w:lang w:eastAsia="lt-LT"/>
                  </w:rPr>
                </w:pPr>
              </w:p>
            </w:tc>
          </w:tr>
          <w:tr>
            <w:trPr>
              <w:gridAfter w:val="6"/>
              <w:wAfter w:w="3686" w:type="dxa"/>
              <w:trHeight w:val="495"/>
            </w:trPr>
            <w:tc>
              <w:tcPr>
                <w:tcW w:w="8075" w:type="dxa"/>
                <w:gridSpan w:val="14"/>
                <w:tcBorders>
                  <w:top w:val="single" w:sz="6" w:space="0" w:color="auto"/>
                  <w:left w:val="nil"/>
                  <w:bottom w:val="single" w:sz="6" w:space="0" w:color="auto"/>
                  <w:right w:val="nil"/>
                </w:tcBorders>
                <w:shd w:val="clear" w:color="auto" w:fill="auto"/>
                <w:vAlign w:val="center"/>
                <w:hideMark/>
              </w:tcPr>
              <w:p>
                <w:pPr>
                  <w:textAlignment w:val="baseline"/>
                  <w:rPr>
                    <w:b/>
                    <w:bCs/>
                    <w:szCs w:val="24"/>
                    <w:lang w:eastAsia="lt-LT"/>
                  </w:rPr>
                </w:pPr>
                <w:r>
                  <w:rPr>
                    <w:b/>
                    <w:bCs/>
                    <w:szCs w:val="24"/>
                    <w:lang w:eastAsia="lt-LT"/>
                  </w:rPr>
                  <w:t>XIV SKYRIUS. UŽSIENIO POLITIKA  </w:t>
                </w:r>
              </w:p>
            </w:tc>
            <w:tc>
              <w:tcPr>
                <w:tcW w:w="1280" w:type="dxa"/>
                <w:gridSpan w:val="11"/>
                <w:tcBorders>
                  <w:top w:val="single" w:sz="6" w:space="0" w:color="auto"/>
                  <w:left w:val="nil"/>
                  <w:bottom w:val="single" w:sz="6" w:space="0" w:color="auto"/>
                  <w:right w:val="nil"/>
                </w:tcBorders>
              </w:tcPr>
              <w:p>
                <w:pPr>
                  <w:textAlignment w:val="baseline"/>
                  <w:rPr>
                    <w:b/>
                    <w:bCs/>
                    <w:szCs w:val="24"/>
                    <w:lang w:eastAsia="lt-LT"/>
                  </w:rPr>
                </w:pPr>
              </w:p>
            </w:tc>
            <w:tc>
              <w:tcPr>
                <w:tcW w:w="1277" w:type="dxa"/>
                <w:gridSpan w:val="8"/>
                <w:tcBorders>
                  <w:top w:val="single" w:sz="6" w:space="0" w:color="auto"/>
                  <w:left w:val="nil"/>
                  <w:bottom w:val="single" w:sz="6" w:space="0" w:color="auto"/>
                  <w:right w:val="nil"/>
                </w:tcBorders>
              </w:tcPr>
              <w:p>
                <w:pPr>
                  <w:textAlignment w:val="baseline"/>
                  <w:rPr>
                    <w:b/>
                    <w:bCs/>
                    <w:szCs w:val="24"/>
                    <w:lang w:eastAsia="lt-LT"/>
                  </w:rPr>
                </w:pPr>
              </w:p>
            </w:tc>
          </w:tr>
          <w:tr>
            <w:trPr>
              <w:trHeight w:val="885"/>
            </w:trPr>
            <w:tc>
              <w:tcPr>
                <w:tcW w:w="4308" w:type="dxa"/>
                <w:vMerge w:val="restart"/>
                <w:tcBorders>
                  <w:top w:val="single" w:sz="6" w:space="0" w:color="auto"/>
                  <w:left w:val="nil"/>
                  <w:right w:val="nil"/>
                </w:tcBorders>
                <w:shd w:val="clear" w:color="auto" w:fill="auto"/>
                <w:hideMark/>
              </w:tcPr>
              <w:p>
                <w:pPr>
                  <w:textAlignment w:val="baseline"/>
                  <w:rPr>
                    <w:szCs w:val="24"/>
                    <w:lang w:eastAsia="lt-LT"/>
                  </w:rPr>
                </w:pPr>
                <w:r>
                  <w:rPr>
                    <w:szCs w:val="24"/>
                    <w:lang w:eastAsia="lt-LT"/>
                  </w:rPr>
                  <w:t>9.1. Stiprinti atstovavimą Lietuvos interesams tarptautinėje erdvėje ir diasporos politiką </w:t>
                </w:r>
              </w:p>
            </w:tc>
            <w:tc>
              <w:tcPr>
                <w:tcW w:w="3620" w:type="dxa"/>
                <w:gridSpan w:val="12"/>
                <w:tcBorders>
                  <w:top w:val="single" w:sz="6" w:space="0" w:color="auto"/>
                  <w:left w:val="nil"/>
                  <w:bottom w:val="single" w:sz="6" w:space="0" w:color="auto"/>
                  <w:right w:val="nil"/>
                </w:tcBorders>
                <w:shd w:val="clear" w:color="auto" w:fill="auto"/>
                <w:hideMark/>
              </w:tcPr>
              <w:p>
                <w:pPr>
                  <w:textAlignment w:val="baseline"/>
                  <w:rPr>
                    <w:szCs w:val="24"/>
                    <w:lang w:eastAsia="lt-LT"/>
                  </w:rPr>
                </w:pPr>
                <w:r>
                  <w:rPr>
                    <w:szCs w:val="24"/>
                    <w:lang w:eastAsia="lt-LT"/>
                  </w:rPr>
                  <w:t>Oficialios paramos vystymuisi kriterijus atitinkančių vystomojo bendradarbiavimo veiklų finansavimo apimtis, bendrųjų nacionalinių pajamų dalis</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val="en-GB" w:eastAsia="lt-LT"/>
                  </w:rPr>
                </w:pPr>
                <w:r>
                  <w:rPr>
                    <w:szCs w:val="24"/>
                    <w:lang w:eastAsia="lt-LT"/>
                  </w:rPr>
                  <w:t>0</w:t>
                </w:r>
                <w:r>
                  <w:rPr>
                    <w:szCs w:val="24"/>
                    <w:lang w:val="en-GB" w:eastAsia="lt-LT"/>
                  </w:rPr>
                  <w:t>,28</w:t>
                </w:r>
              </w:p>
              <w:p>
                <w:pPr>
                  <w:jc w:val="center"/>
                  <w:textAlignment w:val="baseline"/>
                  <w:rPr>
                    <w:szCs w:val="24"/>
                    <w:lang w:eastAsia="lt-LT"/>
                  </w:rPr>
                </w:pPr>
                <w:r>
                  <w:rPr>
                    <w:szCs w:val="24"/>
                    <w:lang w:val="en-GB"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0,22</w:t>
                </w:r>
              </w:p>
              <w:p>
                <w:pPr>
                  <w:jc w:val="center"/>
                  <w:textAlignment w:val="baseline"/>
                  <w:rPr>
                    <w:szCs w:val="24"/>
                    <w:lang w:eastAsia="lt-LT"/>
                  </w:rPr>
                </w:pPr>
                <w:r>
                  <w:rPr>
                    <w:szCs w:val="24"/>
                    <w:lang w:eastAsia="lt-LT"/>
                  </w:rPr>
                  <w:t>(6 pastaba)</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0,24</w:t>
                </w:r>
              </w:p>
              <w:p>
                <w:pPr>
                  <w:jc w:val="center"/>
                  <w:textAlignment w:val="baseline"/>
                  <w:rPr>
                    <w:szCs w:val="24"/>
                    <w:lang w:eastAsia="lt-LT"/>
                  </w:rPr>
                </w:pPr>
                <w:r>
                  <w:rPr>
                    <w:szCs w:val="24"/>
                    <w:lang w:eastAsia="lt-LT"/>
                  </w:rPr>
                  <w:t>(6 pastaba)</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0,26</w:t>
                </w:r>
              </w:p>
              <w:p>
                <w:pPr>
                  <w:jc w:val="center"/>
                  <w:textAlignment w:val="baseline"/>
                  <w:rPr>
                    <w:szCs w:val="24"/>
                    <w:lang w:eastAsia="lt-LT"/>
                  </w:rPr>
                </w:pPr>
                <w:r>
                  <w:rPr>
                    <w:szCs w:val="24"/>
                    <w:lang w:eastAsia="lt-LT"/>
                  </w:rPr>
                  <w:t>(6 pastaba)</w:t>
                </w:r>
              </w:p>
            </w:tc>
          </w:tr>
          <w:tr>
            <w:trPr>
              <w:trHeight w:val="885"/>
            </w:trPr>
            <w:tc>
              <w:tcPr>
                <w:tcW w:w="4308" w:type="dxa"/>
                <w:vMerge/>
                <w:tcBorders>
                  <w:left w:val="nil"/>
                  <w:bottom w:val="single" w:sz="6" w:space="0" w:color="auto"/>
                  <w:right w:val="nil"/>
                </w:tcBorders>
                <w:shd w:val="clear" w:color="auto" w:fill="auto"/>
              </w:tcPr>
              <w:p>
                <w:pPr>
                  <w:textAlignment w:val="baseline"/>
                  <w:rPr>
                    <w:szCs w:val="24"/>
                    <w:lang w:eastAsia="lt-LT"/>
                  </w:rPr>
                </w:pP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lang w:eastAsia="lt-LT"/>
                  </w:rPr>
                  <w:t>Lietuvos ir Lietuvos atstovų, išrinktų į tarptautinių organizacijų vadovaujančias ar ekspertines pareigas, skaičius</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eastAsia="lt-LT"/>
                  </w:rPr>
                  <w:t>9</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10</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8</w:t>
                </w:r>
              </w:p>
              <w:p>
                <w:pPr>
                  <w:jc w:val="center"/>
                  <w:textAlignment w:val="baseline"/>
                  <w:rPr>
                    <w:szCs w:val="24"/>
                    <w:lang w:eastAsia="lt-LT"/>
                  </w:rPr>
                </w:pPr>
                <w:r>
                  <w:rPr>
                    <w:szCs w:val="24"/>
                    <w:lang w:eastAsia="lt-LT"/>
                  </w:rPr>
                  <w:t>(7 pastaba)</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8</w:t>
                </w:r>
              </w:p>
              <w:p>
                <w:pPr>
                  <w:jc w:val="center"/>
                  <w:textAlignment w:val="baseline"/>
                  <w:rPr>
                    <w:szCs w:val="24"/>
                    <w:lang w:eastAsia="lt-LT"/>
                  </w:rPr>
                </w:pPr>
                <w:r>
                  <w:rPr>
                    <w:szCs w:val="24"/>
                    <w:lang w:eastAsia="lt-LT"/>
                  </w:rPr>
                  <w:t>(7 pastaba)</w:t>
                </w:r>
              </w:p>
            </w:tc>
          </w:tr>
          <w:tr>
            <w:trPr>
              <w:gridAfter w:val="19"/>
              <w:wAfter w:w="5606" w:type="dxa"/>
              <w:trHeight w:val="435"/>
            </w:trPr>
            <w:tc>
              <w:tcPr>
                <w:tcW w:w="6152" w:type="dxa"/>
                <w:gridSpan w:val="2"/>
                <w:tcBorders>
                  <w:top w:val="single" w:sz="6" w:space="0" w:color="auto"/>
                  <w:left w:val="nil"/>
                  <w:bottom w:val="single" w:sz="6" w:space="0" w:color="auto"/>
                  <w:right w:val="nil"/>
                </w:tcBorders>
                <w:shd w:val="clear" w:color="auto" w:fill="auto"/>
                <w:vAlign w:val="center"/>
                <w:hideMark/>
              </w:tcPr>
              <w:p>
                <w:pPr>
                  <w:textAlignment w:val="baseline"/>
                  <w:rPr>
                    <w:b/>
                    <w:bCs/>
                    <w:szCs w:val="24"/>
                    <w:lang w:eastAsia="lt-LT"/>
                  </w:rPr>
                </w:pPr>
                <w:r>
                  <w:rPr>
                    <w:b/>
                    <w:bCs/>
                    <w:szCs w:val="24"/>
                    <w:lang w:eastAsia="lt-LT"/>
                  </w:rPr>
                  <w:t xml:space="preserve">XV </w:t>
                </w:r>
                <w:r>
                  <w:rPr>
                    <w:b/>
                    <w:bCs/>
                    <w:color w:val="000000"/>
                    <w:szCs w:val="24"/>
                    <w:lang w:eastAsia="lt-LT"/>
                  </w:rPr>
                  <w:t>SKYRIUS.</w:t>
                </w:r>
                <w:r>
                  <w:rPr>
                    <w:b/>
                    <w:bCs/>
                    <w:szCs w:val="24"/>
                    <w:lang w:eastAsia="lt-LT"/>
                  </w:rPr>
                  <w:t xml:space="preserve"> ŽEMĖS IR MAISTO ŪKIS, KAIMO PLĖTRA, ŽUVININKYSTĖ IR VETERINARIJA </w:t>
                </w:r>
              </w:p>
            </w:tc>
            <w:tc>
              <w:tcPr>
                <w:tcW w:w="1280" w:type="dxa"/>
                <w:gridSpan w:val="6"/>
                <w:tcBorders>
                  <w:top w:val="single" w:sz="6" w:space="0" w:color="auto"/>
                  <w:left w:val="nil"/>
                  <w:bottom w:val="single" w:sz="6" w:space="0" w:color="auto"/>
                  <w:right w:val="nil"/>
                </w:tcBorders>
              </w:tcPr>
              <w:p>
                <w:pPr>
                  <w:textAlignment w:val="baseline"/>
                  <w:rPr>
                    <w:b/>
                    <w:bCs/>
                    <w:szCs w:val="24"/>
                    <w:lang w:eastAsia="lt-LT"/>
                  </w:rPr>
                </w:pPr>
              </w:p>
            </w:tc>
            <w:tc>
              <w:tcPr>
                <w:tcW w:w="1280" w:type="dxa"/>
                <w:gridSpan w:val="12"/>
                <w:tcBorders>
                  <w:top w:val="single" w:sz="6" w:space="0" w:color="auto"/>
                  <w:left w:val="nil"/>
                  <w:bottom w:val="single" w:sz="6" w:space="0" w:color="auto"/>
                  <w:right w:val="nil"/>
                </w:tcBorders>
              </w:tcPr>
              <w:p>
                <w:pPr>
                  <w:textAlignment w:val="baseline"/>
                  <w:rPr>
                    <w:b/>
                    <w:bCs/>
                    <w:szCs w:val="24"/>
                    <w:lang w:eastAsia="lt-LT"/>
                  </w:rPr>
                </w:pPr>
              </w:p>
            </w:tc>
          </w:tr>
          <w:tr>
            <w:trPr>
              <w:trHeight w:val="885"/>
            </w:trPr>
            <w:tc>
              <w:tcPr>
                <w:tcW w:w="4308" w:type="dxa"/>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1.14. Didinti žemės ūkio, maisto pramonės, žuvininkystės sektoriuose sukuriamą pridėtinę vertę bei konkurencingumą</w:t>
                </w:r>
              </w:p>
            </w:tc>
            <w:tc>
              <w:tcPr>
                <w:tcW w:w="3620" w:type="dxa"/>
                <w:gridSpan w:val="12"/>
                <w:tcBorders>
                  <w:top w:val="single" w:sz="6" w:space="0" w:color="auto"/>
                  <w:left w:val="nil"/>
                  <w:bottom w:val="single" w:sz="6" w:space="0" w:color="auto"/>
                  <w:right w:val="nil"/>
                </w:tcBorders>
                <w:shd w:val="clear" w:color="auto" w:fill="auto"/>
              </w:tcPr>
              <w:p>
                <w:pPr>
                  <w:textAlignment w:val="baseline"/>
                  <w:rPr>
                    <w:szCs w:val="24"/>
                    <w:lang w:eastAsia="lt-LT"/>
                  </w:rPr>
                </w:pPr>
                <w:r>
                  <w:rPr>
                    <w:szCs w:val="24"/>
                    <w:lang w:eastAsia="lt-LT"/>
                  </w:rPr>
                  <w:t>Lietuviškos kilmės perdirbtų žemės ūkio produktų eksportas, dalis nuo viso žemės ūkio ir maisto produktų eksporto (proc.)</w:t>
                </w:r>
              </w:p>
            </w:tc>
            <w:tc>
              <w:tcPr>
                <w:tcW w:w="1604" w:type="dxa"/>
                <w:gridSpan w:val="14"/>
                <w:tcBorders>
                  <w:top w:val="single" w:sz="6" w:space="0" w:color="auto"/>
                  <w:left w:val="nil"/>
                  <w:bottom w:val="single" w:sz="6" w:space="0" w:color="auto"/>
                  <w:right w:val="nil"/>
                </w:tcBorders>
                <w:shd w:val="clear" w:color="auto" w:fill="auto"/>
                <w:vAlign w:val="center"/>
              </w:tcPr>
              <w:p>
                <w:pPr>
                  <w:jc w:val="center"/>
                  <w:textAlignment w:val="baseline"/>
                  <w:rPr>
                    <w:szCs w:val="24"/>
                    <w:lang w:eastAsia="lt-LT"/>
                  </w:rPr>
                </w:pPr>
                <w:r>
                  <w:rPr>
                    <w:szCs w:val="24"/>
                    <w:lang w:val="en-GB" w:eastAsia="lt-LT"/>
                  </w:rPr>
                  <w:t>44</w:t>
                </w:r>
              </w:p>
              <w:p>
                <w:pPr>
                  <w:jc w:val="center"/>
                  <w:textAlignment w:val="baseline"/>
                  <w:rPr>
                    <w:szCs w:val="24"/>
                    <w:lang w:eastAsia="lt-LT"/>
                  </w:rPr>
                </w:pPr>
                <w:r>
                  <w:rPr>
                    <w:szCs w:val="24"/>
                    <w:lang w:eastAsia="lt-LT"/>
                  </w:rPr>
                  <w:t>(2023)</w:t>
                </w:r>
              </w:p>
            </w:tc>
            <w:tc>
              <w:tcPr>
                <w:tcW w:w="1546" w:type="dxa"/>
                <w:gridSpan w:val="10"/>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val="en-GB" w:eastAsia="lt-LT"/>
                  </w:rPr>
                  <w:t>45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45,5</w:t>
                </w:r>
              </w:p>
            </w:tc>
            <w:tc>
              <w:tcPr>
                <w:tcW w:w="1620" w:type="dxa"/>
                <w:tcBorders>
                  <w:top w:val="single" w:sz="6" w:space="0" w:color="auto"/>
                  <w:left w:val="nil"/>
                  <w:bottom w:val="single" w:sz="6" w:space="0" w:color="auto"/>
                  <w:right w:val="nil"/>
                </w:tcBorders>
                <w:vAlign w:val="center"/>
              </w:tcPr>
              <w:p>
                <w:pPr>
                  <w:jc w:val="center"/>
                  <w:textAlignment w:val="baseline"/>
                  <w:rPr>
                    <w:szCs w:val="24"/>
                    <w:lang w:eastAsia="lt-LT"/>
                  </w:rPr>
                </w:pPr>
                <w:r>
                  <w:rPr>
                    <w:szCs w:val="24"/>
                    <w:lang w:eastAsia="lt-LT"/>
                  </w:rPr>
                  <w:t>46</w:t>
                </w:r>
              </w:p>
            </w:tc>
          </w:tr>
        </w:tbl>
        <w:p>
          <w:pPr>
            <w:jc w:val="both"/>
            <w:rPr>
              <w:szCs w:val="24"/>
              <w:lang w:eastAsia="lt-LT"/>
            </w:rPr>
          </w:pPr>
          <w:r>
            <w:rPr>
              <w:szCs w:val="24"/>
              <w:lang w:eastAsia="lt-LT"/>
            </w:rPr>
            <w:t>Pastabos:</w:t>
          </w:r>
        </w:p>
        <w:sdt>
          <w:sdtPr>
            <w:alias w:val="10 pr. 1 p."/>
            <w:tag w:val="part_109607790f334facaf7167696e804af4"/>
            <w:lock w:val="sdtLocked"/>
            <w:richText/>
          </w:sdtPr>
          <w:sdtContent>
            <w:p>
              <w:pPr>
                <w:ind w:left="720" w:hanging="360"/>
                <w:jc w:val="both"/>
                <w:rPr>
                  <w:szCs w:val="24"/>
                  <w:lang w:eastAsia="lt-LT"/>
                </w:rPr>
              </w:pPr>
              <w:sdt>
                <w:sdtPr>
                  <w:alias w:val="Numeris"/>
                  <w:tag w:val="nr_109607790f334facaf7167696e804af4"/>
                  <w:lock w:val="sdtLocked"/>
                  <w:richText/>
                </w:sdtPr>
                <w:sdtContent>
                  <w:r>
                    <w:rPr>
                      <w:bCs/>
                      <w:szCs w:val="24"/>
                      <w:lang w:eastAsia="lt-LT"/>
                    </w:rPr>
                    <w:t>1</w:t>
                  </w:r>
                </w:sdtContent>
              </w:sdt>
              <w:r>
                <w:rPr>
                  <w:bCs/>
                  <w:szCs w:val="24"/>
                  <w:lang w:eastAsia="lt-LT"/>
                </w:rPr>
                <w:t>.</w:t>
                <w:tab/>
              </w:r>
              <w:r>
                <w:rPr>
                  <w:szCs w:val="24"/>
                  <w:lang w:eastAsia="lt-LT"/>
                </w:rPr>
                <w:t>Informacinių ir ryšių technologijų infrastruktūros konsolidavimo procesą planuojama baigti 2026 metais.</w:t>
              </w:r>
            </w:p>
          </w:sdtContent>
        </w:sdt>
        <w:sdt>
          <w:sdtPr>
            <w:alias w:val="10 pr. 2 p."/>
            <w:tag w:val="part_edf2f3b574184fb1b6c9081ffdaf4a51"/>
            <w:lock w:val="sdtLocked"/>
            <w:richText/>
          </w:sdtPr>
          <w:sdtContent>
            <w:p>
              <w:pPr>
                <w:ind w:left="720" w:hanging="360"/>
                <w:jc w:val="both"/>
                <w:rPr>
                  <w:szCs w:val="24"/>
                  <w:lang w:eastAsia="lt-LT"/>
                </w:rPr>
              </w:pPr>
              <w:sdt>
                <w:sdtPr>
                  <w:alias w:val="Numeris"/>
                  <w:tag w:val="nr_edf2f3b574184fb1b6c9081ffdaf4a51"/>
                  <w:lock w:val="sdtLocked"/>
                  <w:richText/>
                </w:sdtPr>
                <w:sdtContent>
                  <w:r>
                    <w:rPr>
                      <w:bCs/>
                      <w:szCs w:val="24"/>
                      <w:lang w:eastAsia="lt-LT"/>
                    </w:rPr>
                    <w:t>2</w:t>
                  </w:r>
                </w:sdtContent>
              </w:sdt>
              <w:r>
                <w:rPr>
                  <w:bCs/>
                  <w:szCs w:val="24"/>
                  <w:lang w:eastAsia="lt-LT"/>
                </w:rPr>
                <w:t>.</w:t>
                <w:tab/>
              </w:r>
              <w:r>
                <w:rPr>
                  <w:szCs w:val="24"/>
                  <w:lang w:eastAsia="lt-LT"/>
                </w:rPr>
                <w:t>Pagal Lietuvos Respublikos finansų ministro įsakymą 2022 m. birželio 22 d. Nr. 1K-237 „Dėl 2021–2027 metų Europos Sąjungos fondų investicijų programos ir Ekonomikos gaivinimo ir atsparumo didinimo plano „Naujos kartos Lietuva“ įgyvendinimo“ visos projektų sutartys turi būti sudarytos iki 2026 m. gruodžio 31 d.</w:t>
              </w:r>
            </w:p>
          </w:sdtContent>
        </w:sdt>
        <w:sdt>
          <w:sdtPr>
            <w:alias w:val="10 pr. 3 p."/>
            <w:tag w:val="part_45ac081f21ee4b37ae56cfb574e4aa26"/>
            <w:lock w:val="sdtLocked"/>
            <w:richText/>
          </w:sdtPr>
          <w:sdtContent>
            <w:p>
              <w:pPr>
                <w:ind w:left="720" w:hanging="360"/>
                <w:jc w:val="both"/>
                <w:rPr>
                  <w:szCs w:val="24"/>
                  <w:lang w:eastAsia="lt-LT"/>
                </w:rPr>
              </w:pPr>
              <w:sdt>
                <w:sdtPr>
                  <w:alias w:val="Numeris"/>
                  <w:tag w:val="nr_45ac081f21ee4b37ae56cfb574e4aa26"/>
                  <w:lock w:val="sdtLocked"/>
                  <w:richText/>
                </w:sdtPr>
                <w:sdtContent>
                  <w:r>
                    <w:rPr>
                      <w:bCs/>
                      <w:szCs w:val="24"/>
                      <w:lang w:eastAsia="lt-LT"/>
                    </w:rPr>
                    <w:t>3</w:t>
                  </w:r>
                </w:sdtContent>
              </w:sdt>
              <w:r>
                <w:rPr>
                  <w:bCs/>
                  <w:szCs w:val="24"/>
                  <w:lang w:eastAsia="lt-LT"/>
                </w:rPr>
                <w:t>.</w:t>
                <w:tab/>
              </w:r>
              <w:r>
                <w:rPr>
                  <w:szCs w:val="24"/>
                  <w:lang w:eastAsia="lt-LT"/>
                </w:rPr>
                <w:t>2025 metais planuojama reikšmingai didinti lėšas infrastruktūrai.</w:t>
              </w:r>
            </w:p>
          </w:sdtContent>
        </w:sdt>
        <w:sdt>
          <w:sdtPr>
            <w:alias w:val="10 pr. 4 p."/>
            <w:tag w:val="part_833c3107e2124f2793e690f9dc39501c"/>
            <w:lock w:val="sdtLocked"/>
            <w:richText/>
          </w:sdtPr>
          <w:sdtContent>
            <w:p>
              <w:pPr>
                <w:ind w:left="720" w:hanging="360"/>
                <w:jc w:val="both"/>
                <w:rPr>
                  <w:szCs w:val="24"/>
                  <w:lang w:eastAsia="lt-LT"/>
                </w:rPr>
              </w:pPr>
              <w:sdt>
                <w:sdtPr>
                  <w:alias w:val="Numeris"/>
                  <w:tag w:val="nr_833c3107e2124f2793e690f9dc39501c"/>
                  <w:lock w:val="sdtLocked"/>
                  <w:richText/>
                </w:sdtPr>
                <w:sdtContent>
                  <w:r>
                    <w:rPr>
                      <w:bCs/>
                      <w:szCs w:val="24"/>
                      <w:lang w:eastAsia="lt-LT"/>
                    </w:rPr>
                    <w:t>4</w:t>
                  </w:r>
                </w:sdtContent>
              </w:sdt>
              <w:r>
                <w:rPr>
                  <w:bCs/>
                  <w:szCs w:val="24"/>
                  <w:lang w:eastAsia="lt-LT"/>
                </w:rPr>
                <w:t>.</w:t>
                <w:tab/>
              </w:r>
              <w:r>
                <w:rPr>
                  <w:szCs w:val="24"/>
                  <w:lang w:eastAsia="lt-LT"/>
                </w:rPr>
                <w:t>Nuo 2025 metų duomenys apie faktines reikšmes bus skelbiami įtraukiant daugiau kultūros ir kūrybos industrijų sektoriaus veiklų.</w:t>
              </w:r>
            </w:p>
          </w:sdtContent>
        </w:sdt>
        <w:sdt>
          <w:sdtPr>
            <w:alias w:val="10 pr. 5 p."/>
            <w:tag w:val="part_9b362dd2de8a47b7ac46b63026c5850d"/>
            <w:lock w:val="sdtLocked"/>
            <w:richText/>
          </w:sdtPr>
          <w:sdtContent>
            <w:p>
              <w:pPr>
                <w:ind w:left="720" w:hanging="360"/>
                <w:jc w:val="both"/>
                <w:rPr>
                  <w:szCs w:val="24"/>
                  <w:lang w:eastAsia="lt-LT"/>
                </w:rPr>
              </w:pPr>
              <w:sdt>
                <w:sdtPr>
                  <w:alias w:val="Numeris"/>
                  <w:tag w:val="nr_9b362dd2de8a47b7ac46b63026c5850d"/>
                  <w:lock w:val="sdtLocked"/>
                  <w:richText/>
                </w:sdtPr>
                <w:sdtContent>
                  <w:r>
                    <w:rPr>
                      <w:bCs/>
                      <w:szCs w:val="24"/>
                      <w:lang w:eastAsia="lt-LT"/>
                    </w:rPr>
                    <w:t>5</w:t>
                  </w:r>
                </w:sdtContent>
              </w:sdt>
              <w:r>
                <w:rPr>
                  <w:bCs/>
                  <w:szCs w:val="24"/>
                  <w:lang w:eastAsia="lt-LT"/>
                </w:rPr>
                <w:t>.</w:t>
                <w:tab/>
              </w:r>
              <w:r>
                <w:rPr>
                  <w:szCs w:val="24"/>
                  <w:lang w:eastAsia="lt-LT"/>
                </w:rPr>
                <w:t>2024–2025 metais didžioji dalis investicijų skiriama strateginiams kelių sektoriaus projektams įgyvendinti, todėl atitinkamai numatomas mažesnis finansavimas valstybinės reikšmės krašto kelių rekonstrukcijai.</w:t>
              </w:r>
            </w:p>
          </w:sdtContent>
        </w:sdt>
        <w:sdt>
          <w:sdtPr>
            <w:alias w:val="10 pr. 6 p."/>
            <w:tag w:val="part_c2e634d1a5684c1bb2533945d460d22a"/>
            <w:lock w:val="sdtLocked"/>
            <w:richText/>
          </w:sdtPr>
          <w:sdtContent>
            <w:p>
              <w:pPr>
                <w:ind w:left="720" w:hanging="360"/>
                <w:jc w:val="both"/>
                <w:rPr>
                  <w:szCs w:val="24"/>
                  <w:lang w:eastAsia="lt-LT"/>
                </w:rPr>
              </w:pPr>
              <w:sdt>
                <w:sdtPr>
                  <w:alias w:val="Numeris"/>
                  <w:tag w:val="nr_c2e634d1a5684c1bb2533945d460d22a"/>
                  <w:lock w:val="sdtLocked"/>
                  <w:richText/>
                </w:sdtPr>
                <w:sdtContent>
                  <w:r>
                    <w:rPr>
                      <w:bCs/>
                      <w:szCs w:val="24"/>
                      <w:lang w:eastAsia="lt-LT"/>
                    </w:rPr>
                    <w:t>6</w:t>
                  </w:r>
                </w:sdtContent>
              </w:sdt>
              <w:r>
                <w:rPr>
                  <w:bCs/>
                  <w:szCs w:val="24"/>
                  <w:lang w:eastAsia="lt-LT"/>
                </w:rPr>
                <w:t>.</w:t>
                <w:tab/>
              </w:r>
              <w:r>
                <w:rPr>
                  <w:szCs w:val="24"/>
                  <w:lang w:eastAsia="lt-LT"/>
                </w:rPr>
                <w:t xml:space="preserve">Siekiamos reikšmės mažesnės negu faktinė 2023 metų reikšmė, nes nuo Rusijos Federacijos karinių veiksmų Ukrainoje pradžios Lietuvos oficiali parama vystymuisi (toliau – OPV) smarkiai išaugo ne tik dėl teikiamos pagalbos Ukrainai, bet ir dėl paramos Lietuvoje gyvenantiems karo pabėgėliams iš Ukrainos. Tačiau, pagal Ekonominio bendradarbiavimo ir plėtros organizacijos taisykles, parama karo pabėgėliams į OPV įtraukiama tik per pirmuosius jų buvimo Lietuvoje metus. Atsižvelgiant į tai, kad naujai atvykstančių karo pabėgėlių iš Ukrainos Lietuvoje mažėja, OPV dydis iš esmės priklausys tik nuo skiriamo finansavimo paramai šalims partnerėms, kurį tikimasi didinti.  </w:t>
              </w:r>
            </w:p>
          </w:sdtContent>
        </w:sdt>
        <w:sdt>
          <w:sdtPr>
            <w:alias w:val="10 pr. 7 p."/>
            <w:tag w:val="part_e3332cfcbd4c40268e693c7a79957180"/>
            <w:lock w:val="sdtLocked"/>
            <w:richText/>
          </w:sdtPr>
          <w:sdtContent>
            <w:p>
              <w:pPr>
                <w:ind w:left="720" w:hanging="360"/>
                <w:jc w:val="both"/>
                <w:rPr>
                  <w:szCs w:val="24"/>
                  <w:lang w:eastAsia="lt-LT"/>
                </w:rPr>
              </w:pPr>
              <w:sdt>
                <w:sdtPr>
                  <w:alias w:val="Numeris"/>
                  <w:tag w:val="nr_e3332cfcbd4c40268e693c7a79957180"/>
                  <w:lock w:val="sdtLocked"/>
                  <w:richText/>
                </w:sdtPr>
                <w:sdtContent>
                  <w:r>
                    <w:rPr>
                      <w:bCs/>
                      <w:szCs w:val="24"/>
                      <w:lang w:eastAsia="lt-LT"/>
                    </w:rPr>
                    <w:t>7</w:t>
                  </w:r>
                </w:sdtContent>
              </w:sdt>
              <w:r>
                <w:rPr>
                  <w:bCs/>
                  <w:szCs w:val="24"/>
                  <w:lang w:eastAsia="lt-LT"/>
                </w:rPr>
                <w:t>.</w:t>
                <w:tab/>
              </w:r>
              <w:r>
                <w:rPr>
                  <w:szCs w:val="24"/>
                  <w:lang w:eastAsia="lt-LT"/>
                </w:rPr>
                <w:t>2026–2027 metais numatomas mažesnis skaičius pozicijų, į kurias Lietuva ar jos atstovai galėtų kandidatuoti, taip pat baigiasi tam tikrų pareigų kadencijos.</w:t>
              </w:r>
            </w:p>
            <w:p>
              <w:pPr>
                <w:jc w:val="center"/>
                <w:rPr>
                  <w:szCs w:val="24"/>
                  <w:lang w:eastAsia="lt-LT"/>
                </w:rPr>
                <w:sectPr>
                  <w:pgSz w:w="16840" w:h="11907" w:orient="landscape" w:code="9"/>
                  <w:pgMar w:top="1701" w:right="1134" w:bottom="851" w:left="1134" w:header="709" w:footer="709" w:gutter="0"/>
                  <w:pgNumType w:start="1"/>
                  <w:cols w:space="1296"/>
                  <w:titlePg/>
                  <w:docGrid w:linePitch="326"/>
                </w:sectPr>
              </w:pPr>
              <w:r>
                <w:rPr>
                  <w:szCs w:val="24"/>
                </w:rPr>
                <w:t>_____________________</w:t>
              </w:r>
            </w:p>
            <w:p>
              <w:pPr>
                <w:tabs>
                  <w:tab w:val="center" w:pos="4819"/>
                  <w:tab w:val="right" w:pos="9638"/>
                </w:tabs>
              </w:pPr>
            </w:p>
            <w:p>
              <w:pPr>
                <w:rPr>
                  <w:szCs w:val="24"/>
                  <w:lang w:eastAsia="lt-LT"/>
                </w:rPr>
              </w:pPr>
            </w:p>
          </w:sdtContent>
        </w:sdt>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w:t>
    </w:r>
    <w:r>
      <w:rPr>
        <w:rFonts w:ascii="TimesLT" w:hAnsi="TimesLT"/>
      </w:rPr>
      <w:fldChar w:fldCharType="end"/>
    </w:r>
  </w:p>
  <w:p>
    <w:pPr>
      <w:tabs>
        <w:tab w:val="center" w:pos="4153"/>
        <w:tab w:val="right" w:pos="8306"/>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3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5AD08DF2-BB53-4C47-A660-D377846E32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784580">
      <w:bodyDiv w:val="1"/>
      <w:marLeft w:val="0"/>
      <w:marRight w:val="0"/>
      <w:marTop w:val="0"/>
      <w:marBottom w:val="0"/>
      <w:divBdr>
        <w:top w:val="none" w:sz="0" w:space="0" w:color="auto"/>
        <w:left w:val="none" w:sz="0" w:space="0" w:color="auto"/>
        <w:bottom w:val="none" w:sz="0" w:space="0" w:color="auto"/>
        <w:right w:val="none" w:sz="0" w:space="0" w:color="auto"/>
      </w:divBdr>
    </w:div>
    <w:div w:id="196699961">
      <w:bodyDiv w:val="1"/>
      <w:marLeft w:val="0"/>
      <w:marRight w:val="0"/>
      <w:marTop w:val="0"/>
      <w:marBottom w:val="0"/>
      <w:divBdr>
        <w:top w:val="none" w:sz="0" w:space="0" w:color="auto"/>
        <w:left w:val="none" w:sz="0" w:space="0" w:color="auto"/>
        <w:bottom w:val="none" w:sz="0" w:space="0" w:color="auto"/>
        <w:right w:val="none" w:sz="0" w:space="0" w:color="auto"/>
      </w:divBdr>
    </w:div>
    <w:div w:id="299573721">
      <w:bodyDiv w:val="1"/>
      <w:marLeft w:val="0"/>
      <w:marRight w:val="0"/>
      <w:marTop w:val="0"/>
      <w:marBottom w:val="0"/>
      <w:divBdr>
        <w:top w:val="none" w:sz="0" w:space="0" w:color="auto"/>
        <w:left w:val="none" w:sz="0" w:space="0" w:color="auto"/>
        <w:bottom w:val="none" w:sz="0" w:space="0" w:color="auto"/>
        <w:right w:val="none" w:sz="0" w:space="0" w:color="auto"/>
      </w:divBdr>
    </w:div>
    <w:div w:id="374160918">
      <w:bodyDiv w:val="1"/>
      <w:marLeft w:val="0"/>
      <w:marRight w:val="0"/>
      <w:marTop w:val="0"/>
      <w:marBottom w:val="0"/>
      <w:divBdr>
        <w:top w:val="none" w:sz="0" w:space="0" w:color="auto"/>
        <w:left w:val="none" w:sz="0" w:space="0" w:color="auto"/>
        <w:bottom w:val="none" w:sz="0" w:space="0" w:color="auto"/>
        <w:right w:val="none" w:sz="0" w:space="0" w:color="auto"/>
      </w:divBdr>
      <w:divsChild>
        <w:div w:id="297533609">
          <w:marLeft w:val="0"/>
          <w:marRight w:val="0"/>
          <w:marTop w:val="0"/>
          <w:marBottom w:val="0"/>
          <w:divBdr>
            <w:top w:val="none" w:sz="0" w:space="0" w:color="auto"/>
            <w:left w:val="none" w:sz="0" w:space="0" w:color="auto"/>
            <w:bottom w:val="none" w:sz="0" w:space="0" w:color="auto"/>
            <w:right w:val="none" w:sz="0" w:space="0" w:color="auto"/>
          </w:divBdr>
        </w:div>
        <w:div w:id="1339769888">
          <w:marLeft w:val="0"/>
          <w:marRight w:val="0"/>
          <w:marTop w:val="0"/>
          <w:marBottom w:val="0"/>
          <w:divBdr>
            <w:top w:val="none" w:sz="0" w:space="0" w:color="auto"/>
            <w:left w:val="none" w:sz="0" w:space="0" w:color="auto"/>
            <w:bottom w:val="none" w:sz="0" w:space="0" w:color="auto"/>
            <w:right w:val="none" w:sz="0" w:space="0" w:color="auto"/>
          </w:divBdr>
          <w:divsChild>
            <w:div w:id="1656840569">
              <w:marLeft w:val="0"/>
              <w:marRight w:val="0"/>
              <w:marTop w:val="0"/>
              <w:marBottom w:val="0"/>
              <w:divBdr>
                <w:top w:val="none" w:sz="0" w:space="0" w:color="auto"/>
                <w:left w:val="none" w:sz="0" w:space="0" w:color="auto"/>
                <w:bottom w:val="none" w:sz="0" w:space="0" w:color="auto"/>
                <w:right w:val="none" w:sz="0" w:space="0" w:color="auto"/>
              </w:divBdr>
            </w:div>
            <w:div w:id="30076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284517">
      <w:bodyDiv w:val="1"/>
      <w:marLeft w:val="0"/>
      <w:marRight w:val="0"/>
      <w:marTop w:val="0"/>
      <w:marBottom w:val="0"/>
      <w:divBdr>
        <w:top w:val="none" w:sz="0" w:space="0" w:color="auto"/>
        <w:left w:val="none" w:sz="0" w:space="0" w:color="auto"/>
        <w:bottom w:val="none" w:sz="0" w:space="0" w:color="auto"/>
        <w:right w:val="none" w:sz="0" w:space="0" w:color="auto"/>
      </w:divBdr>
    </w:div>
    <w:div w:id="665204583">
      <w:bodyDiv w:val="1"/>
      <w:marLeft w:val="0"/>
      <w:marRight w:val="0"/>
      <w:marTop w:val="0"/>
      <w:marBottom w:val="0"/>
      <w:divBdr>
        <w:top w:val="none" w:sz="0" w:space="0" w:color="auto"/>
        <w:left w:val="none" w:sz="0" w:space="0" w:color="auto"/>
        <w:bottom w:val="none" w:sz="0" w:space="0" w:color="auto"/>
        <w:right w:val="none" w:sz="0" w:space="0" w:color="auto"/>
      </w:divBdr>
    </w:div>
    <w:div w:id="1003820471">
      <w:bodyDiv w:val="1"/>
      <w:marLeft w:val="0"/>
      <w:marRight w:val="0"/>
      <w:marTop w:val="0"/>
      <w:marBottom w:val="0"/>
      <w:divBdr>
        <w:top w:val="none" w:sz="0" w:space="0" w:color="auto"/>
        <w:left w:val="none" w:sz="0" w:space="0" w:color="auto"/>
        <w:bottom w:val="none" w:sz="0" w:space="0" w:color="auto"/>
        <w:right w:val="none" w:sz="0" w:space="0" w:color="auto"/>
      </w:divBdr>
    </w:div>
    <w:div w:id="1047335819">
      <w:bodyDiv w:val="1"/>
      <w:marLeft w:val="0"/>
      <w:marRight w:val="0"/>
      <w:marTop w:val="0"/>
      <w:marBottom w:val="0"/>
      <w:divBdr>
        <w:top w:val="none" w:sz="0" w:space="0" w:color="auto"/>
        <w:left w:val="none" w:sz="0" w:space="0" w:color="auto"/>
        <w:bottom w:val="none" w:sz="0" w:space="0" w:color="auto"/>
        <w:right w:val="none" w:sz="0" w:space="0" w:color="auto"/>
      </w:divBdr>
      <w:divsChild>
        <w:div w:id="459693569">
          <w:marLeft w:val="0"/>
          <w:marRight w:val="0"/>
          <w:marTop w:val="0"/>
          <w:marBottom w:val="0"/>
          <w:divBdr>
            <w:top w:val="none" w:sz="0" w:space="0" w:color="auto"/>
            <w:left w:val="none" w:sz="0" w:space="0" w:color="auto"/>
            <w:bottom w:val="none" w:sz="0" w:space="0" w:color="auto"/>
            <w:right w:val="none" w:sz="0" w:space="0" w:color="auto"/>
          </w:divBdr>
        </w:div>
        <w:div w:id="1373189459">
          <w:marLeft w:val="0"/>
          <w:marRight w:val="0"/>
          <w:marTop w:val="0"/>
          <w:marBottom w:val="0"/>
          <w:divBdr>
            <w:top w:val="none" w:sz="0" w:space="0" w:color="auto"/>
            <w:left w:val="none" w:sz="0" w:space="0" w:color="auto"/>
            <w:bottom w:val="none" w:sz="0" w:space="0" w:color="auto"/>
            <w:right w:val="none" w:sz="0" w:space="0" w:color="auto"/>
          </w:divBdr>
          <w:divsChild>
            <w:div w:id="21829580">
              <w:marLeft w:val="0"/>
              <w:marRight w:val="0"/>
              <w:marTop w:val="0"/>
              <w:marBottom w:val="0"/>
              <w:divBdr>
                <w:top w:val="none" w:sz="0" w:space="0" w:color="auto"/>
                <w:left w:val="none" w:sz="0" w:space="0" w:color="auto"/>
                <w:bottom w:val="none" w:sz="0" w:space="0" w:color="auto"/>
                <w:right w:val="none" w:sz="0" w:space="0" w:color="auto"/>
              </w:divBdr>
            </w:div>
            <w:div w:id="193079554">
              <w:marLeft w:val="0"/>
              <w:marRight w:val="0"/>
              <w:marTop w:val="0"/>
              <w:marBottom w:val="0"/>
              <w:divBdr>
                <w:top w:val="none" w:sz="0" w:space="0" w:color="auto"/>
                <w:left w:val="none" w:sz="0" w:space="0" w:color="auto"/>
                <w:bottom w:val="none" w:sz="0" w:space="0" w:color="auto"/>
                <w:right w:val="none" w:sz="0" w:space="0" w:color="auto"/>
              </w:divBdr>
            </w:div>
            <w:div w:id="651253228">
              <w:marLeft w:val="0"/>
              <w:marRight w:val="0"/>
              <w:marTop w:val="0"/>
              <w:marBottom w:val="0"/>
              <w:divBdr>
                <w:top w:val="none" w:sz="0" w:space="0" w:color="auto"/>
                <w:left w:val="none" w:sz="0" w:space="0" w:color="auto"/>
                <w:bottom w:val="none" w:sz="0" w:space="0" w:color="auto"/>
                <w:right w:val="none" w:sz="0" w:space="0" w:color="auto"/>
              </w:divBdr>
            </w:div>
            <w:div w:id="1266889833">
              <w:marLeft w:val="0"/>
              <w:marRight w:val="0"/>
              <w:marTop w:val="0"/>
              <w:marBottom w:val="0"/>
              <w:divBdr>
                <w:top w:val="none" w:sz="0" w:space="0" w:color="auto"/>
                <w:left w:val="none" w:sz="0" w:space="0" w:color="auto"/>
                <w:bottom w:val="none" w:sz="0" w:space="0" w:color="auto"/>
                <w:right w:val="none" w:sz="0" w:space="0" w:color="auto"/>
              </w:divBdr>
            </w:div>
          </w:divsChild>
        </w:div>
        <w:div w:id="1691450454">
          <w:marLeft w:val="0"/>
          <w:marRight w:val="0"/>
          <w:marTop w:val="0"/>
          <w:marBottom w:val="0"/>
          <w:divBdr>
            <w:top w:val="none" w:sz="0" w:space="0" w:color="auto"/>
            <w:left w:val="none" w:sz="0" w:space="0" w:color="auto"/>
            <w:bottom w:val="none" w:sz="0" w:space="0" w:color="auto"/>
            <w:right w:val="none" w:sz="0" w:space="0" w:color="auto"/>
          </w:divBdr>
        </w:div>
      </w:divsChild>
    </w:div>
    <w:div w:id="1057431969">
      <w:bodyDiv w:val="1"/>
      <w:marLeft w:val="0"/>
      <w:marRight w:val="0"/>
      <w:marTop w:val="0"/>
      <w:marBottom w:val="0"/>
      <w:divBdr>
        <w:top w:val="none" w:sz="0" w:space="0" w:color="auto"/>
        <w:left w:val="none" w:sz="0" w:space="0" w:color="auto"/>
        <w:bottom w:val="none" w:sz="0" w:space="0" w:color="auto"/>
        <w:right w:val="none" w:sz="0" w:space="0" w:color="auto"/>
      </w:divBdr>
      <w:divsChild>
        <w:div w:id="59014825">
          <w:marLeft w:val="0"/>
          <w:marRight w:val="0"/>
          <w:marTop w:val="0"/>
          <w:marBottom w:val="0"/>
          <w:divBdr>
            <w:top w:val="none" w:sz="0" w:space="0" w:color="auto"/>
            <w:left w:val="none" w:sz="0" w:space="0" w:color="auto"/>
            <w:bottom w:val="none" w:sz="0" w:space="0" w:color="auto"/>
            <w:right w:val="none" w:sz="0" w:space="0" w:color="auto"/>
          </w:divBdr>
        </w:div>
        <w:div w:id="1141650704">
          <w:marLeft w:val="0"/>
          <w:marRight w:val="0"/>
          <w:marTop w:val="0"/>
          <w:marBottom w:val="0"/>
          <w:divBdr>
            <w:top w:val="none" w:sz="0" w:space="0" w:color="auto"/>
            <w:left w:val="none" w:sz="0" w:space="0" w:color="auto"/>
            <w:bottom w:val="none" w:sz="0" w:space="0" w:color="auto"/>
            <w:right w:val="none" w:sz="0" w:space="0" w:color="auto"/>
          </w:divBdr>
        </w:div>
        <w:div w:id="1185560773">
          <w:marLeft w:val="0"/>
          <w:marRight w:val="0"/>
          <w:marTop w:val="0"/>
          <w:marBottom w:val="0"/>
          <w:divBdr>
            <w:top w:val="none" w:sz="0" w:space="0" w:color="auto"/>
            <w:left w:val="none" w:sz="0" w:space="0" w:color="auto"/>
            <w:bottom w:val="none" w:sz="0" w:space="0" w:color="auto"/>
            <w:right w:val="none" w:sz="0" w:space="0" w:color="auto"/>
          </w:divBdr>
        </w:div>
        <w:div w:id="1250775672">
          <w:marLeft w:val="0"/>
          <w:marRight w:val="0"/>
          <w:marTop w:val="0"/>
          <w:marBottom w:val="0"/>
          <w:divBdr>
            <w:top w:val="none" w:sz="0" w:space="0" w:color="auto"/>
            <w:left w:val="none" w:sz="0" w:space="0" w:color="auto"/>
            <w:bottom w:val="none" w:sz="0" w:space="0" w:color="auto"/>
            <w:right w:val="none" w:sz="0" w:space="0" w:color="auto"/>
          </w:divBdr>
        </w:div>
        <w:div w:id="1638103002">
          <w:marLeft w:val="0"/>
          <w:marRight w:val="0"/>
          <w:marTop w:val="0"/>
          <w:marBottom w:val="0"/>
          <w:divBdr>
            <w:top w:val="none" w:sz="0" w:space="0" w:color="auto"/>
            <w:left w:val="none" w:sz="0" w:space="0" w:color="auto"/>
            <w:bottom w:val="none" w:sz="0" w:space="0" w:color="auto"/>
            <w:right w:val="none" w:sz="0" w:space="0" w:color="auto"/>
          </w:divBdr>
        </w:div>
        <w:div w:id="1874614330">
          <w:marLeft w:val="0"/>
          <w:marRight w:val="0"/>
          <w:marTop w:val="0"/>
          <w:marBottom w:val="0"/>
          <w:divBdr>
            <w:top w:val="none" w:sz="0" w:space="0" w:color="auto"/>
            <w:left w:val="none" w:sz="0" w:space="0" w:color="auto"/>
            <w:bottom w:val="none" w:sz="0" w:space="0" w:color="auto"/>
            <w:right w:val="none" w:sz="0" w:space="0" w:color="auto"/>
          </w:divBdr>
        </w:div>
      </w:divsChild>
    </w:div>
    <w:div w:id="1156073693">
      <w:bodyDiv w:val="1"/>
      <w:marLeft w:val="0"/>
      <w:marRight w:val="0"/>
      <w:marTop w:val="0"/>
      <w:marBottom w:val="0"/>
      <w:divBdr>
        <w:top w:val="none" w:sz="0" w:space="0" w:color="auto"/>
        <w:left w:val="none" w:sz="0" w:space="0" w:color="auto"/>
        <w:bottom w:val="none" w:sz="0" w:space="0" w:color="auto"/>
        <w:right w:val="none" w:sz="0" w:space="0" w:color="auto"/>
      </w:divBdr>
    </w:div>
    <w:div w:id="1194339900">
      <w:bodyDiv w:val="1"/>
      <w:marLeft w:val="0"/>
      <w:marRight w:val="0"/>
      <w:marTop w:val="0"/>
      <w:marBottom w:val="0"/>
      <w:divBdr>
        <w:top w:val="none" w:sz="0" w:space="0" w:color="auto"/>
        <w:left w:val="none" w:sz="0" w:space="0" w:color="auto"/>
        <w:bottom w:val="none" w:sz="0" w:space="0" w:color="auto"/>
        <w:right w:val="none" w:sz="0" w:space="0" w:color="auto"/>
      </w:divBdr>
    </w:div>
    <w:div w:id="1496066504">
      <w:bodyDiv w:val="1"/>
      <w:marLeft w:val="0"/>
      <w:marRight w:val="0"/>
      <w:marTop w:val="0"/>
      <w:marBottom w:val="0"/>
      <w:divBdr>
        <w:top w:val="none" w:sz="0" w:space="0" w:color="auto"/>
        <w:left w:val="none" w:sz="0" w:space="0" w:color="auto"/>
        <w:bottom w:val="none" w:sz="0" w:space="0" w:color="auto"/>
        <w:right w:val="none" w:sz="0" w:space="0" w:color="auto"/>
      </w:divBdr>
    </w:div>
    <w:div w:id="1596784941">
      <w:bodyDiv w:val="1"/>
      <w:marLeft w:val="0"/>
      <w:marRight w:val="0"/>
      <w:marTop w:val="0"/>
      <w:marBottom w:val="0"/>
      <w:divBdr>
        <w:top w:val="none" w:sz="0" w:space="0" w:color="auto"/>
        <w:left w:val="none" w:sz="0" w:space="0" w:color="auto"/>
        <w:bottom w:val="none" w:sz="0" w:space="0" w:color="auto"/>
        <w:right w:val="none" w:sz="0" w:space="0" w:color="auto"/>
      </w:divBdr>
    </w:div>
    <w:div w:id="1649557421">
      <w:bodyDiv w:val="1"/>
      <w:marLeft w:val="0"/>
      <w:marRight w:val="0"/>
      <w:marTop w:val="0"/>
      <w:marBottom w:val="0"/>
      <w:divBdr>
        <w:top w:val="none" w:sz="0" w:space="0" w:color="auto"/>
        <w:left w:val="none" w:sz="0" w:space="0" w:color="auto"/>
        <w:bottom w:val="none" w:sz="0" w:space="0" w:color="auto"/>
        <w:right w:val="none" w:sz="0" w:space="0" w:color="auto"/>
      </w:divBdr>
    </w:div>
    <w:div w:id="1758280580">
      <w:bodyDiv w:val="1"/>
      <w:marLeft w:val="0"/>
      <w:marRight w:val="0"/>
      <w:marTop w:val="0"/>
      <w:marBottom w:val="0"/>
      <w:divBdr>
        <w:top w:val="none" w:sz="0" w:space="0" w:color="auto"/>
        <w:left w:val="none" w:sz="0" w:space="0" w:color="auto"/>
        <w:bottom w:val="none" w:sz="0" w:space="0" w:color="auto"/>
        <w:right w:val="none" w:sz="0" w:space="0" w:color="auto"/>
      </w:divBdr>
    </w:div>
    <w:div w:id="1778719619">
      <w:bodyDiv w:val="1"/>
      <w:marLeft w:val="0"/>
      <w:marRight w:val="0"/>
      <w:marTop w:val="0"/>
      <w:marBottom w:val="0"/>
      <w:divBdr>
        <w:top w:val="none" w:sz="0" w:space="0" w:color="auto"/>
        <w:left w:val="none" w:sz="0" w:space="0" w:color="auto"/>
        <w:bottom w:val="none" w:sz="0" w:space="0" w:color="auto"/>
        <w:right w:val="none" w:sz="0" w:space="0" w:color="auto"/>
      </w:divBdr>
    </w:div>
    <w:div w:id="2081436226">
      <w:bodyDiv w:val="1"/>
      <w:marLeft w:val="0"/>
      <w:marRight w:val="0"/>
      <w:marTop w:val="0"/>
      <w:marBottom w:val="0"/>
      <w:divBdr>
        <w:top w:val="none" w:sz="0" w:space="0" w:color="auto"/>
        <w:left w:val="none" w:sz="0" w:space="0" w:color="auto"/>
        <w:bottom w:val="none" w:sz="0" w:space="0" w:color="auto"/>
        <w:right w:val="none" w:sz="0" w:space="0" w:color="auto"/>
      </w:divBdr>
      <w:divsChild>
        <w:div w:id="237444343">
          <w:marLeft w:val="0"/>
          <w:marRight w:val="0"/>
          <w:marTop w:val="0"/>
          <w:marBottom w:val="0"/>
          <w:divBdr>
            <w:top w:val="none" w:sz="0" w:space="0" w:color="auto"/>
            <w:left w:val="none" w:sz="0" w:space="0" w:color="auto"/>
            <w:bottom w:val="none" w:sz="0" w:space="0" w:color="auto"/>
            <w:right w:val="none" w:sz="0" w:space="0" w:color="auto"/>
          </w:divBdr>
        </w:div>
        <w:div w:id="2034920222">
          <w:marLeft w:val="0"/>
          <w:marRight w:val="0"/>
          <w:marTop w:val="0"/>
          <w:marBottom w:val="0"/>
          <w:divBdr>
            <w:top w:val="none" w:sz="0" w:space="0" w:color="auto"/>
            <w:left w:val="none" w:sz="0" w:space="0" w:color="auto"/>
            <w:bottom w:val="none" w:sz="0" w:space="0" w:color="auto"/>
            <w:right w:val="none" w:sz="0" w:space="0" w:color="auto"/>
          </w:divBdr>
          <w:divsChild>
            <w:div w:id="1069958374">
              <w:marLeft w:val="0"/>
              <w:marRight w:val="0"/>
              <w:marTop w:val="0"/>
              <w:marBottom w:val="0"/>
              <w:divBdr>
                <w:top w:val="none" w:sz="0" w:space="0" w:color="auto"/>
                <w:left w:val="none" w:sz="0" w:space="0" w:color="auto"/>
                <w:bottom w:val="none" w:sz="0" w:space="0" w:color="auto"/>
                <w:right w:val="none" w:sz="0" w:space="0" w:color="auto"/>
              </w:divBdr>
            </w:div>
            <w:div w:id="143008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356480">
      <w:bodyDiv w:val="1"/>
      <w:marLeft w:val="0"/>
      <w:marRight w:val="0"/>
      <w:marTop w:val="0"/>
      <w:marBottom w:val="0"/>
      <w:divBdr>
        <w:top w:val="none" w:sz="0" w:space="0" w:color="auto"/>
        <w:left w:val="none" w:sz="0" w:space="0" w:color="auto"/>
        <w:bottom w:val="none" w:sz="0" w:space="0" w:color="auto"/>
        <w:right w:val="none" w:sz="0" w:space="0" w:color="auto"/>
      </w:divBdr>
      <w:divsChild>
        <w:div w:id="199130407">
          <w:marLeft w:val="0"/>
          <w:marRight w:val="0"/>
          <w:marTop w:val="0"/>
          <w:marBottom w:val="0"/>
          <w:divBdr>
            <w:top w:val="none" w:sz="0" w:space="0" w:color="auto"/>
            <w:left w:val="none" w:sz="0" w:space="0" w:color="auto"/>
            <w:bottom w:val="none" w:sz="0" w:space="0" w:color="auto"/>
            <w:right w:val="none" w:sz="0" w:space="0" w:color="auto"/>
          </w:divBdr>
        </w:div>
        <w:div w:id="381638599">
          <w:marLeft w:val="0"/>
          <w:marRight w:val="0"/>
          <w:marTop w:val="0"/>
          <w:marBottom w:val="0"/>
          <w:divBdr>
            <w:top w:val="none" w:sz="0" w:space="0" w:color="auto"/>
            <w:left w:val="none" w:sz="0" w:space="0" w:color="auto"/>
            <w:bottom w:val="none" w:sz="0" w:space="0" w:color="auto"/>
            <w:right w:val="none" w:sz="0" w:space="0" w:color="auto"/>
          </w:divBdr>
        </w:div>
        <w:div w:id="931745725">
          <w:marLeft w:val="0"/>
          <w:marRight w:val="0"/>
          <w:marTop w:val="0"/>
          <w:marBottom w:val="0"/>
          <w:divBdr>
            <w:top w:val="none" w:sz="0" w:space="0" w:color="auto"/>
            <w:left w:val="none" w:sz="0" w:space="0" w:color="auto"/>
            <w:bottom w:val="none" w:sz="0" w:space="0" w:color="auto"/>
            <w:right w:val="none" w:sz="0" w:space="0" w:color="auto"/>
          </w:divBdr>
        </w:div>
        <w:div w:id="1199582663">
          <w:marLeft w:val="0"/>
          <w:marRight w:val="0"/>
          <w:marTop w:val="0"/>
          <w:marBottom w:val="0"/>
          <w:divBdr>
            <w:top w:val="none" w:sz="0" w:space="0" w:color="auto"/>
            <w:left w:val="none" w:sz="0" w:space="0" w:color="auto"/>
            <w:bottom w:val="none" w:sz="0" w:space="0" w:color="auto"/>
            <w:right w:val="none" w:sz="0" w:space="0" w:color="auto"/>
          </w:divBdr>
        </w:div>
        <w:div w:id="1559977110">
          <w:marLeft w:val="0"/>
          <w:marRight w:val="0"/>
          <w:marTop w:val="0"/>
          <w:marBottom w:val="0"/>
          <w:divBdr>
            <w:top w:val="none" w:sz="0" w:space="0" w:color="auto"/>
            <w:left w:val="none" w:sz="0" w:space="0" w:color="auto"/>
            <w:bottom w:val="none" w:sz="0" w:space="0" w:color="auto"/>
            <w:right w:val="none" w:sz="0" w:space="0" w:color="auto"/>
          </w:divBdr>
        </w:div>
        <w:div w:id="1688629568">
          <w:marLeft w:val="0"/>
          <w:marRight w:val="0"/>
          <w:marTop w:val="0"/>
          <w:marBottom w:val="0"/>
          <w:divBdr>
            <w:top w:val="none" w:sz="0" w:space="0" w:color="auto"/>
            <w:left w:val="none" w:sz="0" w:space="0" w:color="auto"/>
            <w:bottom w:val="none" w:sz="0" w:space="0" w:color="auto"/>
            <w:right w:val="none" w:sz="0" w:space="0" w:color="auto"/>
          </w:divBdr>
        </w:div>
      </w:divsChild>
    </w:div>
    <w:div w:id="2116627528">
      <w:bodyDiv w:val="1"/>
      <w:marLeft w:val="0"/>
      <w:marRight w:val="0"/>
      <w:marTop w:val="0"/>
      <w:marBottom w:val="0"/>
      <w:divBdr>
        <w:top w:val="none" w:sz="0" w:space="0" w:color="auto"/>
        <w:left w:val="none" w:sz="0" w:space="0" w:color="auto"/>
        <w:bottom w:val="none" w:sz="0" w:space="0" w:color="auto"/>
        <w:right w:val="none" w:sz="0" w:space="0" w:color="auto"/>
      </w:divBdr>
    </w:div>
    <w:div w:id="2139646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1733fa903704722870fec1f67f86e00" PartId="9fab867aa57f4fc8b0972f102d41d063">
    <Part Type="preambule" DocPartId="678d0bf32b334f0ebb31cade7681d8a0" PartId="bf167a31f31242ae805f18e235648c28"/>
    <Part Type="pastraipa" DocPartId="9c11982a793b47d385f2792b7f8625c5" PartId="37347bf139b7401ca5adf41acaf5d9cf"/>
    <Part Type="straipsnis" Nr="1" Abbr="1 str." Title="Agreguotų Lietuvos Respublikos 2025–2027 metų konsoliduotojo biudžeto pajamų ir 2025–2027 metų agreguoto asignavimų limito patvirtinimas" DocPartId="9e175cc273824fd1a8d68eb55e29953c" PartId="e1ad907c50c34b60954727f41c52a7ea">
      <Part Type="strDalis" Nr="1" Abbr="1 str. 1 d." DocPartId="544f1a1384fa417cbfa751dba1ee7b87" PartId="604993e5e46b4e6e9bf46a9c391ccdf5">
        <Part Type="strPunktas" Nr="1" Abbr="1 str. 1 d. 1 p." DocPartId="ff7e0b820d024875ad5f0de22aa094f6" PartId="5828638ed8d546d1be83cd6a7af7f078"/>
        <Part Type="strPunktas" Nr="2" Abbr="1 str. 1 d. 2 p." DocPartId="5834ccaf5a39481496227389c57a7e59" PartId="6b60ec6873124dea8388be40b9a46b77"/>
      </Part>
    </Part>
    <Part Type="straipsnis" Nr="2" Abbr="2 str." Title="Lietuvos Respublikos 2025 metų valstybės biudžeto pajamų, Lietuvos Respublikos 2025–2027 metų valstybės biudžeto asignavimų ir biudžetinių įstaigų, kurios yra valstybės biudžeto asignavimų valdytojos, 2025 metų pajamų patvirtinimas" DocPartId="c49a71eeec4149fdb4c5d2e9d8e2f7e0" PartId="77b9653e5cce4b7fab4ed844b98747ba">
      <Part Type="strDalis" Nr="1" Abbr="2 str. 1 d." DocPartId="2276e023e0d24cc2b88c8e71acb59742" PartId="434c8789faa642edaaf980b614e35c42">
        <Part Type="strPunktas" Nr="1" Abbr="2 str. 1 d. 1 p." DocPartId="41ff353f570a4634815aa74f5f7edf8a" PartId="fe6d0905ceb246d09e5bdf849028258d"/>
        <Part Type="strPunktas" Nr="2" Abbr="2 str. 1 d. 2 p." DocPartId="9e28cfca543e4a03a1b4c573b304ff7f" PartId="2d925b828ef64307a5ee39d61ae764dc"/>
        <Part Type="strPunktas" Nr="3" Abbr="2 str. 1 d. 3 p." DocPartId="8ac6f047805d47c6a6b171e9e191fba6" PartId="527cd9a6eba844668f4f4e5760150717"/>
      </Part>
    </Part>
    <Part Type="straipsnis" Nr="3" Abbr="3 str." Title="Lietuvos Respublikos 2025 metų savivaldybių biudžetų finansiniai rodikliai" DocPartId="3f508dd3c6b043129d6fdf5e8bd28126" PartId="394c36a717e74927adab3cefc50a66dc">
      <Part Type="strDalis" Nr="1" Abbr="3 str. 1 d." DocPartId="38f44676a07b4eff878e141d98d8e941" PartId="48bd54c571524ea093185b794d5002f6"/>
      <Part Type="strDalis" Nr="2" Abbr="3 str. 2 d." DocPartId="318ce898bfa0490880653a2dda243994" PartId="11b0b9a3694a407d9cc9b27bee538c13">
        <Part Type="strPunktas" Nr="1" Abbr="3 str. 2 d. 1 p." DocPartId="d4a0f26bb37c46d8bbaab2397f2f176c" PartId="2a5bfe89eaf94110991e4420c5220bb6"/>
        <Part Type="strPunktas" Nr="2" Abbr="3 str. 2 d. 2 p." DocPartId="aae2fdac10c44f699006fdba7381c078" PartId="cfa48495b1cc43b899c4906cf527be19"/>
        <Part Type="strPunktas" Nr="3" Abbr="3 str. 2 d. 3 p." DocPartId="ded86ba57dfe423181526bd4064f173e" PartId="bb80ac33635741a3a1b3270beb8d93ec">
          <Part Type="strPapunktis" Nr="a" Abbr="3 str. 2 d. 3 p. a pp." DocPartId="05bfee945f384e55b1a1fee8b2c497ac" PartId="32c8248cf36643ae8c0b94866a2dc222"/>
          <Part Type="strPapunktis" Nr="b" Abbr="3 str. 2 d. 3 p. b pp." DocPartId="a4641d85f35345a39a3393345a445e8f" PartId="a8e1155c963b4acdbbe2f71e9125cb73"/>
          <Part Type="strPapunktis" Nr="c" Abbr="3 str. 2 d. 3 p. c pp." DocPartId="3edeaf3f62ed4a73bfaae9d945f09cae" PartId="36bcd0ca0c2a453592a6f1be39968700"/>
          <Part Type="strPapunktis" Nr="d" Abbr="3 str. 2 d. 3 p. d pp." DocPartId="edf0011b8b67495eacd2eeb4e550ac4e" PartId="f6aeb7c4e1774a2e8d52cc629ea9a450"/>
          <Part Type="strPapunktis" Nr="e" Abbr="3 str. 2 d. 3 p. e pp." DocPartId="eab35d3f80314e7a848e1bd2956f422e" PartId="27650f94ccee4b2182fe01274e06e613"/>
          <Part Type="strPapunktis" Nr="f" Abbr="3 str. 2 d. 3 p. f pp." DocPartId="f1b4f866551844709fef9d3cbca724f1" PartId="804577158630447497a28dceb788176e"/>
          <Part Type="strPapunktis" Nr="g" Abbr="3 str. 2 d. 3 p. g pp." DocPartId="05075ea4ae144a71a95a642d4949b702" PartId="e4126f9488f446709adefa1097e078aa"/>
          <Part Type="strPapunktis" Nr="h" Abbr="3 str. 2 d. 3 p. h pp." DocPartId="41066d07169b4f79b094704132c9c368" PartId="e0f9f17b5ecf41f6aa72da22100f46ca"/>
          <Part Type="strPapunktis" Nr="i" Abbr="3 str. 2 d. 3 p. i pp." DocPartId="8ec22f5440804fc182253bfe977de937" PartId="39e29f45cd8e494fa84441b304e50c3a"/>
        </Part>
        <Part Type="strPunktas" Nr="4" Abbr="3 str. 2 d. 4 p." DocPartId="5f3db486a4884e159bbcb96b0ea7b757" PartId="52ea8a8725b94ef7a98ac2e6bd314128"/>
      </Part>
      <Part Type="strDalis" Nr="3" Abbr="3 str. 3 d." DocPartId="07a0bd97c29246f19b28c54b5494ffcc" PartId="96abd3b56be14f5fb3793c786edebbf3"/>
    </Part>
    <Part Type="straipsnis" Nr="4" Abbr="4 str." Title="Valstybės biudžeto dotacijų savivaldybių biudžetams paskirstymas ir pervedimas" DocPartId="34a398287ff7406db84a4d0b4e8c8f11" PartId="99c820e38251471088e27c19a938e0ed">
      <Part Type="strDalis" Nr="1" Abbr="4 str. 1 d." DocPartId="f0e2efbe67254085893cc012cc46f3bb" PartId="151522a866d6404e881f2d1a76cfd3c1"/>
      <Part Type="strDalis" Nr="2" Abbr="4 str. 2 d." DocPartId="d5a2135237934c4d996844feca56f9cf" PartId="eb90c5823e26490a84ddcb002b23a362"/>
      <Part Type="strDalis" Nr="3" Abbr="4 str. 3 d." DocPartId="eef2a2b6b0ed4eaea1a4dd344e64b3b8" PartId="b604fb3e0ccb4880b6c9cd4ea801ed4a"/>
      <Part Type="strDalis" Nr="4" Abbr="4 str. 4 d." DocPartId="89f5885e73084a09afdbfa0db5b22e27" PartId="d055897542e146f3b928ebef3817db32"/>
      <Part Type="strDalis" Nr="5" Abbr="4 str. 5 d." DocPartId="cbd53dd1a57d4939b7d37fc3f5aeb92a" PartId="9c78cbaddb49406c87892a354fba679f"/>
    </Part>
    <Part Type="straipsnis" Nr="5" Abbr="5 str." Title="Valstybės biudžeto asignavimų perskirstymas, asmeniui keičiant studijų programą" DocPartId="6442f54a5cfe4f558271bcd363bd31e1" PartId="b5dc2d5ca35146e591e643bd3ba9a8e1">
      <Part Type="strDalis" Nr="1" Abbr="5 str. 1 d." DocPartId="7a934341ad604c81bc3294431d15dfcf" PartId="8c5f48a3367c49c6b14799fa07f865ad">
        <Part Type="strPunktas" Nr="1" Abbr="5 str. 1 d. 1 p." DocPartId="a4ffdfd4d4e9420b96aac040e82238ce" PartId="8f8045406502462c82056e041c0627be">
          <Part Type="strPapunktis" Nr="a" Abbr="5 str. 1 d. 1 p. a pp." DocPartId="9527d5190bcd4c5388c8446b5ba954b7" PartId="61e63f494dc14edbbd127ecba5d55b37"/>
          <Part Type="strPapunktis" Nr="b" Abbr="5 str. 1 d. 1 p. b pp." DocPartId="738cd6e526ee41b181821f8ea9eb7c52" PartId="90d3791c6dff41ca8cf4148ddc622a8c"/>
        </Part>
        <Part Type="strPunktas" Nr="2" Abbr="5 str. 1 d. 2 p." DocPartId="1dd8f5acbb064a13a49b5b0cde07e4a8" PartId="2163cbe4e608423fa0f0f3bdffe190db"/>
      </Part>
    </Part>
    <Part Type="straipsnis" Nr="6" Abbr="6 str." Title="2025 metų valstybės biudžeto įmokos į Privalomojo sveikatos draudimo fondo biudžetą" DocPartId="fe9969ffccd04801bdc3e05c6eac7fca" PartId="c85388d9c4d849f7a5ac31c2d4a8ae5c">
      <Part Type="strDalis" Nr="1" Abbr="6 str. 1 d." DocPartId="255cab0fe59340d78ca8aab808196b6b" PartId="217c98accdf74e76a7681baaf8854595"/>
    </Part>
    <Part Type="straipsnis" Nr="7" Abbr="7 str." Title="2025 metų valstybės biudžeto įmokos į Valstybinio socialinio draudimo fondo biudžetą bendrajai socialinio draudimo pensijos daliai finansuoti" DocPartId="f327c00cf17c47c5984fc2f8ac9b9f22" PartId="e90af8c89dd24f2194ad9dffd01ece1c">
      <Part Type="strDalis" Nr="1" Abbr="7 str. 1 d." DocPartId="dac1cc4a6616495d97d0dbb220b53669" PartId="98bb1477b4d0421db90daad1e03d3e20"/>
    </Part>
    <Part Type="straipsnis" Nr="8" Abbr="8 str." Title="2025 metų valstybinių pensijų indeksavimas ir valstybinių pensijų bazė" DocPartId="fc9d445f8e8c479f8c6e7d96c99906f5" PartId="591c861a0b3b437d8a808b6e7ebb5d7c">
      <Part Type="strDalis" Nr="1" Abbr="8 str. 1 d." DocPartId="47c4ae0ce54d4dbe823c5436790e0618" PartId="a22847a1efd2457987bdf9ba9ab6cbf3"/>
    </Part>
    <Part Type="straipsnis" Nr="9" Abbr="9 str." Title="2025 metų valstybės biudžeto papildoma pensijos įmoka į pensijų fondus už dalyvį" DocPartId="4108add08d8a4cda828a436884f91d1d" PartId="d433575820cc4065bd913299d8672759">
      <Part Type="strDalis" Nr="1" Abbr="9 str. 1 d." DocPartId="cbf60a24bc634124a7e2501fdfb900bd" PartId="83d1a12418a74afa98eb4d2c3cad8c7e"/>
    </Part>
    <Part Type="straipsnis" Nr="10" Abbr="10 str." Title="Valstybės garantijų ir valstybės garantuojamų garantijų institucijų prisiimtų įsipareigojimų pagal garantijas limitai" DocPartId="9a0de9813c644ea1918de609062d5607" PartId="4fa1e75e33bf4a71885413fab0d5d7a4">
      <Part Type="strDalis" Nr="1" Abbr="10 str. 1 d." DocPartId="c4d55df4365947b2a19fb796d041360c" PartId="12131840b763470fad04ab1913282c56">
        <Part Type="strPunktas" Nr="1" Abbr="10 str. 1 d. 1 p." DocPartId="3340e716b2de450a9f3d8e0c4151016b" PartId="ec99d44710f849278def7901d7d539e6"/>
        <Part Type="strPunktas" Nr="2" Abbr="10 str. 1 d. 2 p." DocPartId="bbf60705a7374feeb3a954d2ec25a2fa" PartId="909ba849af744b48a64f5509c6014ad9"/>
        <Part Type="strPunktas" Nr="3" Abbr="10 str. 1 d. 3 p." DocPartId="297cec37384d4b24a43bc8c2f6216a4c" PartId="b190d14b408546e19e18a53c106c11b3"/>
        <Part Type="strPunktas" Nr="4" Abbr="10 str. 1 d. 4 p." DocPartId="402a24e41f594bd5a378abb88391a985" PartId="b791b59cbff64c1687c34beebde3fd56"/>
      </Part>
    </Part>
    <Part Type="straipsnis" Nr="11" Abbr="11 str." Title="Vyriausybės grynojo skolinių įsipareigojimų pokyčio limitas" DocPartId="2e5ab015e2fa4a39a186e1d113e3b54e" PartId="94332010b3a84dde82544ba8c1c0a88b">
      <Part Type="strDalis" Nr="1" Abbr="11 str. 1 d." DocPartId="b4acd7f59fad42859afb6c12639359b7" PartId="32c363539c42480c9ae4132d7edb9a20"/>
    </Part>
    <Part Type="straipsnis" Nr="12" Abbr="12 str." Title="Centrinės valdžios sektoriaus subjektų skolinimosi limitai" DocPartId="916bc2c342f041e0b704b61c6c1b0d85" PartId="e2e3b8d266dd49599ffd752ebf3d9728">
      <Part Type="strDalis" Nr="1" Abbr="12 str. 1 d." DocPartId="e1e30ade5dc84de98d92f433ae948b5f" PartId="3ee6fa593de94ce19b6dfe4fba427299"/>
      <Part Type="strDalis" Nr="2" Abbr="12 str. 2 d." DocPartId="42f783bf85dd44c7ba071a021a3dd6cf" PartId="1017702c1869467a9828339a198acf80"/>
    </Part>
    <Part Type="straipsnis" Nr="13" Abbr="13 str." Title="Vyriausybės ir kitų institucijų teisės vykdant valstybės biudžetą" DocPartId="734e88caab134e9ca1f03f16649f4aef" PartId="fb29436471284116af8face4204fa962">
      <Part Type="strDalis" Nr="1" Abbr="13 str. 1 d." DocPartId="f4e27b4e12794aa99a73cfbed975865f" PartId="ecf0ccbb9726418a8c2145c6fbf20b25">
        <Part Type="strPunktas" Nr="1" Abbr="13 str. 1 d. 1 p." DocPartId="d18402e8cb8e4cee91b59c6480a98465" PartId="a7274455e7444d39b09ccd428dc04536"/>
        <Part Type="strPunktas" Nr="2" Abbr="13 str. 1 d. 2 p." DocPartId="2cdb61bcb86843d49cd1a90a31decba1" PartId="71a7a066072f4a8e9df1ed6b3a1b4b38"/>
        <Part Type="strPunktas" Nr="3" Abbr="13 str. 1 d. 3 p." DocPartId="c72bbdc54a5949e897e1e704e9acd1c7" PartId="2ef863d2e94546e484c7299362f66739"/>
        <Part Type="strPunktas" Nr="4" Abbr="13 str. 1 d. 4 p." DocPartId="8bc191e817b64240802e1009334f6f7f" PartId="f2d326f71a424537b93dca6aaac8dd31"/>
      </Part>
      <Part Type="strDalis" Nr="2" Abbr="13 str. 2 d." DocPartId="0fa277fb3ecf49998688c6f0d52dc9eb" PartId="a34ddfef34b64a8b8da57d494d0dba95"/>
      <Part Type="strDalis" Nr="3" Abbr="13 str. 3 d." DocPartId="ac724bc6390b45bea2d1764f191e0a2a" PartId="b056d13703d943749cccfca312faa80e">
        <Part Type="strPunktas" Nr="1" Abbr="13 str. 3 d. 1 p." DocPartId="36d9082bbcf146fbbd23d811a0dd8b5b" PartId="26daa0a0e1454defa817bcb747d8e6f0">
          <Part Type="strPapunktis" Nr="a" Abbr="13 str. 3 d. 1 p. a pp." DocPartId="fcd7948b23554108b9744e4272b333a7" PartId="1a583fe427fc43a7a11337d2759aaadf"/>
          <Part Type="strPapunktis" Nr="b" Abbr="13 str. 3 d. 1 p. b pp." DocPartId="0f8746ef49db46cabfbbd8326aff6106" PartId="f9097aee2139463b9d191da6640f10b3"/>
          <Part Type="strPapunktis" Nr="c" Abbr="13 str. 3 d. 1 p. c pp." DocPartId="32816adb35d1414fb6662ba4f5bc9202" PartId="00034edc723a4aef804677875efe2749"/>
          <Part Type="strPapunktis" Nr="d" Abbr="13 str. 3 d. 1 p. d pp." DocPartId="38b316d260b34150bfa5710ee3df41e6" PartId="3687618577cc45e7bdd96cef9ad44553"/>
          <Part Type="strPapunktis" Nr="e" Abbr="13 str. 3 d. 1 p. e pp." DocPartId="4eedfdf4956f404e9b605a16f9fc423d" PartId="1bf96f31271f4dc69c1b1f829317c3be"/>
          <Part Type="strPapunktis" Nr="f" Abbr="13 str. 3 d. 1 p. f pp." DocPartId="53485296c2e145a49e3ddb306559953c" PartId="152dd6a7ea2744bf808f60919f2d64fb"/>
          <Part Type="strPapunktis" Nr="g" Abbr="13 str. 3 d. 1 p. g pp." DocPartId="229664d829a64bed856c9677aed17862" PartId="234af65e1d334614ac724accc9afacf4"/>
          <Part Type="strPapunktis" Nr="h" Abbr="13 str. 3 d. 1 p. h pp." DocPartId="058bf676a7934cd5a8c870725b1662fa" PartId="d2441a5fc7b5434ea7e02bf7721d6f19"/>
          <Part Type="strPapunktis" Nr="i" Abbr="13 str. 3 d. 1 p. i pp." DocPartId="f67b0978da004593a6dffeabb209d2c2" PartId="e7def7005cad44fe8474d36567030bbf"/>
          <Part Type="strPapunktis" Nr="y" Abbr="13 str. 3 d. 1 p. y pp." Notes="Numeris ne iš eilės. Trūksta dalių? [DocDalys]" DocPartId="dce69049f2d542b987823da57582591c" PartId="a51d509bf8264f40a7f78f5e961d6f2a"/>
          <Part Type="strPapunktis" Nr="j" Abbr="13 str. 3 d. 1 p. j pp." Notes="Numeris ne iš eilės. Trūksta dalių? [DocDalys]" DocPartId="4b5c6ed6df064232936ad3fd841ab45a" PartId="f36ac2df072c485e9fe3e8b575b6239d"/>
          <Part Type="strPapunktis" Nr="k" Abbr="13 str. 3 d. 1 p. k pp." DocPartId="5dee4eed12d448a6b889a10d0c4b1ed7" PartId="e9ff9687344b40f2a03ae6e915ccd76f"/>
          <Part Type="strPapunktis" Nr="l" Abbr="13 str. 3 d. 1 p. l pp." DocPartId="5fd7f8ab3d5848748dee12ff5a57fd99" PartId="3495f7b47ec74cf5a8263540ce635afb"/>
        </Part>
        <Part Type="strPunktas" Nr="2" Abbr="13 str. 3 d. 2 p." DocPartId="fc1f33fd881348bb86fdba035865d4e6" PartId="f6180d63cd564315b473778cb978f21c"/>
        <Part Type="strPunktas" Nr="3" Abbr="13 str. 3 d. 3 p." DocPartId="a8a917afa931447aad54624f2a82b939" PartId="13aa15ea591444f19cecc63c2c74ba18"/>
        <Part Type="strPunktas" Nr="4" Abbr="13 str. 3 d. 4 p." DocPartId="0e771dd791d24ef7acb8733e687620fa" PartId="eff6f486ee0b4f4796b27bc55c145809"/>
      </Part>
      <Part Type="strDalis" Nr="4" Abbr="13 str. 4 d." DocPartId="44f46b7a585f4ceda8f6a23449752665" PartId="6345858c5d0c4568a57eff2fd27f6c9c"/>
      <Part Type="strDalis" Nr="5" Abbr="13 str. 5 d." DocPartId="d8532e21502643bd805d77fcc0b7b74d" PartId="9154b3b38fa04a8fb2c20c34f08ea51a">
        <Part Type="strPunktas" Nr="1" Abbr="13 str. 5 d. 1 p." DocPartId="950af782aa7545348336c9309bb9ce33" PartId="783a447a57cc4a0a92c88f6d6b71f303"/>
        <Part Type="strPunktas" Nr="2" Abbr="13 str. 5 d. 2 p." DocPartId="6c397415cb044906856546ea3a7d167e" PartId="4a9a0c31b3694be684365e868c32eaf4"/>
        <Part Type="strPunktas" Nr="3" Abbr="13 str. 5 d. 3 p." DocPartId="0cad01f1eacc4ba29031eba8a7d37d67" PartId="49574f278552400a9d3de419106058c1"/>
      </Part>
      <Part Type="strDalis" Nr="6" Abbr="13 str. 6 d." DocPartId="48b31b37ffe74bbc9a52226eddbc0d14" PartId="2b231752391c4e629176e8bb72ea1f71"/>
      <Part Type="strDalis" Nr="7" Abbr="13 str. 7 d." DocPartId="3293dc356cb743299418b7c6c5fab384" PartId="be38ebf885334add8bcce3b65b3a1972">
        <Part Type="strPunktas" Nr="1" Abbr="13 str. 7 d. 1 p." DocPartId="c0753a03596a454cbd110a05b9fbb562" PartId="375eb49024f2422c977ec526c4684b1e"/>
        <Part Type="strPunktas" Nr="2" Abbr="13 str. 7 d. 2 p." DocPartId="423e6c6ae11744c884591569a370691a" PartId="4961e3fd54bd487d941ef26e29e45709"/>
        <Part Type="strPunktas" Nr="3" Abbr="13 str. 7 d. 3 p." DocPartId="bf5f0ed1d5d944e1aec260d48df6fb10" PartId="609dad4df127482d82a4542b3fdaaf1b"/>
        <Part Type="strPunktas" Nr="4" Abbr="13 str. 7 d. 4 p." DocPartId="2862466e323340dc932a01a4a2df03cb" PartId="3edef5c986594d5ebbd955ff873f05a0"/>
        <Part Type="strPunktas" Nr="5" Abbr="13 str. 7 d. 5 p." DocPartId="08891bea02f54ea3828b1e684bd614dd" PartId="4d7d12c506f24f9ba9dc128793ac2852"/>
      </Part>
      <Part Type="strDalis" Nr="8" Abbr="13 str. 8 d." DocPartId="87a87946329b451294c7a3dbb962dca7" PartId="a6d3e59f02c4498a8dd191ae0dbe058a"/>
    </Part>
    <Part Type="straipsnis" Nr="14" Abbr="14 str." Title="Valstybės investicijų 2025 metų programos patvirtinimas" DocPartId="ff3464f194314d378ec120632ceacb98" PartId="adcfc37a25024347850fd14611fdb469">
      <Part Type="strDalis" Nr="1" Abbr="14 str. 1 d." DocPartId="a809a51c8d4d4a3588171e8827d90bc0" PartId="cfe1bd4566d9407baffd1d4dc28ecf54"/>
    </Part>
    <Part Type="straipsnis" Nr="15" Abbr="15 str." Title="2025 metų Rezervinio (stabilizavimo) fondo lėšų sąmatos patvirtinimas" DocPartId="4115832b6a7243789255a5e5f767fa60" PartId="1693dc4f3b3d4931bd387fa16412528a">
      <Part Type="strDalis" Nr="1" Abbr="15 str. 1 d." DocPartId="c45275e135de4939afb03fe00083e284" PartId="a9f360aeeecb40b08f08f9d73e80875a"/>
    </Part>
    <Part Type="straipsnis" Nr="16" Abbr="16 str." Title="2025 metų Valstybės gynybos fondo lėšų sąmatos patvirtinimas" DocPartId="99b4396d2ca74bf593177459414de777" PartId="54f6ebb6078248ae82aa515c20fbc23b">
      <Part Type="strDalis" Nr="1" Abbr="16 str. 1 d." DocPartId="cc7d896a337c4ea79bef0c141e7bfaf9" PartId="557dc3ce9309421fa7cc34e4e75b73a1"/>
    </Part>
    <Part Type="straipsnis" Nr="17" Abbr="17 str." Title="2025–2027 metais valstybės veiklos srityse siekiamų 2021–2030 metų nacionaliniame pažangos plane nustatytų pažangos uždavinių stebėsenos rodiklių reikšmių patvirtinimas" DocPartId="9a31b1ce26b8430c94fb546c3d25959e" PartId="2a749ee0ab274c078b4ad3692b95906d">
      <Part Type="strDalis" Nr="1" Abbr="17 str. 1 d." DocPartId="5d57ff4738934731b6ce6e830ae26a0b" PartId="2d59f3b1517f456e9704488d8bcf00e1"/>
    </Part>
    <Part Type="straipsnis" Nr="18" Abbr="18 str." Title="Vidutinio laikotarpio valdžios sektoriaus balanso rodiklio užduotys" DocPartId="60e168c62c9a460e95d14b1edae51cfa" PartId="3fbabe2a20b84766a596bc031dbaf8ce">
      <Part Type="strDalis" Nr="1" Abbr="18 str. 1 d." DocPartId="1415381a42414cccad3428d3cf4c9ec0" PartId="8d28911fca864cd585e6e22295495869"/>
      <Part Type="strDalis" Nr="2" Abbr="18 str. 2 d." DocPartId="f69949a1f5154442b7c274237cbdbc03" PartId="fcd6fa9906a34d5e851a76f05ccb2322"/>
    </Part>
    <Part Type="signatura" DocPartId="4022ce7c4ffd4f06bba133443ed17ef9" PartId="106f7519a6be4d16b53186c04d3bdb2a"/>
  </Part>
  <Part Type="priedas" Nr="1" Abbr="1 pr." Title="AGREGUOTOS LIETUVOS RESPUBLIKOS 2025–2027 METŲ KONSOLIDUOTOJO BIUDŽETO PAJAMOS IR 2025–2027 METŲ AGREGUOTAS ASIGNAVIMŲ LIMITAS" DocPartId="209d3d4222f94e869833e2d6b5e61545" PartId="44229702ec8444d296171f5da28f1fa0"/>
  <Part Type="priedas" Nr="2" Abbr="2 pr." Title="LIETUVOS RESPUBLIKOS 2025 METŲ VALSTYBĖS BIUDŽETO PAJAMOS" DocPartId="7c8681594ade43d881d0e8c61e9de372" PartId="c0dd1e31895645e49e41c965b6e303b7"/>
  <Part Type="priedas" Nr="3" Abbr="3 pr." Title="LIETUVOS RESPUBLIKOS 2025–2027 METŲ VALSTYBĖS BIUDŽETO ASIGNAVIMAI" DocPartId="d017ce6883e84132b4d0b034abfe8956" PartId="daf08178210b4f389109823d72abc67f"/>
  <Part Type="priedas" Nr="4" Abbr="4 pr." Title="BIUDŽETINIŲ ĮSTAIGŲ, KURIOS YRA VALSTYBĖS BIUDŽETO ASIGNAVIMŲ VALDYTOJOS, 2025 METŲ PAJAMOS" DocPartId="eecb51a6a0854fff8a33979ca9427285" PartId="1054463761814a3889d1b8485ceaf2aa"/>
  <Part Type="priedas" Nr="5" Abbr="5 pr." Title="LIETUVOS RESPUBLIKOS 2025 METŲ SAVIVALDYBIŲ BIUDŽETAMS PROGNOZUOJAMOS PAJAMOS IŠ GYVENTOJŲ PAJAMŲ MOKESČIO IR IŠ JŲ APSKAIČIUOTOS SUMOS SEIMO IR VYRIAUSYBĖS SPRENDIMAMS ĮGYVENDINTI, SAVIVALDYBIŲ BIUDŽETAMS SKIRIAMŲ PAJAMŲ IŠ GYVENTOJŲ PAJAMŲ MOKESČIO DALYS (PROCENTAIS)" DocPartId="d670a432ea4643a2aee6f40da87ee15c" PartId="df6e63e565d344b89498bfd06f3cc9a9"/>
  <Part Type="priedas" Nr="6" Abbr="6 pr." Title="LIETUVOS RESPUBLIKOS 2025 METŲ VALSTYBĖS BIUDŽETO SPECIALIOS TIKSLINĖS DOTACIJOS SAVIVALDYBIŲ BIUDŽETAMS" DocPartId="aa1d6b53721b4196b83177e52adf6540" PartId="861e9de8e8cb4d80814ceec7d5f79ea5">
    <Part Type="pabaiga" DocPartId="8728442fafaa42549015cf53f8198f86" PartId="ef8c201a3c904274ba01028eedfc3667"/>
  </Part>
  <Part Type="priedas" Nr="7" Abbr="7 pr." Title="VALSTYBĖS INVESTICIJŲ 2025 METŲ PROGRAMA" DocPartId="6f00b58d92ab40b0b00d4ca0221c6c11" PartId="8cf3389bb6cc47c4990bc0fa097be494">
    <Part Type="pabaiga" DocPartId="f4d131c12f4e48d388ee5b7c4fd61199" PartId="aa548c1a2b8c44b3a26369b313b0409c"/>
  </Part>
  <Part Type="priedas" Nr="8" Abbr="8 pr." Title="2025 METŲ REZERVINIO (STABILIZAVIMO) FONDO LĖŠŲ SĄMATA" DocPartId="5466b2f9c3e34c0abfad66298a2815d0" PartId="8e60aa536454414db429bb42a7dbb1b6"/>
  <Part Type="priedas" Nr="9" Abbr="9 pr." Title="2025 METŲ VALSTYBĖS GYNYBOS FONDO LĖŠŲ SĄMATA" DocPartId="59c7e5a9fd50471fb3779a7f0e07a4aa" PartId="40f4bf6f49254f279c90664bb4c98b76"/>
  <Part Type="priedas" Nr="10" Abbr="10 pr." DocPartId="68c3ede5c39d4bd3a46145371ab32828" PartId="72b8022bcfeb4a60b1cf8b3352f0eaa5">
    <Part Type="punktas" Nr="1" Abbr="10 pr. 1 p." DocPartId="12ed7b0961d44859a4f24387bbe8e230" PartId="109607790f334facaf7167696e804af4"/>
    <Part Type="punktas" Nr="2" Abbr="10 pr. 2 p." DocPartId="d15720367e6e4d5fac58df4241220881" PartId="edf2f3b574184fb1b6c9081ffdaf4a51"/>
    <Part Type="punktas" Nr="3" Abbr="10 pr. 3 p." DocPartId="7b83549981424719bf4eac42ed59ef16" PartId="45ac081f21ee4b37ae56cfb574e4aa26"/>
    <Part Type="punktas" Nr="4" Abbr="10 pr. 4 p." DocPartId="4c7a30c699ad4910b5a324f76bedd349" PartId="833c3107e2124f2793e690f9dc39501c"/>
    <Part Type="punktas" Nr="5" Abbr="10 pr. 5 p." DocPartId="6d726a4f9ece4ae1bfd192c34d114420" PartId="9b362dd2de8a47b7ac46b63026c5850d"/>
    <Part Type="punktas" Nr="6" Abbr="10 pr. 6 p." DocPartId="4466935ef4d246a2a7ecc3b963efcb8b" PartId="c2e634d1a5684c1bb2533945d460d22a"/>
    <Part Type="punktas" Nr="7" Abbr="10 pr. 7 p." DocPartId="c093d2979bc84742ae1ab00f557cc3cc" PartId="e3332cfcbd4c40268e693c7a79957180"/>
  </Part>
</Parts>
</file>

<file path=customXml/itemProps1.xml><?xml version="1.0" encoding="utf-8"?>
<ds:datastoreItem xmlns:ds="http://schemas.openxmlformats.org/officeDocument/2006/customXml" ds:itemID="{5C48F172-C077-42B3-81C0-C02D1D1F2660}">
  <ds:schemaRefs>
    <ds:schemaRef ds:uri="http://schemas.openxmlformats.org/officeDocument/2006/bibliography"/>
  </ds:schemaRefs>
</ds:datastoreItem>
</file>

<file path=customXml/itemProps2.xml><?xml version="1.0" encoding="utf-8"?>
<ds:datastoreItem xmlns:ds="http://schemas.openxmlformats.org/officeDocument/2006/customXml" ds:itemID="{D41990A9-E876-441A-B4BD-08A1CB6C7B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8927</Words>
  <Characters>55351</Characters>
  <Application>Microsoft Office Word</Application>
  <DocSecurity>4</DocSecurity>
  <Lines>2913</Lines>
  <Paragraphs>2295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61983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2024-10-16T12:19:00Z</dcterms:created>
  <dc:creator>MOZERĖ Dainora</dc:creator>
  <lastModifiedBy>adlibuser</lastModifiedBy>
  <lastPrinted>2024-09-24T10:00:00Z</lastPrinted>
  <dcterms:modified xsi:type="dcterms:W3CDTF">2024-10-16T12:19:00Z</dcterms:modified>
  <revision>2</revision>
</coreProperties>
</file>