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c87bc2df9e4a5c8dd69f00f4696d26"/>
        <w:lock w:val="sdtLocked"/>
        <w:richText/>
      </w:sdtPr>
      <w:sdtContent>
        <w:p>
          <w:pPr>
            <w:shd w:val="clear" w:color="auto" w:fill="FFFFFF"/>
            <w:ind w:left="8080"/>
            <w:rPr>
              <w:rFonts w:eastAsia="Calibri"/>
              <w:b/>
              <w:position w:val="6"/>
              <w:szCs w:val="24"/>
              <w14:cntxtAlts/>
            </w:rPr>
          </w:pPr>
          <w:r>
            <w:rPr>
              <w:rFonts w:eastAsia="Calibri"/>
              <w:b/>
              <w:position w:val="6"/>
              <w:szCs w:val="24"/>
              <w14:cntxtAlts/>
            </w:rPr>
            <w:t>Projektas</w:t>
          </w:r>
        </w:p>
        <w:p>
          <w:pPr>
            <w:shd w:val="clear" w:color="auto" w:fill="FFFFFF"/>
            <w:ind w:left="6480" w:right="424" w:firstLine="1296"/>
            <w:jc w:val="center"/>
            <w:rPr>
              <w:rFonts w:eastAsia="Calibri"/>
              <w:bCs/>
              <w:position w:val="6"/>
              <w:szCs w:val="24"/>
              <w14:cntxtAlts/>
            </w:rPr>
          </w:pPr>
          <w:r>
            <w:rPr>
              <w:rFonts w:eastAsia="Calibri"/>
              <w:bCs/>
              <w:position w:val="6"/>
              <w:szCs w:val="24"/>
              <w14:cntxtAlts/>
            </w:rPr>
            <w:t>Nr. TSP-</w:t>
          </w:r>
        </w:p>
        <w:p>
          <w:pPr>
            <w:shd w:val="clear" w:color="auto" w:fill="FFFFFF"/>
            <w:ind w:left="6480" w:right="424" w:firstLine="1296"/>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2025–2027 METŲ BIUDŽETO PATVIRTINIMO</w:t>
          </w:r>
        </w:p>
        <w:p>
          <w:pPr>
            <w:shd w:val="clear" w:color="auto" w:fill="FFFFFF"/>
            <w:jc w:val="center"/>
            <w:rPr>
              <w:b/>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d. Nr. T-</w:t>
          </w:r>
        </w:p>
        <w:p>
          <w:pPr>
            <w:shd w:val="clear" w:color="auto" w:fill="FFFFFF"/>
            <w:jc w:val="center"/>
            <w:rPr>
              <w:bCs/>
              <w:position w:val="6"/>
              <w:szCs w:val="24"/>
              <w:lang w:eastAsia="lt-LT"/>
              <w14:cntxtAlts/>
            </w:rPr>
          </w:pPr>
          <w:r>
            <w:rPr>
              <w:bCs/>
              <w:position w:val="6"/>
              <w:szCs w:val="24"/>
              <w:lang w:eastAsia="lt-LT"/>
              <w14:cntxtAlts/>
            </w:rPr>
            <w:t>Radviliškis</w:t>
          </w:r>
        </w:p>
        <w:p>
          <w:pPr>
            <w:shd w:val="clear" w:color="auto" w:fill="FFFFFF"/>
            <w:jc w:val="both"/>
            <w:rPr>
              <w:position w:val="6"/>
              <w:szCs w:val="24"/>
              <w:lang w:eastAsia="lt-LT"/>
              <w14:cntxtAlts/>
            </w:rPr>
          </w:pPr>
        </w:p>
        <w:sdt>
          <w:sdtPr>
            <w:alias w:val="preambule"/>
            <w:tag w:val="part_802e4431103545e78653a77ea339f1e1"/>
            <w:lock w:val="sdtLocked"/>
            <w:richText/>
          </w:sdtPr>
          <w:sdtContent>
            <w:p>
              <w:pPr>
                <w:ind w:firstLine="709"/>
                <w:jc w:val="both"/>
                <w:rPr>
                  <w:color w:val="000000"/>
                  <w:szCs w:val="24"/>
                  <w:lang w:eastAsia="lt-LT"/>
                  <w14:cntxtAlts/>
                </w:rPr>
              </w:pPr>
              <w:r>
                <w:rPr>
                  <w:color w:val="000000"/>
                  <w:szCs w:val="24"/>
                  <w:lang w:eastAsia="lt-LT"/>
                  <w14:cntxtAlts/>
                </w:rPr>
                <w:t>Vadovaudamasi Lietuvos Respublikos vietos savivaldos įstatymo 15 straipsnio 2 dalies 12 punktu, 27 straipsnio 2 dalies 1 punktu, 66 straipsnio 1 dalimi,</w:t>
              </w:r>
              <w:r>
                <w:rPr>
                  <w:szCs w:val="24"/>
                </w:rPr>
                <w:t xml:space="preserve"> </w:t>
              </w:r>
              <w:r>
                <w:rPr>
                  <w:color w:val="000000"/>
                  <w:szCs w:val="24"/>
                  <w:lang w:eastAsia="lt-LT"/>
                  <w14:cntxtAlts/>
                </w:rPr>
                <w:t xml:space="preserve">Lietuvos Respublikos biudžeto sandaros įstatymo 16 straipsniu, Lietuvos Respublikos 2025–2027 metų biudžeto patvirtinimo įstatymu, atsižvelgdama į Radviliškio rajono savivaldybės mero 2025 m. sausio 23 d. potvarkį Nr. M-34 (2.5) „Dėl  Radviliškio rajono savivaldybės 2025–2027 m. biudžeto patvirtinimo“ Radviliškio rajono savivaldybės taryba </w:t>
              </w:r>
              <w:r>
                <w:rPr>
                  <w:color w:val="000000"/>
                  <w:spacing w:val="50"/>
                  <w:szCs w:val="24"/>
                  <w:lang w:eastAsia="lt-LT"/>
                  <w14:cntxtAlts/>
                </w:rPr>
                <w:t>nusprendži</w:t>
              </w:r>
              <w:r>
                <w:rPr>
                  <w:color w:val="000000"/>
                  <w:szCs w:val="24"/>
                  <w:lang w:eastAsia="lt-LT"/>
                  <w14:cntxtAlts/>
                </w:rPr>
                <w:t xml:space="preserve">a: </w:t>
              </w:r>
            </w:p>
          </w:sdtContent>
        </w:sdt>
        <w:sdt>
          <w:sdtPr>
            <w:alias w:val="1 p."/>
            <w:tag w:val="part_9c420a47baf94227915306b55f0ea6da"/>
            <w:lock w:val="sdtLocked"/>
            <w:richText/>
          </w:sdtPr>
          <w:sdtContent>
            <w:p>
              <w:pPr>
                <w:ind w:firstLine="709"/>
                <w:jc w:val="both"/>
                <w:rPr>
                  <w:color w:val="000000"/>
                  <w:szCs w:val="24"/>
                  <w:lang w:eastAsia="lt-LT"/>
                  <w14:cntxtAlts/>
                </w:rPr>
              </w:pPr>
              <w:sdt>
                <w:sdtPr>
                  <w:alias w:val="Numeris"/>
                  <w:tag w:val="nr_9c420a47baf94227915306b55f0ea6da"/>
                  <w:lock w:val="sdtLocked"/>
                  <w:richText/>
                </w:sdtPr>
                <w:sdtContent>
                  <w:r>
                    <w:rPr>
                      <w:color w:val="000000"/>
                      <w:szCs w:val="24"/>
                      <w:lang w:eastAsia="lt-LT"/>
                      <w14:cntxtAlts/>
                    </w:rPr>
                    <w:t>1</w:t>
                  </w:r>
                </w:sdtContent>
              </w:sdt>
              <w:r>
                <w:rPr>
                  <w:color w:val="000000"/>
                  <w:szCs w:val="24"/>
                  <w:lang w:eastAsia="lt-LT"/>
                  <w14:cntxtAlts/>
                </w:rPr>
                <w:t>. Patvirtinti Radviliškio rajono savivaldybės 2025 metų biudžetą (toliau – Savivaldybės biudžetas):</w:t>
              </w:r>
            </w:p>
            <w:sdt>
              <w:sdtPr>
                <w:alias w:val="1.1 pp."/>
                <w:tag w:val="part_207232041864497a8ccde9d41952ae0a"/>
                <w:lock w:val="sdtLocked"/>
                <w:richText/>
              </w:sdtPr>
              <w:sdtContent>
                <w:p>
                  <w:pPr>
                    <w:ind w:firstLine="709"/>
                    <w:jc w:val="both"/>
                    <w:rPr>
                      <w:color w:val="000000"/>
                      <w:szCs w:val="24"/>
                      <w:lang w:eastAsia="lt-LT"/>
                      <w14:cntxtAlts/>
                    </w:rPr>
                  </w:pPr>
                  <w:sdt>
                    <w:sdtPr>
                      <w:alias w:val="Numeris"/>
                      <w:tag w:val="nr_207232041864497a8ccde9d41952ae0a"/>
                      <w:lock w:val="sdtLocked"/>
                      <w:richText/>
                    </w:sdtPr>
                    <w:sdtContent>
                      <w:r>
                        <w:rPr>
                          <w:color w:val="000000"/>
                          <w:szCs w:val="24"/>
                          <w:lang w:eastAsia="lt-LT"/>
                          <w14:cntxtAlts/>
                        </w:rPr>
                        <w:t>1.1</w:t>
                      </w:r>
                    </w:sdtContent>
                  </w:sdt>
                  <w:r>
                    <w:rPr>
                      <w:color w:val="000000"/>
                      <w:szCs w:val="24"/>
                      <w:lang w:eastAsia="lt-LT"/>
                      <w14:cntxtAlts/>
                    </w:rPr>
                    <w:t>. pajamas – 81 175 156,63 Eur,</w:t>
                  </w:r>
                  <w:r>
                    <w:rPr>
                      <w:sz w:val="22"/>
                      <w:szCs w:val="22"/>
                    </w:rPr>
                    <w:t xml:space="preserve"> </w:t>
                  </w:r>
                  <w:r>
                    <w:rPr>
                      <w:color w:val="000000"/>
                      <w:szCs w:val="24"/>
                      <w:lang w:eastAsia="lt-LT"/>
                      <w14:cntxtAlts/>
                    </w:rPr>
                    <w:t xml:space="preserve">iš jų lėšų likučiai iš 2024 metų – 3 996 483,22 Eur (1 priedas); </w:t>
                  </w:r>
                </w:p>
              </w:sdtContent>
            </w:sdt>
            <w:sdt>
              <w:sdtPr>
                <w:alias w:val="1.2 pp."/>
                <w:tag w:val="part_4e81d1c583a0428ab642ac56c3525b6a"/>
                <w:lock w:val="sdtLocked"/>
                <w:richText/>
              </w:sdtPr>
              <w:sdtContent>
                <w:p>
                  <w:pPr>
                    <w:ind w:firstLine="709"/>
                    <w:jc w:val="both"/>
                    <w:rPr>
                      <w:color w:val="000000"/>
                      <w:szCs w:val="24"/>
                      <w:lang w:eastAsia="lt-LT"/>
                    </w:rPr>
                  </w:pPr>
                  <w:sdt>
                    <w:sdtPr>
                      <w:alias w:val="Numeris"/>
                      <w:tag w:val="nr_4e81d1c583a0428ab642ac56c3525b6a"/>
                      <w:lock w:val="sdtLocked"/>
                      <w:richText/>
                    </w:sdtPr>
                    <w:sdtContent>
                      <w:r>
                        <w:rPr>
                          <w:color w:val="000000"/>
                          <w:szCs w:val="24"/>
                          <w:lang w:eastAsia="lt-LT"/>
                          <w14:cntxtAlts/>
                        </w:rPr>
                        <w:t>1.2</w:t>
                      </w:r>
                    </w:sdtContent>
                  </w:sdt>
                  <w:r>
                    <w:rPr>
                      <w:color w:val="000000"/>
                      <w:szCs w:val="24"/>
                      <w:lang w:eastAsia="lt-LT"/>
                      <w14:cntxtAlts/>
                    </w:rPr>
                    <w:t>. asignavimus pagal programas, asignavimų valdytojus ir lėšų šaltinius – 81 175 156,63 Eur (2, 3 priedai)</w:t>
                  </w:r>
                  <w:r>
                    <w:rPr>
                      <w:color w:val="000000"/>
                      <w:spacing w:val="-6"/>
                      <w:szCs w:val="24"/>
                      <w:lang w:eastAsia="lt-LT"/>
                    </w:rPr>
                    <w:t>, iš jų:</w:t>
                  </w:r>
                </w:p>
                <w:sdt>
                  <w:sdtPr>
                    <w:alias w:val="1.2.1 pp."/>
                    <w:tag w:val="part_04dc8efd209b41568a0d15d49190c3ab"/>
                    <w:lock w:val="sdtLocked"/>
                    <w:richText/>
                  </w:sdtPr>
                  <w:sdtContent>
                    <w:p>
                      <w:pPr>
                        <w:ind w:firstLine="709"/>
                        <w:jc w:val="both"/>
                        <w:rPr>
                          <w:color w:val="000000"/>
                          <w:spacing w:val="-6"/>
                          <w:szCs w:val="24"/>
                          <w:lang w:eastAsia="lt-LT"/>
                        </w:rPr>
                      </w:pPr>
                      <w:sdt>
                        <w:sdtPr>
                          <w:alias w:val="Numeris"/>
                          <w:tag w:val="nr_04dc8efd209b41568a0d15d49190c3ab"/>
                          <w:lock w:val="sdtLocked"/>
                          <w:richText/>
                        </w:sdtPr>
                        <w:sdtContent>
                          <w:r>
                            <w:rPr>
                              <w:color w:val="000000"/>
                              <w:spacing w:val="-6"/>
                              <w:szCs w:val="24"/>
                              <w:lang w:eastAsia="lt-LT"/>
                            </w:rPr>
                            <w:t>1.2.1</w:t>
                          </w:r>
                        </w:sdtContent>
                      </w:sdt>
                      <w:r>
                        <w:rPr>
                          <w:color w:val="000000"/>
                          <w:spacing w:val="-6"/>
                          <w:szCs w:val="24"/>
                          <w:lang w:eastAsia="lt-LT"/>
                        </w:rPr>
                        <w:t>. Infrastruktūros objektų modernizavimo ir plėtros projektų sąrašą (2.1 priedas).</w:t>
                      </w:r>
                    </w:p>
                  </w:sdtContent>
                </w:sdt>
              </w:sdtContent>
            </w:sdt>
          </w:sdtContent>
        </w:sdt>
        <w:sdt>
          <w:sdtPr>
            <w:alias w:val="2 p."/>
            <w:tag w:val="part_1bf632af25074b83a6a4feb00abacbfe"/>
            <w:lock w:val="sdtLocked"/>
            <w:richText/>
          </w:sdtPr>
          <w:sdtContent>
            <w:p>
              <w:pPr>
                <w:ind w:firstLine="709"/>
                <w:jc w:val="both"/>
                <w:rPr>
                  <w:color w:val="000000"/>
                  <w:spacing w:val="-6"/>
                  <w:szCs w:val="24"/>
                  <w:lang w:eastAsia="lt-LT"/>
                </w:rPr>
              </w:pPr>
              <w:sdt>
                <w:sdtPr>
                  <w:alias w:val="Numeris"/>
                  <w:tag w:val="nr_1bf632af25074b83a6a4feb00abacbfe"/>
                  <w:lock w:val="sdtLocked"/>
                  <w:richText/>
                </w:sdtPr>
                <w:sdtContent>
                  <w:r>
                    <w:rPr>
                      <w:color w:val="000000"/>
                      <w:spacing w:val="-6"/>
                      <w:szCs w:val="24"/>
                      <w:lang w:eastAsia="lt-LT"/>
                    </w:rPr>
                    <w:t>2</w:t>
                  </w:r>
                </w:sdtContent>
              </w:sdt>
              <w:r>
                <w:rPr>
                  <w:color w:val="000000"/>
                  <w:spacing w:val="-6"/>
                  <w:szCs w:val="24"/>
                  <w:lang w:eastAsia="lt-LT"/>
                </w:rPr>
                <w:t xml:space="preserve">. Patvirtinti planuojamas Radviliškio rajono savivaldybės 2026 metų biudžeto pajamas – 83 937 376,00 Eur ir 2027 metų biudžeto pajamas – 85 912 181,00  Eur. </w:t>
              </w:r>
            </w:p>
          </w:sdtContent>
        </w:sdt>
        <w:sdt>
          <w:sdtPr>
            <w:alias w:val="3 p."/>
            <w:tag w:val="part_803aa6d7b5d44694bb36a0400c9d7ba5"/>
            <w:lock w:val="sdtLocked"/>
            <w:richText/>
          </w:sdtPr>
          <w:sdtContent>
            <w:p>
              <w:pPr>
                <w:ind w:firstLine="709"/>
                <w:jc w:val="both"/>
                <w:rPr>
                  <w:color w:val="000000"/>
                  <w:spacing w:val="-6"/>
                  <w:szCs w:val="24"/>
                  <w:lang w:eastAsia="lt-LT"/>
                </w:rPr>
              </w:pPr>
              <w:sdt>
                <w:sdtPr>
                  <w:alias w:val="Numeris"/>
                  <w:tag w:val="nr_803aa6d7b5d44694bb36a0400c9d7ba5"/>
                  <w:lock w:val="sdtLocked"/>
                  <w:richText/>
                </w:sdtPr>
                <w:sdtContent>
                  <w:r>
                    <w:rPr>
                      <w:color w:val="000000"/>
                      <w:spacing w:val="-6"/>
                      <w:szCs w:val="24"/>
                      <w:lang w:eastAsia="lt-LT"/>
                    </w:rPr>
                    <w:t>3</w:t>
                  </w:r>
                </w:sdtContent>
              </w:sdt>
              <w:r>
                <w:rPr>
                  <w:color w:val="000000"/>
                  <w:spacing w:val="-6"/>
                  <w:szCs w:val="24"/>
                  <w:lang w:eastAsia="lt-LT"/>
                </w:rPr>
                <w:t xml:space="preserve">. Patvirtinti planuojamus asignavimus programoms vykdyti 2026 metais –83 937 376,00 Eur ir 2027 metais  – 85 912 181,00 Eur.</w:t>
              </w:r>
            </w:p>
          </w:sdtContent>
        </w:sdt>
        <w:sdt>
          <w:sdtPr>
            <w:alias w:val="4 p."/>
            <w:tag w:val="part_28f7d62ddc414f40ac3b2f86caa1ac73"/>
            <w:lock w:val="sdtLocked"/>
            <w:richText/>
          </w:sdtPr>
          <w:sdtContent>
            <w:p>
              <w:pPr>
                <w:ind w:firstLine="709"/>
                <w:jc w:val="both"/>
                <w:rPr>
                  <w:color w:val="000000"/>
                  <w:szCs w:val="24"/>
                  <w:lang w:eastAsia="lt-LT"/>
                </w:rPr>
              </w:pPr>
              <w:sdt>
                <w:sdtPr>
                  <w:alias w:val="Numeris"/>
                  <w:tag w:val="nr_28f7d62ddc414f40ac3b2f86caa1ac73"/>
                  <w:lock w:val="sdtLocked"/>
                  <w:richText/>
                </w:sdtPr>
                <w:sdtContent>
                  <w:r>
                    <w:rPr>
                      <w:color w:val="000000"/>
                      <w:spacing w:val="-6"/>
                      <w:szCs w:val="24"/>
                      <w:lang w:eastAsia="lt-LT"/>
                    </w:rPr>
                    <w:t>4</w:t>
                  </w:r>
                </w:sdtContent>
              </w:sdt>
              <w:r>
                <w:rPr>
                  <w:color w:val="000000"/>
                  <w:spacing w:val="-6"/>
                  <w:szCs w:val="24"/>
                  <w:lang w:eastAsia="lt-LT"/>
                </w:rPr>
                <w:t>. Nustatyti Radviliškio rajono savivaldybės mero rezervą 124 000,00 Eur.</w:t>
              </w:r>
            </w:p>
          </w:sdtContent>
        </w:sdt>
        <w:sdt>
          <w:sdtPr>
            <w:alias w:val="5 p."/>
            <w:tag w:val="part_240664ddc6484c428cde4bcd9d2858c1"/>
            <w:lock w:val="sdtLocked"/>
            <w:richText/>
          </w:sdtPr>
          <w:sdtContent>
            <w:p>
              <w:pPr>
                <w:ind w:firstLine="709"/>
                <w:jc w:val="both"/>
                <w:rPr>
                  <w:color w:val="000000"/>
                  <w:spacing w:val="-6"/>
                  <w:szCs w:val="24"/>
                  <w:lang w:eastAsia="lt-LT"/>
                </w:rPr>
              </w:pPr>
              <w:sdt>
                <w:sdtPr>
                  <w:alias w:val="Numeris"/>
                  <w:tag w:val="nr_240664ddc6484c428cde4bcd9d2858c1"/>
                  <w:lock w:val="sdtLocked"/>
                  <w:richText/>
                </w:sdtPr>
                <w:sdtContent>
                  <w:r>
                    <w:rPr>
                      <w:color w:val="000000"/>
                      <w:spacing w:val="-6"/>
                      <w:szCs w:val="24"/>
                      <w:lang w:eastAsia="lt-LT"/>
                    </w:rPr>
                    <w:t>5</w:t>
                  </w:r>
                </w:sdtContent>
              </w:sdt>
              <w:r>
                <w:rPr>
                  <w:color w:val="000000"/>
                  <w:spacing w:val="-6"/>
                  <w:szCs w:val="24"/>
                  <w:lang w:eastAsia="lt-LT"/>
                </w:rPr>
                <w:t>. Nustatyti, kad:</w:t>
              </w:r>
            </w:p>
            <w:sdt>
              <w:sdtPr>
                <w:alias w:val="5.1 pp."/>
                <w:tag w:val="part_f9071643d1c84ce6b0c33a7ee849d3b9"/>
                <w:lock w:val="sdtLocked"/>
                <w:richText/>
              </w:sdtPr>
              <w:sdtContent>
                <w:p>
                  <w:pPr>
                    <w:ind w:firstLine="709"/>
                    <w:jc w:val="both"/>
                    <w:rPr>
                      <w:color w:val="000000"/>
                      <w:spacing w:val="-6"/>
                      <w:szCs w:val="24"/>
                      <w:lang w:eastAsia="lt-LT"/>
                    </w:rPr>
                  </w:pPr>
                  <w:sdt>
                    <w:sdtPr>
                      <w:alias w:val="Numeris"/>
                      <w:tag w:val="nr_f9071643d1c84ce6b0c33a7ee849d3b9"/>
                      <w:lock w:val="sdtLocked"/>
                      <w:richText/>
                    </w:sdtPr>
                    <w:sdtContent>
                      <w:r>
                        <w:rPr>
                          <w:color w:val="000000"/>
                          <w:spacing w:val="-6"/>
                          <w:szCs w:val="24"/>
                          <w:lang w:eastAsia="lt-LT"/>
                        </w:rPr>
                        <w:t>5.1</w:t>
                      </w:r>
                    </w:sdtContent>
                  </w:sdt>
                  <w:r>
                    <w:rPr>
                      <w:color w:val="000000"/>
                      <w:spacing w:val="-6"/>
                      <w:szCs w:val="24"/>
                      <w:lang w:eastAsia="lt-LT"/>
                    </w:rPr>
                    <w:t>. Savivaldybės biudžeto asignavimų valdytojų vadovai išanalizuoja įsiskolinimų priežastis ir imasi priemonių įsiskolinimui sumažinti, o sudarydami ir tvirtindami 2025 m. išlaidų sąmatas, numato reikiamų asignavimų dalį 2024 m. gruodžio 31 d. esančiam įsiskolinimui už suteiktas paslaugas, atliktus darbus ir įsigytas prekes padengti. Iš sutaupytų asignavimų išlaidoms pirmiausiai turi būti dengiamas įsiskolinimas už suteiktas paslaugas, atliktus darbus ir įsigytas prekes;</w:t>
                  </w:r>
                </w:p>
              </w:sdtContent>
            </w:sdt>
            <w:sdt>
              <w:sdtPr>
                <w:alias w:val="5.2 pp."/>
                <w:tag w:val="part_2d06c1be56c2410ca2a9d93f4832a484"/>
                <w:lock w:val="sdtLocked"/>
                <w:richText/>
              </w:sdtPr>
              <w:sdtContent>
                <w:p>
                  <w:pPr>
                    <w:ind w:firstLine="709"/>
                    <w:jc w:val="both"/>
                    <w:rPr>
                      <w:szCs w:val="24"/>
                      <w:lang w:eastAsia="lt-LT"/>
                    </w:rPr>
                  </w:pPr>
                  <w:sdt>
                    <w:sdtPr>
                      <w:alias w:val="Numeris"/>
                      <w:tag w:val="nr_2d06c1be56c2410ca2a9d93f4832a484"/>
                      <w:lock w:val="sdtLocked"/>
                      <w:richText/>
                    </w:sdtPr>
                    <w:sdtContent>
                      <w:r>
                        <w:rPr>
                          <w:color w:val="000000"/>
                          <w:spacing w:val="-6"/>
                          <w:szCs w:val="24"/>
                          <w:lang w:eastAsia="lt-LT"/>
                        </w:rPr>
                        <w:t>5.2</w:t>
                      </w:r>
                    </w:sdtContent>
                  </w:sdt>
                  <w:r>
                    <w:rPr>
                      <w:color w:val="000000"/>
                      <w:spacing w:val="-6"/>
                      <w:szCs w:val="24"/>
                      <w:lang w:eastAsia="lt-LT"/>
                    </w:rPr>
                    <w:t xml:space="preserve">. </w:t>
                  </w:r>
                  <w:r>
                    <w:rPr>
                      <w:szCs w:val="24"/>
                      <w:lang w:eastAsia="lt-LT"/>
                    </w:rPr>
                    <w:t>Savivaldybės biudžeto asignavimų valdytojų vadovai ir jiems pavaldžių kitų subjektų vadovai įstatymų nustatyta tvarka atsako už programų vykdymą neviršijant patvirtintų asignavimų sumų;</w:t>
                  </w:r>
                </w:p>
              </w:sdtContent>
            </w:sdt>
            <w:sdt>
              <w:sdtPr>
                <w:alias w:val="5.3 pp."/>
                <w:tag w:val="part_7a5ae645c76b42209e8fc5089fd2a7f9"/>
                <w:lock w:val="sdtLocked"/>
                <w:richText/>
              </w:sdtPr>
              <w:sdtContent>
                <w:p>
                  <w:pPr>
                    <w:ind w:firstLine="709"/>
                    <w:jc w:val="both"/>
                    <w:rPr>
                      <w:color w:val="000000"/>
                      <w:spacing w:val="-6"/>
                      <w:szCs w:val="24"/>
                      <w:lang w:eastAsia="lt-LT"/>
                    </w:rPr>
                  </w:pPr>
                  <w:sdt>
                    <w:sdtPr>
                      <w:alias w:val="Numeris"/>
                      <w:tag w:val="nr_7a5ae645c76b42209e8fc5089fd2a7f9"/>
                      <w:lock w:val="sdtLocked"/>
                      <w:richText/>
                    </w:sdtPr>
                    <w:sdtContent>
                      <w:r>
                        <w:rPr>
                          <w:color w:val="000000"/>
                          <w:spacing w:val="-6"/>
                          <w:szCs w:val="24"/>
                          <w:lang w:eastAsia="lt-LT"/>
                        </w:rPr>
                        <w:t>5.3</w:t>
                      </w:r>
                    </w:sdtContent>
                  </w:sdt>
                  <w:r>
                    <w:rPr>
                      <w:color w:val="000000"/>
                      <w:spacing w:val="-6"/>
                      <w:szCs w:val="24"/>
                      <w:lang w:eastAsia="lt-LT"/>
                    </w:rPr>
                    <w:t>. Planuojama metinė įsiskolinimų (mokėtinų sumų, išskyrus sumas paskoloms grąžinti) pokyčio suma 2025 metų gruodžio 31 d. – 0,00 Eur;</w:t>
                  </w:r>
                </w:p>
              </w:sdtContent>
            </w:sdt>
            <w:sdt>
              <w:sdtPr>
                <w:alias w:val="5.4 pp."/>
                <w:tag w:val="part_b7963eb7aeb543f3b60ae13818bb25ef"/>
                <w:lock w:val="sdtLocked"/>
                <w:richText/>
              </w:sdtPr>
              <w:sdtContent>
                <w:p>
                  <w:pPr>
                    <w:ind w:firstLine="709"/>
                    <w:jc w:val="both"/>
                    <w:rPr>
                      <w:color w:val="000000"/>
                      <w:spacing w:val="-6"/>
                      <w:szCs w:val="24"/>
                      <w:lang w:eastAsia="lt-LT"/>
                    </w:rPr>
                  </w:pPr>
                  <w:sdt>
                    <w:sdtPr>
                      <w:alias w:val="Numeris"/>
                      <w:tag w:val="nr_b7963eb7aeb543f3b60ae13818bb25ef"/>
                      <w:lock w:val="sdtLocked"/>
                      <w:richText/>
                    </w:sdtPr>
                    <w:sdtContent>
                      <w:r>
                        <w:rPr>
                          <w:color w:val="000000"/>
                          <w:spacing w:val="-6"/>
                          <w:szCs w:val="24"/>
                          <w:lang w:eastAsia="lt-LT"/>
                        </w:rPr>
                        <w:t>5.4</w:t>
                      </w:r>
                    </w:sdtContent>
                  </w:sdt>
                  <w:r>
                    <w:rPr>
                      <w:color w:val="000000"/>
                      <w:spacing w:val="-6"/>
                      <w:szCs w:val="24"/>
                      <w:lang w:eastAsia="lt-LT"/>
                    </w:rPr>
                    <w:t xml:space="preserve">.  Savivaldybės biudžetinės įstaigos savo vardu negali prisiimti jokių skolinių įsipareigojimų pagal įsipareigojamuosius skolos dokumentus, įskaitant paskolas, finansinės nuomos (lizingo) sutartis.</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t xml:space="preserve">              </w:t>
                  </w:r>
                </w:p>
                <w:p>
                  <w:pPr>
                    <w:jc w:val="both"/>
                    <w:rPr>
                      <w:szCs w:val="24"/>
                    </w:rPr>
                  </w:pPr>
                </w:p>
                <w:p>
                  <w:pPr>
                    <w:jc w:val="both"/>
                    <w:rPr>
                      <w:szCs w:val="24"/>
                    </w:rPr>
                  </w:pPr>
                </w:p>
                <w:p>
                  <w:pPr>
                    <w:jc w:val="both"/>
                    <w:rPr>
                      <w:szCs w:val="24"/>
                    </w:rPr>
                  </w:pPr>
                </w:p>
                <w:p>
                  <w:pPr>
                    <w:jc w:val="both"/>
                    <w:rPr>
                      <w:szCs w:val="24"/>
                    </w:rPr>
                  </w:pPr>
                </w:p>
                <w:p>
                  <w:pPr>
                    <w:shd w:val="clear" w:color="auto" w:fill="FFFFFF"/>
                    <w:rPr>
                      <w:b/>
                      <w:position w:val="6"/>
                      <w:szCs w:val="24"/>
                      <w:lang w:eastAsia="lt-LT"/>
                      <w14:cntxtAlts/>
                    </w:rPr>
                  </w:pPr>
                </w:p>
                <w:p>
                  <w:pPr>
                    <w:shd w:val="clear" w:color="auto" w:fill="FFFFFF"/>
                    <w:rPr>
                      <w:b/>
                      <w:position w:val="6"/>
                      <w:szCs w:val="24"/>
                      <w:lang w:eastAsia="lt-LT"/>
                      <w14:cntxtAlts/>
                    </w:rPr>
                  </w:pPr>
                </w:p>
              </w:sdtContent>
            </w:sdt>
          </w:sdtContent>
        </w:sdt>
        <w:sdt>
          <w:sdtPr>
            <w:alias w:val="skirsnis"/>
            <w:tag w:val="part_57f1c6408dc840ebaa5aea94195cd98f"/>
            <w:lock w:val="sdtLocked"/>
            <w:richText/>
          </w:sdtPr>
          <w:sdtContent>
            <w:sdt>
              <w:sdtPr>
                <w:alias w:val="Pavadinimas"/>
                <w:tag w:val="title_57f1c6408dc840ebaa5aea94195cd98f"/>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2025–2027 METŲ BIUDŽETO PATVIRTINIMO“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2025 m. sausio 29 d.</w:t>
              </w:r>
            </w:p>
            <w:p>
              <w:pPr>
                <w:shd w:val="clear" w:color="auto" w:fill="FFFFFF"/>
                <w:jc w:val="center"/>
                <w:rPr>
                  <w:bCs/>
                  <w:szCs w:val="24"/>
                </w:rPr>
              </w:pPr>
              <w:r>
                <w:rPr>
                  <w:bCs/>
                  <w:position w:val="6"/>
                  <w:szCs w:val="24"/>
                  <w:lang w:eastAsia="lt-LT"/>
                  <w14:cntxtAlts/>
                </w:rPr>
                <w:t>Radviliškis</w:t>
              </w:r>
            </w:p>
            <w:p>
              <w:pPr>
                <w:ind w:left="709"/>
                <w:rPr>
                  <w:b/>
                  <w:bCs/>
                  <w:szCs w:val="24"/>
                  <w:lang w:eastAsia="lt-LT"/>
                </w:rPr>
              </w:pPr>
            </w:p>
            <w:sdt>
              <w:sdtPr>
                <w:alias w:val="1 p."/>
                <w:tag w:val="part_f323c9c4d62f45c4b685ff63ba068fe3"/>
                <w:lock w:val="sdtLocked"/>
                <w:richText/>
              </w:sdtPr>
              <w:sdtContent>
                <w:p>
                  <w:pPr>
                    <w:spacing w:line="254" w:lineRule="auto"/>
                    <w:ind w:firstLine="720"/>
                    <w:jc w:val="both"/>
                    <w:rPr>
                      <w:b/>
                      <w:szCs w:val="24"/>
                    </w:rPr>
                  </w:pPr>
                  <w:sdt>
                    <w:sdtPr>
                      <w:alias w:val="Numeris"/>
                      <w:tag w:val="nr_f323c9c4d62f45c4b685ff63ba068fe3"/>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bCs/>
                      <w:szCs w:val="24"/>
                      <w:shd w:val="clear" w:color="auto" w:fill="FFFFFF"/>
                    </w:rPr>
                  </w:pPr>
                  <w:r>
                    <w:rPr>
                      <w:bCs/>
                      <w:szCs w:val="24"/>
                      <w:shd w:val="clear" w:color="auto" w:fill="FFFFFF"/>
                    </w:rPr>
                    <w:t xml:space="preserve">Lietuvos Respublikos teisės aktų, reglamentuojančių savivaldybės biudžeto rengimą ir tvirtinimą, įgyvendinimas. Siekis, kad būtų patvirtintas Radviliškio rajono savivaldybės (toliau – savivaldybė) 2025–2027 metų biudžetas. Pirmų, t. y. 2025,  biudžetinių metų bendra pajamų suma ir jų paskirstymas pagal pajamų rūšis, bendra asignavimų suma ir jų paskirstymas asignavimų valdytojams programoms vykdyti, planuojama metinė įsiskolinimų</w:t>
                  </w:r>
                  <w:r>
                    <w:rPr>
                      <w:sz w:val="22"/>
                      <w:szCs w:val="22"/>
                    </w:rPr>
                    <w:t xml:space="preserve"> </w:t>
                  </w:r>
                  <w:r>
                    <w:rPr>
                      <w:bCs/>
                      <w:szCs w:val="24"/>
                      <w:shd w:val="clear" w:color="auto" w:fill="FFFFFF"/>
                    </w:rPr>
                    <w:t>(mokėtinų sumų, išskyrus paskoloms grąžinti) pokyčio suma. Bendros antrųjų ir trečiųjų biudžetinių metų planuojamų pajamų sumos ir</w:t>
                  </w:r>
                  <w:r>
                    <w:rPr>
                      <w:sz w:val="22"/>
                      <w:szCs w:val="22"/>
                    </w:rPr>
                    <w:t xml:space="preserve"> </w:t>
                  </w:r>
                  <w:r>
                    <w:rPr>
                      <w:bCs/>
                      <w:szCs w:val="24"/>
                      <w:shd w:val="clear" w:color="auto" w:fill="FFFFFF"/>
                    </w:rPr>
                    <w:t xml:space="preserve">bendros antrųjų ir trečiųjų biudžetinių metų planuojamų asignavimų sumos. </w:t>
                  </w:r>
                </w:p>
              </w:sdtContent>
            </w:sdt>
            <w:sdt>
              <w:sdtPr>
                <w:alias w:val="2 p."/>
                <w:tag w:val="part_6629be57e64f4136ae01b81878cd93e9"/>
                <w:lock w:val="sdtLocked"/>
                <w:richText/>
              </w:sdtPr>
              <w:sdtContent>
                <w:p>
                  <w:pPr>
                    <w:ind w:firstLine="709"/>
                    <w:jc w:val="both"/>
                    <w:rPr>
                      <w:b/>
                      <w:szCs w:val="24"/>
                      <w:shd w:val="clear" w:color="auto" w:fill="FFFFFF"/>
                    </w:rPr>
                  </w:pPr>
                  <w:sdt>
                    <w:sdtPr>
                      <w:alias w:val="Numeris"/>
                      <w:tag w:val="nr_6629be57e64f4136ae01b81878cd93e9"/>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szCs w:val="24"/>
                      <w:shd w:val="clear" w:color="auto" w:fill="FFFFFF"/>
                    </w:rPr>
                  </w:pPr>
                  <w:r>
                    <w:rPr>
                      <w:bCs/>
                      <w:szCs w:val="24"/>
                      <w:shd w:val="clear" w:color="auto" w:fill="FFFFFF"/>
                    </w:rPr>
                    <w:t xml:space="preserve">Projekto iniciatorius – Radviliškio rajono savivaldybės meras. Projektą parengė – </w:t>
                  </w:r>
                  <w:r>
                    <w:rPr>
                      <w:szCs w:val="24"/>
                      <w:shd w:val="clear" w:color="auto" w:fill="FFFFFF"/>
                    </w:rPr>
                    <w:t>Finansų skyriaus vedėja Lina Baškevičienė, tel. (8 422) 69020.</w:t>
                  </w:r>
                </w:p>
              </w:sdtContent>
            </w:sdt>
            <w:sdt>
              <w:sdtPr>
                <w:alias w:val="3 p."/>
                <w:tag w:val="part_a44d75c2d4754b8ba3773a351ece2f01"/>
                <w:lock w:val="sdtLocked"/>
                <w:richText/>
              </w:sdtPr>
              <w:sdtContent>
                <w:p>
                  <w:pPr>
                    <w:tabs>
                      <w:tab w:val="left" w:pos="7513"/>
                    </w:tabs>
                    <w:spacing w:line="254" w:lineRule="auto"/>
                    <w:ind w:firstLine="709"/>
                    <w:rPr>
                      <w:b/>
                      <w:szCs w:val="24"/>
                      <w:shd w:val="clear" w:color="auto" w:fill="FFFFFF"/>
                    </w:rPr>
                  </w:pPr>
                  <w:sdt>
                    <w:sdtPr>
                      <w:alias w:val="Numeris"/>
                      <w:tag w:val="nr_a44d75c2d4754b8ba3773a351ece2f01"/>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3 straipsnio 3 dalis numato, kad savivaldybės meras yra vykdomoji institucija, 15 straipsnio 2 dalies 12 punktas numato savivaldybės tarybos kompetenciją tvirtinti ir tikslinti savivaldybės biudžetą,</w:t>
                  </w:r>
                  <w:r>
                    <w:rPr>
                      <w:szCs w:val="24"/>
                    </w:rPr>
                    <w:t xml:space="preserve"> 2</w:t>
                  </w:r>
                  <w:r>
                    <w:rPr>
                      <w:bCs/>
                      <w:szCs w:val="24"/>
                      <w:shd w:val="clear" w:color="auto" w:fill="FFFFFF"/>
                    </w:rPr>
                    <w:t xml:space="preserve">7 straipsnio 2  dalies 1  punktas numato, kad savivaldybės meras sudaro ir teikia savivaldybės tarybai savivaldybės biudžeto projektą, biudžeto tikslinimą ir savivaldybės metinių ataskaitų rinkinį, 66 straipsnio 1 dalis numato, kad kiekviena savivaldybė turi savarankišką biudžetą, savivaldybės biudžetas sudaromas ir tvirtinamas Lietuvos Respublikos biudžeto sandaros įstatyme nustatyta tvarka ir Vyriausybės nutarimu tvirtinamose taisyklėse,</w:t>
                  </w:r>
                  <w:r>
                    <w:rPr>
                      <w:szCs w:val="24"/>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2025–2027 metų biudžeto patvirtinimo įstatymu patvirtinti savivaldybių  biudžetų finansiniai rodikliai ir valstybės biudžeto dotacijų savivaldybių biudžetams paskirstymas ir pervedimas.</w:t>
                  </w:r>
                </w:p>
              </w:sdtContent>
            </w:sdt>
            <w:sdt>
              <w:sdtPr>
                <w:alias w:val="4 p."/>
                <w:tag w:val="part_3cea441c05304571bde8f52e4ee141c4"/>
                <w:lock w:val="sdtLocked"/>
                <w:richText/>
              </w:sdtPr>
              <w:sdtContent>
                <w:p>
                  <w:pPr>
                    <w:tabs>
                      <w:tab w:val="left" w:pos="7513"/>
                    </w:tabs>
                    <w:spacing w:line="254" w:lineRule="auto"/>
                    <w:ind w:firstLine="709"/>
                    <w:jc w:val="both"/>
                    <w:rPr>
                      <w:bCs/>
                      <w:szCs w:val="24"/>
                      <w:shd w:val="clear" w:color="auto" w:fill="FFFFFF"/>
                    </w:rPr>
                  </w:pPr>
                  <w:sdt>
                    <w:sdtPr>
                      <w:alias w:val="Numeris"/>
                      <w:tag w:val="nr_3cea441c05304571bde8f52e4ee141c4"/>
                      <w:lock w:val="sdtLocked"/>
                      <w:richText/>
                    </w:sdtPr>
                    <w:sdtContent>
                      <w:r>
                        <w:rPr>
                          <w:b/>
                          <w:szCs w:val="24"/>
                          <w:shd w:val="clear" w:color="auto" w:fill="FFFFFF"/>
                        </w:rPr>
                        <w:t>4</w:t>
                      </w:r>
                    </w:sdtContent>
                  </w:sdt>
                  <w:r>
                    <w:rPr>
                      <w:bCs/>
                      <w:szCs w:val="24"/>
                      <w:shd w:val="clear" w:color="auto" w:fill="FFFFFF"/>
                    </w:rPr>
                    <w:t>.</w:t>
                  </w:r>
                  <w:r>
                    <w:rPr>
                      <w:szCs w:val="24"/>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ind w:firstLine="709"/>
                    <w:jc w:val="both"/>
                    <w:rPr>
                      <w:bCs/>
                      <w:szCs w:val="24"/>
                      <w:shd w:val="clear" w:color="auto" w:fill="FFFFFF"/>
                    </w:rPr>
                  </w:pPr>
                  <w:r>
                    <w:rPr>
                      <w:bCs/>
                      <w:szCs w:val="24"/>
                      <w:shd w:val="clear" w:color="auto" w:fill="FFFFFF"/>
                    </w:rPr>
                    <w:t xml:space="preserve">Patvirtinus 2025–2027 m. savivaldybės biudžetą, sprendimas atitiks galiojančius teisės aktus ir bus galimybė toliau užtikrinti Savivaldybės veiklų vykdymą ir funkcijų užtikrinimą. Priimtas sprendimo  projektas įtakos kriminogeninei situacijai ir korupcijai neturės.</w:t>
                  </w:r>
                </w:p>
              </w:sdtContent>
            </w:sdt>
            <w:sdt>
              <w:sdtPr>
                <w:alias w:val="5 p."/>
                <w:tag w:val="part_72d1ca2f69e54361b8ff57f0f6711442"/>
                <w:lock w:val="sdtLocked"/>
                <w:richText/>
              </w:sdtPr>
              <w:sdtContent>
                <w:p>
                  <w:pPr>
                    <w:tabs>
                      <w:tab w:val="left" w:pos="0"/>
                    </w:tabs>
                    <w:spacing w:line="254" w:lineRule="auto"/>
                    <w:ind w:firstLine="709"/>
                    <w:jc w:val="both"/>
                    <w:rPr>
                      <w:b/>
                      <w:szCs w:val="24"/>
                      <w:shd w:val="clear" w:color="auto" w:fill="FFFFFF"/>
                    </w:rPr>
                  </w:pPr>
                  <w:sdt>
                    <w:sdtPr>
                      <w:alias w:val="Numeris"/>
                      <w:tag w:val="nr_72d1ca2f69e54361b8ff57f0f6711442"/>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4683080ea74f48088ab85e83e565dd02"/>
                <w:lock w:val="sdtLocked"/>
                <w:richText/>
              </w:sdtPr>
              <w:sdtContent>
                <w:p>
                  <w:pPr>
                    <w:spacing w:line="254" w:lineRule="auto"/>
                    <w:ind w:left="-709" w:firstLine="1418"/>
                    <w:jc w:val="both"/>
                    <w:rPr>
                      <w:b/>
                      <w:bCs/>
                      <w:szCs w:val="24"/>
                    </w:rPr>
                  </w:pPr>
                  <w:sdt>
                    <w:sdtPr>
                      <w:alias w:val="Numeris"/>
                      <w:tag w:val="nr_4683080ea74f48088ab85e83e565dd02"/>
                      <w:lock w:val="sdtLocked"/>
                      <w:richText/>
                    </w:sdtPr>
                    <w:sdtContent>
                      <w:r>
                        <w:rPr>
                          <w:b/>
                          <w:bCs/>
                          <w:szCs w:val="24"/>
                        </w:rPr>
                        <w:t>6</w:t>
                      </w:r>
                    </w:sdtContent>
                  </w:sdt>
                  <w:r>
                    <w:rPr>
                      <w:b/>
                      <w:bCs/>
                      <w:szCs w:val="24"/>
                    </w:rPr>
                    <w:t>. Kokius teisės aktus būtina priimti, kokius galiojančius teisės aktus būtina pakeisti ar</w:t>
                  </w:r>
                </w:p>
              </w:sdtContent>
            </w:sdt>
          </w:sdtContent>
        </w:sdt>
        <w:sdt>
          <w:sdtPr>
            <w:alias w:val="skirsnis"/>
            <w:tag w:val="part_8c36f981f14e4938ad145c65e8d0fff5"/>
            <w:lock w:val="sdtLocked"/>
            <w:richText/>
          </w:sdtPr>
          <w:sdtContent>
            <w:p>
              <w:pPr>
                <w:spacing w:line="254" w:lineRule="auto"/>
                <w:jc w:val="both"/>
                <w:rPr>
                  <w:b/>
                  <w:bCs/>
                  <w:szCs w:val="24"/>
                </w:rPr>
              </w:pPr>
              <w:sdt>
                <w:sdtPr>
                  <w:alias w:val="Pavadinimas"/>
                  <w:tag w:val="title_8c36f981f14e4938ad145c65e8d0fff5"/>
                  <w:lock w:val="sdtLocked"/>
                  <w:richText/>
                </w:sdtPr>
                <w:sdtContent>
                  <w:r>
                    <w:rPr>
                      <w:b/>
                      <w:bCs/>
                      <w:szCs w:val="24"/>
                    </w:rPr>
                    <w:t>pripažinti netekusiais galios priėmus sprendimo projektą.</w:t>
                  </w:r>
                </w:sdtContent>
              </w:sdt>
            </w:p>
            <w:p>
              <w:pPr>
                <w:spacing w:line="254" w:lineRule="auto"/>
                <w:ind w:firstLine="744"/>
                <w:jc w:val="both"/>
                <w:rPr>
                  <w:szCs w:val="24"/>
                </w:rPr>
              </w:pPr>
              <w:r>
                <w:rPr>
                  <w:szCs w:val="24"/>
                </w:rPr>
                <w:t>Priėmus šį teisės aktą, galiojančių sprendimų keisti nereikės.</w:t>
              </w:r>
            </w:p>
            <w:sdt>
              <w:sdtPr>
                <w:alias w:val="7 p."/>
                <w:tag w:val="part_340f3fe2d22d40eda7519c1803d56a98"/>
                <w:lock w:val="sdtLocked"/>
                <w:richText/>
              </w:sdtPr>
              <w:sdtContent>
                <w:p>
                  <w:pPr>
                    <w:tabs>
                      <w:tab w:val="left" w:pos="0"/>
                    </w:tabs>
                    <w:spacing w:line="254" w:lineRule="auto"/>
                    <w:ind w:firstLine="709"/>
                    <w:jc w:val="both"/>
                    <w:rPr>
                      <w:b/>
                      <w:szCs w:val="24"/>
                      <w:shd w:val="clear" w:color="auto" w:fill="FFFFFF"/>
                    </w:rPr>
                  </w:pPr>
                  <w:sdt>
                    <w:sdtPr>
                      <w:alias w:val="Numeris"/>
                      <w:tag w:val="nr_340f3fe2d22d40eda7519c1803d56a98"/>
                      <w:lock w:val="sdtLocked"/>
                      <w:richText/>
                    </w:sdtPr>
                    <w:sdtContent>
                      <w:r>
                        <w:rPr>
                          <w:b/>
                          <w:szCs w:val="24"/>
                          <w:shd w:val="clear" w:color="auto" w:fill="FFFFFF"/>
                        </w:rPr>
                        <w:t>7</w:t>
                      </w:r>
                    </w:sdtContent>
                  </w:sdt>
                  <w:r>
                    <w:rPr>
                      <w:b/>
                      <w:szCs w:val="24"/>
                      <w:shd w:val="clear" w:color="auto" w:fill="FFFFFF"/>
                    </w:rPr>
                    <w:t>. Sprendimui įgyvendinti reikalingos lėšos,</w:t>
                  </w:r>
                  <w:r>
                    <w:rPr>
                      <w:szCs w:val="24"/>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9ee52ae958d54c8ea8076f59697b6d9e"/>
                <w:lock w:val="sdtLocked"/>
                <w:richText/>
              </w:sdtPr>
              <w:sdtContent>
                <w:p>
                  <w:pPr>
                    <w:tabs>
                      <w:tab w:val="left" w:pos="0"/>
                    </w:tabs>
                    <w:spacing w:line="254" w:lineRule="auto"/>
                    <w:ind w:firstLine="709"/>
                    <w:jc w:val="both"/>
                    <w:rPr>
                      <w:b/>
                      <w:szCs w:val="24"/>
                      <w:shd w:val="clear" w:color="auto" w:fill="FFFFFF"/>
                    </w:rPr>
                  </w:pPr>
                  <w:sdt>
                    <w:sdtPr>
                      <w:alias w:val="Numeris"/>
                      <w:tag w:val="nr_9ee52ae958d54c8ea8076f59697b6d9e"/>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71"/>
                    <w:jc w:val="both"/>
                    <w:rPr>
                      <w:bCs/>
                      <w:szCs w:val="24"/>
                      <w:shd w:val="clear" w:color="auto" w:fill="FFFFFF"/>
                    </w:rPr>
                  </w:pPr>
                  <w:r>
                    <w:rPr>
                      <w:bCs/>
                      <w:szCs w:val="24"/>
                      <w:shd w:val="clear" w:color="auto" w:fill="FFFFFF"/>
                    </w:rPr>
                    <w:t xml:space="preserve">Sprendimo projektas suderintas su savivaldybės juristu, kalbininku, skyrių vedėjais, administracijos direktore, vicemerais ir meru. </w:t>
                  </w:r>
                </w:p>
              </w:sdtContent>
            </w:sdt>
            <w:sdt>
              <w:sdtPr>
                <w:alias w:val="9 p."/>
                <w:tag w:val="part_7c2282c705184dcfa8b4856de97d6a10"/>
                <w:lock w:val="sdtLocked"/>
                <w:richText/>
              </w:sdtPr>
              <w:sdtContent>
                <w:p>
                  <w:pPr>
                    <w:tabs>
                      <w:tab w:val="left" w:pos="0"/>
                    </w:tabs>
                    <w:spacing w:line="254" w:lineRule="auto"/>
                    <w:ind w:firstLine="709"/>
                    <w:jc w:val="both"/>
                    <w:rPr>
                      <w:b/>
                      <w:szCs w:val="24"/>
                      <w:shd w:val="clear" w:color="auto" w:fill="FFFFFF"/>
                    </w:rPr>
                  </w:pPr>
                  <w:sdt>
                    <w:sdtPr>
                      <w:alias w:val="Numeris"/>
                      <w:tag w:val="nr_7c2282c705184dcfa8b4856de97d6a10"/>
                      <w:lock w:val="sdtLocked"/>
                      <w:richText/>
                    </w:sdtPr>
                    <w:sdtContent>
                      <w:r>
                        <w:rPr>
                          <w:b/>
                          <w:szCs w:val="24"/>
                          <w:shd w:val="clear" w:color="auto" w:fill="FFFFFF"/>
                        </w:rPr>
                        <w:t>9</w:t>
                      </w:r>
                    </w:sdtContent>
                  </w:sdt>
                  <w:r>
                    <w:rPr>
                      <w:b/>
                      <w:szCs w:val="24"/>
                      <w:shd w:val="clear" w:color="auto" w:fill="FFFFFF"/>
                    </w:rPr>
                    <w:t>.</w:t>
                  </w:r>
                  <w:r>
                    <w:rPr>
                      <w:szCs w:val="24"/>
                    </w:rPr>
                    <w:t xml:space="preserve"> </w:t>
                  </w:r>
                  <w:r>
                    <w:rPr>
                      <w:b/>
                      <w:szCs w:val="24"/>
                      <w:shd w:val="clear" w:color="auto" w:fill="FFFFFF"/>
                    </w:rPr>
                    <w:t xml:space="preserve"> Numatomo teisinio reguliavimo poveikio vertinimo rezultatai. </w:t>
                  </w:r>
                </w:p>
                <w:p>
                  <w:pPr>
                    <w:tabs>
                      <w:tab w:val="left" w:pos="0"/>
                    </w:tabs>
                    <w:spacing w:line="254" w:lineRule="auto"/>
                    <w:ind w:firstLine="709"/>
                    <w:jc w:val="both"/>
                    <w:rPr>
                      <w:bCs/>
                      <w:szCs w:val="24"/>
                      <w:shd w:val="clear" w:color="auto" w:fill="FFFFFF"/>
                    </w:rPr>
                  </w:pPr>
                  <w:r>
                    <w:rPr>
                      <w:bCs/>
                      <w:szCs w:val="24"/>
                      <w:shd w:val="clear" w:color="auto" w:fill="FFFFFF"/>
                    </w:rPr>
                    <w:t>Vertinimas neatliekamas.</w:t>
                  </w:r>
                </w:p>
              </w:sdtContent>
            </w:sdt>
            <w:sdt>
              <w:sdtPr>
                <w:alias w:val="10 p."/>
                <w:tag w:val="part_28220bb28aef410eb05ce2fc71309f50"/>
                <w:lock w:val="sdtLocked"/>
                <w:richText/>
              </w:sdtPr>
              <w:sdtContent>
                <w:p>
                  <w:pPr>
                    <w:tabs>
                      <w:tab w:val="left" w:pos="0"/>
                    </w:tabs>
                    <w:spacing w:line="254" w:lineRule="auto"/>
                    <w:ind w:firstLine="709"/>
                    <w:rPr>
                      <w:b/>
                      <w:szCs w:val="24"/>
                      <w:shd w:val="clear" w:color="auto" w:fill="FFFFFF"/>
                    </w:rPr>
                  </w:pPr>
                  <w:sdt>
                    <w:sdtPr>
                      <w:alias w:val="Numeris"/>
                      <w:tag w:val="nr_28220bb28aef410eb05ce2fc71309f50"/>
                      <w:lock w:val="sdtLocked"/>
                      <w:richText/>
                    </w:sdtPr>
                    <w:sdtContent>
                      <w:r>
                        <w:rPr>
                          <w:b/>
                          <w:szCs w:val="24"/>
                          <w:shd w:val="clear" w:color="auto" w:fill="FFFFFF"/>
                        </w:rPr>
                        <w:t>10</w:t>
                      </w:r>
                    </w:sdtContent>
                  </w:sdt>
                  <w:r>
                    <w:rPr>
                      <w:b/>
                      <w:szCs w:val="24"/>
                      <w:shd w:val="clear" w:color="auto" w:fill="FFFFFF"/>
                    </w:rPr>
                    <w:t>.</w:t>
                  </w:r>
                  <w:r>
                    <w:rPr>
                      <w:b/>
                      <w:szCs w:val="24"/>
                    </w:rPr>
                    <w:t xml:space="preserve"> </w:t>
                  </w:r>
                  <w:r>
                    <w:rPr>
                      <w:b/>
                      <w:szCs w:val="24"/>
                      <w:shd w:val="clear" w:color="auto" w:fill="FFFFFF"/>
                    </w:rPr>
                    <w:t>Sprendimo projekto antikorupcinis vertinimas.</w:t>
                  </w:r>
                </w:p>
                <w:p>
                  <w:pPr>
                    <w:tabs>
                      <w:tab w:val="left" w:pos="0"/>
                    </w:tabs>
                    <w:spacing w:line="254" w:lineRule="auto"/>
                    <w:ind w:firstLine="709"/>
                    <w:rPr>
                      <w:bCs/>
                      <w:szCs w:val="24"/>
                      <w:shd w:val="clear" w:color="auto" w:fill="FFFFFF"/>
                    </w:rPr>
                  </w:pPr>
                  <w:r>
                    <w:rPr>
                      <w:bCs/>
                      <w:szCs w:val="24"/>
                      <w:shd w:val="clear" w:color="auto" w:fill="FFFFFF"/>
                    </w:rPr>
                    <w:t>Korupcijos pasireiškimo tikimybė nenustatyta.</w:t>
                  </w:r>
                </w:p>
                <w:p>
                  <w:pPr>
                    <w:tabs>
                      <w:tab w:val="left" w:pos="0"/>
                    </w:tabs>
                    <w:spacing w:line="254" w:lineRule="auto"/>
                    <w:ind w:firstLine="709"/>
                    <w:rPr>
                      <w:bCs/>
                      <w:szCs w:val="24"/>
                      <w:shd w:val="clear" w:color="auto" w:fill="FFFFFF"/>
                    </w:rPr>
                  </w:pPr>
                </w:p>
              </w:sdtContent>
            </w:sdt>
            <w:sdt>
              <w:sdtPr>
                <w:alias w:val="11 p."/>
                <w:tag w:val="part_db492c46ebbb46c9a2fac7d0699a026c"/>
                <w:lock w:val="sdtLocked"/>
                <w:richText/>
              </w:sdtPr>
              <w:sdtContent>
                <w:p>
                  <w:pPr>
                    <w:tabs>
                      <w:tab w:val="left" w:pos="0"/>
                    </w:tabs>
                    <w:spacing w:line="254" w:lineRule="auto"/>
                    <w:ind w:firstLine="709"/>
                    <w:rPr>
                      <w:b/>
                      <w:szCs w:val="24"/>
                      <w:shd w:val="clear" w:color="auto" w:fill="FFFFFF"/>
                    </w:rPr>
                  </w:pPr>
                  <w:sdt>
                    <w:sdtPr>
                      <w:alias w:val="Numeris"/>
                      <w:tag w:val="nr_db492c46ebbb46c9a2fac7d0699a026c"/>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rPr>
                      <w:b/>
                      <w:szCs w:val="24"/>
                      <w:shd w:val="clear" w:color="auto" w:fill="FFFFFF"/>
                    </w:rPr>
                  </w:pPr>
                </w:p>
                <w:p>
                  <w:pPr>
                    <w:tabs>
                      <w:tab w:val="left" w:pos="0"/>
                    </w:tabs>
                    <w:spacing w:line="254" w:lineRule="auto"/>
                    <w:ind w:firstLine="709"/>
                    <w:rPr>
                      <w:b/>
                      <w:szCs w:val="24"/>
                      <w:shd w:val="clear" w:color="auto" w:fill="FFFFFF"/>
                    </w:rPr>
                  </w:pPr>
                  <w:r>
                    <w:rPr>
                      <w:szCs w:val="24"/>
                    </w:rPr>
                    <w:t xml:space="preserve">Savivaldybės 2025 m. biudžeto projekto pajamos – iš viso 81 175 156,63  Eur:</w:t>
                  </w:r>
                </w:p>
                <w:p>
                  <w:pPr>
                    <w:tabs>
                      <w:tab w:val="left" w:pos="0"/>
                    </w:tabs>
                    <w:spacing w:line="254" w:lineRule="auto"/>
                    <w:ind w:firstLine="709"/>
                    <w:rPr>
                      <w:szCs w:val="24"/>
                    </w:rPr>
                  </w:pPr>
                  <w:r>
                    <w:rPr>
                      <w:szCs w:val="24"/>
                    </w:rPr>
                    <w:t xml:space="preserve">• pajamos  ir dotacijos – 77 178 673,41 Eur;</w:t>
                  </w:r>
                </w:p>
                <w:p>
                  <w:pPr>
                    <w:tabs>
                      <w:tab w:val="left" w:pos="0"/>
                    </w:tabs>
                    <w:spacing w:line="254" w:lineRule="auto"/>
                    <w:ind w:firstLine="709"/>
                    <w:rPr>
                      <w:b/>
                      <w:szCs w:val="24"/>
                      <w:shd w:val="clear" w:color="auto" w:fill="FFFFFF"/>
                    </w:rPr>
                  </w:pPr>
                  <w:r>
                    <w:rPr>
                      <w:szCs w:val="24"/>
                    </w:rPr>
                    <w:t>• piniginių lėšų likutis (2025-01-01) – 3 996 483,22 Eur.</w:t>
                  </w:r>
                </w:p>
                <w:p>
                  <w:pPr>
                    <w:tabs>
                      <w:tab w:val="left" w:pos="0"/>
                    </w:tabs>
                    <w:spacing w:line="254" w:lineRule="auto"/>
                    <w:ind w:firstLine="709"/>
                    <w:rPr>
                      <w:b/>
                      <w:szCs w:val="24"/>
                      <w:shd w:val="clear" w:color="auto" w:fill="FFFFFF"/>
                    </w:rPr>
                  </w:pPr>
                  <w:r>
                    <w:rPr>
                      <w:szCs w:val="24"/>
                    </w:rPr>
                    <w:t xml:space="preserve">Savivaldybės 2025 m. biudžeto projekto asignavimai – iš viso 81 175 156,63   Eur.</w:t>
                  </w:r>
                </w:p>
                <w:p>
                  <w:pPr>
                    <w:spacing w:line="254" w:lineRule="auto"/>
                    <w:ind w:firstLine="558"/>
                    <w:jc w:val="both"/>
                    <w:rPr>
                      <w:szCs w:val="24"/>
                    </w:rPr>
                  </w:pPr>
                </w:p>
                <w:p>
                  <w:pPr>
                    <w:rPr>
                      <w:sz w:val="14"/>
                      <w:szCs w:val="14"/>
                    </w:rPr>
                  </w:pPr>
                </w:p>
              </w:sdtContent>
            </w:sdt>
          </w:sdtContent>
        </w:sdt>
        <w:sdt>
          <w:sdtPr>
            <w:alias w:val="skirsnis"/>
            <w:tag w:val="part_cfa1cbb3f2f149dc8e1785ce5bc87294"/>
            <w:lock w:val="sdtLocked"/>
            <w:richText/>
          </w:sdtPr>
          <w:sdtContent>
            <w:p>
              <w:pPr>
                <w:spacing w:line="254" w:lineRule="auto"/>
                <w:ind w:firstLine="709"/>
                <w:jc w:val="both"/>
                <w:rPr>
                  <w:b/>
                  <w:bCs/>
                  <w:szCs w:val="24"/>
                </w:rPr>
              </w:pPr>
              <w:sdt>
                <w:sdtPr>
                  <w:alias w:val="Pavadinimas"/>
                  <w:tag w:val="title_cfa1cbb3f2f149dc8e1785ce5bc87294"/>
                  <w:lock w:val="sdtLocked"/>
                  <w:richText/>
                </w:sdtPr>
                <w:sdtContent>
                  <w:r>
                    <w:rPr>
                      <w:b/>
                      <w:bCs/>
                      <w:szCs w:val="24"/>
                    </w:rPr>
                    <w:t>Biudžeto pajamos</w:t>
                  </w:r>
                </w:sdtContent>
              </w:sdt>
            </w:p>
            <w:p>
              <w:pPr>
                <w:spacing w:line="254" w:lineRule="auto"/>
                <w:jc w:val="both"/>
                <w:rPr>
                  <w:b/>
                  <w:bCs/>
                  <w:szCs w:val="24"/>
                </w:rPr>
              </w:pPr>
            </w:p>
            <w:p>
              <w:pPr>
                <w:spacing w:line="254" w:lineRule="auto"/>
                <w:ind w:firstLine="709"/>
                <w:jc w:val="both"/>
                <w:rPr>
                  <w:szCs w:val="24"/>
                </w:rPr>
              </w:pPr>
              <w:r>
                <w:rPr>
                  <w:szCs w:val="24"/>
                </w:rPr>
                <w:t xml:space="preserve">Savivaldybės 2025 m. biudžeto projekto pajamos – 77 178 673,41  Eur, tai yra 8 752 296,91    Eur daugiau negu buvo patvirtinta 2024 m. pirminiame biudžete ir 3 581 823,69  Eur daugiau negu buvo 2024 m. patikslintame biudžete. Planuojamas pajamas sudarys: mokesčiai – 44 408 000,00 Eur, dotacijos – 27 543 598,41 Eur ir kitos pajamos – 5 227 075,00 Eur, taip pat piniginių lėšų likutis (2025-01-01) – 3 996 483,22  Eur. </w:t>
              </w:r>
            </w:p>
            <w:p>
              <w:pPr>
                <w:spacing w:line="254" w:lineRule="auto"/>
                <w:jc w:val="both"/>
                <w:rPr>
                  <w:szCs w:val="24"/>
                </w:rPr>
              </w:pPr>
            </w:p>
            <w:sdt>
              <w:sdtPr>
                <w:alias w:val="lentele"/>
                <w:tag w:val="part_78d361647d4842f4848e978856eafc25"/>
                <w:lock w:val="sdtLocked"/>
                <w:richText/>
              </w:sdtPr>
              <w:sdtContent>
                <w:p>
                  <w:pPr>
                    <w:spacing w:line="254" w:lineRule="auto"/>
                    <w:ind w:firstLine="496"/>
                    <w:jc w:val="both"/>
                    <w:rPr>
                      <w:b/>
                      <w:bCs/>
                      <w:szCs w:val="24"/>
                    </w:rPr>
                  </w:pPr>
                  <w:sdt>
                    <w:sdtPr>
                      <w:alias w:val="Pavadinimas"/>
                      <w:tag w:val="title_78d361647d4842f4848e978856eafc25"/>
                      <w:lock w:val="sdtLocked"/>
                      <w:richText/>
                    </w:sdtPr>
                    <w:sdtContent>
                      <w:r>
                        <w:rPr>
                          <w:b/>
                          <w:bCs/>
                          <w:szCs w:val="24"/>
                        </w:rPr>
                        <w:t xml:space="preserve">Radviliškio rajono savivaldybės 2025 metų biudžeto pajamų finansavimo šaltiniai </w:t>
                      </w:r>
                    </w:sdtContent>
                  </w:sdt>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2"/>
                    <w:gridCol w:w="1560"/>
                    <w:gridCol w:w="1540"/>
                    <w:gridCol w:w="1523"/>
                    <w:gridCol w:w="1637"/>
                    <w:gridCol w:w="1576"/>
                  </w:tblGrid>
                  <w:tr>
                    <w:tc>
                      <w:tcPr>
                        <w:tcW w:w="1809" w:type="dxa"/>
                        <w:vMerge w:val="restart"/>
                      </w:tcPr>
                      <w:p>
                        <w:pPr>
                          <w:spacing w:line="254" w:lineRule="auto"/>
                          <w:jc w:val="both"/>
                          <w:rPr>
                            <w:b/>
                            <w:bCs/>
                            <w:szCs w:val="24"/>
                          </w:rPr>
                        </w:pPr>
                        <w:r>
                          <w:rPr>
                            <w:b/>
                            <w:bCs/>
                            <w:szCs w:val="24"/>
                          </w:rPr>
                          <w:t>Finansavimo šaltinis</w:t>
                        </w:r>
                      </w:p>
                    </w:tc>
                    <w:tc>
                      <w:tcPr>
                        <w:tcW w:w="3119" w:type="dxa"/>
                        <w:gridSpan w:val="2"/>
                      </w:tcPr>
                      <w:p>
                        <w:pPr>
                          <w:spacing w:line="254" w:lineRule="auto"/>
                          <w:jc w:val="both"/>
                          <w:rPr>
                            <w:b/>
                            <w:bCs/>
                            <w:szCs w:val="24"/>
                          </w:rPr>
                        </w:pPr>
                        <w:r>
                          <w:rPr>
                            <w:b/>
                            <w:bCs/>
                            <w:szCs w:val="24"/>
                          </w:rPr>
                          <w:t>2024 m. pajamų planas (Eur)</w:t>
                        </w:r>
                      </w:p>
                    </w:tc>
                    <w:tc>
                      <w:tcPr>
                        <w:tcW w:w="1559" w:type="dxa"/>
                        <w:vMerge w:val="restart"/>
                      </w:tcPr>
                      <w:p>
                        <w:pPr>
                          <w:spacing w:line="254" w:lineRule="auto"/>
                          <w:jc w:val="both"/>
                          <w:rPr>
                            <w:b/>
                            <w:bCs/>
                            <w:szCs w:val="24"/>
                          </w:rPr>
                        </w:pPr>
                        <w:r>
                          <w:rPr>
                            <w:b/>
                            <w:bCs/>
                            <w:szCs w:val="24"/>
                          </w:rPr>
                          <w:t>2025 metų pajamų planas (Eur)</w:t>
                        </w:r>
                      </w:p>
                    </w:tc>
                    <w:tc>
                      <w:tcPr>
                        <w:tcW w:w="3251" w:type="dxa"/>
                        <w:gridSpan w:val="2"/>
                      </w:tcPr>
                      <w:p>
                        <w:pPr>
                          <w:spacing w:line="254" w:lineRule="auto"/>
                          <w:jc w:val="both"/>
                          <w:rPr>
                            <w:b/>
                            <w:bCs/>
                            <w:szCs w:val="24"/>
                          </w:rPr>
                        </w:pPr>
                        <w:r>
                          <w:rPr>
                            <w:b/>
                            <w:bCs/>
                            <w:szCs w:val="24"/>
                          </w:rPr>
                          <w:t xml:space="preserve">2025 m. </w:t>
                        </w:r>
                        <w:r>
                          <w:rPr>
                            <w:b/>
                            <w:bCs/>
                            <w:szCs w:val="24"/>
                            <w:lang w:val="fr-FR"/>
                          </w:rPr>
                          <w:t>+/</w:t>
                        </w:r>
                        <w:r>
                          <w:rPr>
                            <w:b/>
                            <w:bCs/>
                            <w:szCs w:val="24"/>
                          </w:rPr>
                          <w:t>- palyginus su 2024 m. pajamų planu (Eur)</w:t>
                        </w:r>
                      </w:p>
                    </w:tc>
                  </w:tr>
                  <w:tr>
                    <w:tc>
                      <w:tcPr>
                        <w:tcW w:w="1809" w:type="dxa"/>
                        <w:vMerge/>
                      </w:tcPr>
                      <w:p>
                        <w:pPr>
                          <w:spacing w:line="254" w:lineRule="auto"/>
                          <w:jc w:val="both"/>
                          <w:rPr>
                            <w:b/>
                            <w:bCs/>
                            <w:szCs w:val="24"/>
                          </w:rPr>
                        </w:pPr>
                      </w:p>
                    </w:tc>
                    <w:tc>
                      <w:tcPr>
                        <w:tcW w:w="1570" w:type="dxa"/>
                      </w:tcPr>
                      <w:p>
                        <w:pPr>
                          <w:spacing w:line="254" w:lineRule="auto"/>
                          <w:jc w:val="both"/>
                          <w:rPr>
                            <w:b/>
                            <w:bCs/>
                            <w:szCs w:val="24"/>
                          </w:rPr>
                        </w:pPr>
                        <w:r>
                          <w:rPr>
                            <w:b/>
                            <w:bCs/>
                            <w:szCs w:val="24"/>
                          </w:rPr>
                          <w:t>patvirtintas</w:t>
                        </w:r>
                      </w:p>
                    </w:tc>
                    <w:tc>
                      <w:tcPr>
                        <w:tcW w:w="1549" w:type="dxa"/>
                      </w:tcPr>
                      <w:p>
                        <w:pPr>
                          <w:spacing w:line="254" w:lineRule="auto"/>
                          <w:jc w:val="both"/>
                          <w:rPr>
                            <w:b/>
                            <w:bCs/>
                            <w:szCs w:val="24"/>
                          </w:rPr>
                        </w:pPr>
                        <w:r>
                          <w:rPr>
                            <w:b/>
                            <w:bCs/>
                            <w:szCs w:val="24"/>
                          </w:rPr>
                          <w:t>patikslintas</w:t>
                        </w:r>
                      </w:p>
                    </w:tc>
                    <w:tc>
                      <w:tcPr>
                        <w:tcW w:w="1559" w:type="dxa"/>
                        <w:vMerge/>
                      </w:tcPr>
                      <w:p>
                        <w:pPr>
                          <w:spacing w:line="254" w:lineRule="auto"/>
                          <w:jc w:val="both"/>
                          <w:rPr>
                            <w:b/>
                            <w:bCs/>
                            <w:szCs w:val="24"/>
                          </w:rPr>
                        </w:pPr>
                      </w:p>
                    </w:tc>
                    <w:tc>
                      <w:tcPr>
                        <w:tcW w:w="1658" w:type="dxa"/>
                      </w:tcPr>
                      <w:p>
                        <w:pPr>
                          <w:spacing w:line="254" w:lineRule="auto"/>
                          <w:jc w:val="both"/>
                          <w:rPr>
                            <w:b/>
                            <w:bCs/>
                            <w:szCs w:val="24"/>
                          </w:rPr>
                        </w:pPr>
                        <w:r>
                          <w:rPr>
                            <w:b/>
                            <w:bCs/>
                            <w:szCs w:val="24"/>
                          </w:rPr>
                          <w:t>patvirtintu</w:t>
                        </w:r>
                      </w:p>
                    </w:tc>
                    <w:tc>
                      <w:tcPr>
                        <w:tcW w:w="1593" w:type="dxa"/>
                      </w:tcPr>
                      <w:p>
                        <w:pPr>
                          <w:spacing w:line="254" w:lineRule="auto"/>
                          <w:jc w:val="both"/>
                          <w:rPr>
                            <w:b/>
                            <w:bCs/>
                            <w:szCs w:val="24"/>
                          </w:rPr>
                        </w:pPr>
                        <w:r>
                          <w:rPr>
                            <w:b/>
                            <w:bCs/>
                            <w:szCs w:val="24"/>
                          </w:rPr>
                          <w:t>patikslintu</w:t>
                        </w:r>
                      </w:p>
                    </w:tc>
                  </w:tr>
                  <w:tr>
                    <w:tc>
                      <w:tcPr>
                        <w:tcW w:w="1809" w:type="dxa"/>
                      </w:tcPr>
                      <w:p>
                        <w:pPr>
                          <w:spacing w:line="254" w:lineRule="auto"/>
                          <w:rPr>
                            <w:sz w:val="22"/>
                            <w:szCs w:val="22"/>
                          </w:rPr>
                        </w:pPr>
                        <w:r>
                          <w:rPr>
                            <w:sz w:val="22"/>
                            <w:szCs w:val="22"/>
                          </w:rPr>
                          <w:t>Mokesčiai, iš viso</w:t>
                        </w:r>
                      </w:p>
                    </w:tc>
                    <w:tc>
                      <w:tcPr>
                        <w:tcW w:w="1570" w:type="dxa"/>
                      </w:tcPr>
                      <w:p>
                        <w:pPr>
                          <w:spacing w:line="254" w:lineRule="auto"/>
                          <w:jc w:val="both"/>
                          <w:rPr>
                            <w:sz w:val="22"/>
                            <w:szCs w:val="22"/>
                          </w:rPr>
                        </w:pPr>
                        <w:r>
                          <w:rPr>
                            <w:sz w:val="22"/>
                            <w:szCs w:val="22"/>
                          </w:rPr>
                          <w:t>39 228 000,00</w:t>
                        </w:r>
                      </w:p>
                    </w:tc>
                    <w:tc>
                      <w:tcPr>
                        <w:tcW w:w="1549" w:type="dxa"/>
                      </w:tcPr>
                      <w:p>
                        <w:pPr>
                          <w:spacing w:line="254" w:lineRule="auto"/>
                          <w:jc w:val="both"/>
                          <w:rPr>
                            <w:sz w:val="22"/>
                            <w:szCs w:val="22"/>
                          </w:rPr>
                        </w:pPr>
                        <w:r>
                          <w:rPr>
                            <w:sz w:val="22"/>
                            <w:szCs w:val="22"/>
                          </w:rPr>
                          <w:t>40 667 075,00</w:t>
                        </w:r>
                      </w:p>
                    </w:tc>
                    <w:tc>
                      <w:tcPr>
                        <w:tcW w:w="1559" w:type="dxa"/>
                      </w:tcPr>
                      <w:p>
                        <w:pPr>
                          <w:spacing w:line="254" w:lineRule="auto"/>
                          <w:jc w:val="both"/>
                          <w:rPr>
                            <w:sz w:val="22"/>
                            <w:szCs w:val="22"/>
                          </w:rPr>
                        </w:pPr>
                        <w:r>
                          <w:rPr>
                            <w:sz w:val="22"/>
                            <w:szCs w:val="22"/>
                          </w:rPr>
                          <w:t>44 408 000,00</w:t>
                        </w:r>
                      </w:p>
                    </w:tc>
                    <w:tc>
                      <w:tcPr>
                        <w:tcW w:w="1658" w:type="dxa"/>
                      </w:tcPr>
                      <w:p>
                        <w:pPr>
                          <w:spacing w:line="254" w:lineRule="auto"/>
                          <w:jc w:val="both"/>
                          <w:rPr>
                            <w:sz w:val="22"/>
                            <w:szCs w:val="22"/>
                          </w:rPr>
                        </w:pPr>
                        <w:r>
                          <w:rPr>
                            <w:sz w:val="22"/>
                            <w:szCs w:val="22"/>
                          </w:rPr>
                          <w:t>5 180 000,00</w:t>
                        </w:r>
                      </w:p>
                    </w:tc>
                    <w:tc>
                      <w:tcPr>
                        <w:tcW w:w="1593" w:type="dxa"/>
                      </w:tcPr>
                      <w:p>
                        <w:pPr>
                          <w:spacing w:line="254" w:lineRule="auto"/>
                          <w:jc w:val="both"/>
                          <w:rPr>
                            <w:sz w:val="22"/>
                            <w:szCs w:val="22"/>
                          </w:rPr>
                        </w:pPr>
                        <w:r>
                          <w:rPr>
                            <w:sz w:val="22"/>
                            <w:szCs w:val="22"/>
                          </w:rPr>
                          <w:t>3 740 925,00</w:t>
                        </w:r>
                      </w:p>
                    </w:tc>
                  </w:tr>
                  <w:tr>
                    <w:tc>
                      <w:tcPr>
                        <w:tcW w:w="1809" w:type="dxa"/>
                      </w:tcPr>
                      <w:p>
                        <w:pPr>
                          <w:spacing w:line="254" w:lineRule="auto"/>
                          <w:rPr>
                            <w:sz w:val="22"/>
                            <w:szCs w:val="22"/>
                          </w:rPr>
                        </w:pPr>
                        <w:r>
                          <w:rPr>
                            <w:sz w:val="22"/>
                            <w:szCs w:val="22"/>
                          </w:rPr>
                          <w:t>t. sk. Gyventojų pajamų mokestis</w:t>
                        </w:r>
                      </w:p>
                    </w:tc>
                    <w:tc>
                      <w:tcPr>
                        <w:tcW w:w="1570" w:type="dxa"/>
                      </w:tcPr>
                      <w:p>
                        <w:pPr>
                          <w:spacing w:line="254" w:lineRule="auto"/>
                          <w:jc w:val="both"/>
                          <w:rPr>
                            <w:sz w:val="22"/>
                            <w:szCs w:val="22"/>
                          </w:rPr>
                        </w:pPr>
                        <w:r>
                          <w:rPr>
                            <w:sz w:val="22"/>
                            <w:szCs w:val="22"/>
                          </w:rPr>
                          <w:t>36 123 000,00</w:t>
                        </w:r>
                      </w:p>
                    </w:tc>
                    <w:tc>
                      <w:tcPr>
                        <w:tcW w:w="1549" w:type="dxa"/>
                      </w:tcPr>
                      <w:p>
                        <w:pPr>
                          <w:spacing w:line="254" w:lineRule="auto"/>
                          <w:jc w:val="both"/>
                          <w:rPr>
                            <w:sz w:val="22"/>
                            <w:szCs w:val="22"/>
                          </w:rPr>
                        </w:pPr>
                        <w:r>
                          <w:rPr>
                            <w:sz w:val="22"/>
                            <w:szCs w:val="22"/>
                          </w:rPr>
                          <w:t>37 122 075,00</w:t>
                        </w:r>
                      </w:p>
                    </w:tc>
                    <w:tc>
                      <w:tcPr>
                        <w:tcW w:w="1559" w:type="dxa"/>
                      </w:tcPr>
                      <w:p>
                        <w:pPr>
                          <w:spacing w:line="254" w:lineRule="auto"/>
                          <w:jc w:val="both"/>
                          <w:rPr>
                            <w:sz w:val="22"/>
                            <w:szCs w:val="22"/>
                          </w:rPr>
                        </w:pPr>
                        <w:r>
                          <w:rPr>
                            <w:sz w:val="22"/>
                            <w:szCs w:val="22"/>
                          </w:rPr>
                          <w:t>41 188 000,00</w:t>
                        </w:r>
                      </w:p>
                    </w:tc>
                    <w:tc>
                      <w:tcPr>
                        <w:tcW w:w="1658" w:type="dxa"/>
                      </w:tcPr>
                      <w:p>
                        <w:pPr>
                          <w:spacing w:line="254" w:lineRule="auto"/>
                          <w:jc w:val="both"/>
                          <w:rPr>
                            <w:sz w:val="22"/>
                            <w:szCs w:val="22"/>
                          </w:rPr>
                        </w:pPr>
                        <w:r>
                          <w:rPr>
                            <w:sz w:val="22"/>
                            <w:szCs w:val="22"/>
                          </w:rPr>
                          <w:t>5 065 000,00</w:t>
                        </w:r>
                      </w:p>
                    </w:tc>
                    <w:tc>
                      <w:tcPr>
                        <w:tcW w:w="1593" w:type="dxa"/>
                      </w:tcPr>
                      <w:p>
                        <w:pPr>
                          <w:spacing w:line="254" w:lineRule="auto"/>
                          <w:jc w:val="both"/>
                          <w:rPr>
                            <w:sz w:val="22"/>
                            <w:szCs w:val="22"/>
                          </w:rPr>
                        </w:pPr>
                        <w:r>
                          <w:rPr>
                            <w:sz w:val="22"/>
                            <w:szCs w:val="22"/>
                          </w:rPr>
                          <w:t>4 065 925,00</w:t>
                        </w:r>
                      </w:p>
                    </w:tc>
                  </w:tr>
                  <w:tr>
                    <w:trPr>
                      <w:trHeight w:val="362"/>
                    </w:trPr>
                    <w:tc>
                      <w:tcPr>
                        <w:tcW w:w="1809" w:type="dxa"/>
                      </w:tcPr>
                      <w:p>
                        <w:pPr>
                          <w:spacing w:line="254" w:lineRule="auto"/>
                          <w:rPr>
                            <w:sz w:val="22"/>
                            <w:szCs w:val="22"/>
                          </w:rPr>
                        </w:pPr>
                        <w:r>
                          <w:rPr>
                            <w:sz w:val="22"/>
                            <w:szCs w:val="22"/>
                          </w:rPr>
                          <w:t>Dotacijos</w:t>
                        </w:r>
                      </w:p>
                    </w:tc>
                    <w:tc>
                      <w:tcPr>
                        <w:tcW w:w="1570" w:type="dxa"/>
                      </w:tcPr>
                      <w:p>
                        <w:pPr>
                          <w:spacing w:line="254" w:lineRule="auto"/>
                          <w:jc w:val="both"/>
                          <w:rPr>
                            <w:sz w:val="22"/>
                            <w:szCs w:val="22"/>
                          </w:rPr>
                        </w:pPr>
                        <w:r>
                          <w:rPr>
                            <w:sz w:val="22"/>
                            <w:szCs w:val="22"/>
                          </w:rPr>
                          <w:t>24 564 535,50</w:t>
                        </w:r>
                      </w:p>
                    </w:tc>
                    <w:tc>
                      <w:tcPr>
                        <w:tcW w:w="1549" w:type="dxa"/>
                      </w:tcPr>
                      <w:p>
                        <w:pPr>
                          <w:spacing w:line="254" w:lineRule="auto"/>
                          <w:jc w:val="both"/>
                          <w:rPr>
                            <w:sz w:val="22"/>
                            <w:szCs w:val="22"/>
                          </w:rPr>
                        </w:pPr>
                        <w:r>
                          <w:rPr>
                            <w:sz w:val="22"/>
                            <w:szCs w:val="22"/>
                          </w:rPr>
                          <w:t>27 520 880,74</w:t>
                        </w:r>
                      </w:p>
                    </w:tc>
                    <w:tc>
                      <w:tcPr>
                        <w:tcW w:w="1559" w:type="dxa"/>
                      </w:tcPr>
                      <w:p>
                        <w:pPr>
                          <w:spacing w:line="254" w:lineRule="auto"/>
                          <w:jc w:val="both"/>
                          <w:rPr>
                            <w:sz w:val="22"/>
                            <w:szCs w:val="22"/>
                          </w:rPr>
                        </w:pPr>
                        <w:r>
                          <w:rPr>
                            <w:sz w:val="22"/>
                            <w:szCs w:val="22"/>
                          </w:rPr>
                          <w:t>27 543 598,41</w:t>
                        </w:r>
                      </w:p>
                    </w:tc>
                    <w:tc>
                      <w:tcPr>
                        <w:tcW w:w="1658" w:type="dxa"/>
                      </w:tcPr>
                      <w:p>
                        <w:pPr>
                          <w:spacing w:line="254" w:lineRule="auto"/>
                          <w:jc w:val="both"/>
                          <w:rPr>
                            <w:sz w:val="22"/>
                            <w:szCs w:val="22"/>
                          </w:rPr>
                        </w:pPr>
                        <w:r>
                          <w:rPr>
                            <w:sz w:val="22"/>
                            <w:szCs w:val="22"/>
                          </w:rPr>
                          <w:t>2 979 062,91</w:t>
                        </w:r>
                      </w:p>
                    </w:tc>
                    <w:tc>
                      <w:tcPr>
                        <w:tcW w:w="1593" w:type="dxa"/>
                      </w:tcPr>
                      <w:p>
                        <w:pPr>
                          <w:spacing w:line="254" w:lineRule="auto"/>
                          <w:jc w:val="both"/>
                          <w:rPr>
                            <w:sz w:val="22"/>
                            <w:szCs w:val="22"/>
                          </w:rPr>
                        </w:pPr>
                        <w:r>
                          <w:rPr>
                            <w:sz w:val="22"/>
                            <w:szCs w:val="22"/>
                          </w:rPr>
                          <w:t>22 717,67</w:t>
                        </w:r>
                      </w:p>
                    </w:tc>
                  </w:tr>
                  <w:tr>
                    <w:tc>
                      <w:tcPr>
                        <w:tcW w:w="1809" w:type="dxa"/>
                      </w:tcPr>
                      <w:p>
                        <w:pPr>
                          <w:spacing w:line="254" w:lineRule="auto"/>
                          <w:rPr>
                            <w:sz w:val="22"/>
                            <w:szCs w:val="22"/>
                          </w:rPr>
                        </w:pPr>
                        <w:r>
                          <w:rPr>
                            <w:sz w:val="22"/>
                            <w:szCs w:val="22"/>
                          </w:rPr>
                          <w:t>Kitos pajamos, įskaitant materialiojo ir nematerialiojo turto realizavimo pajamas</w:t>
                        </w:r>
                      </w:p>
                    </w:tc>
                    <w:tc>
                      <w:tcPr>
                        <w:tcW w:w="1570" w:type="dxa"/>
                      </w:tcPr>
                      <w:p>
                        <w:pPr>
                          <w:spacing w:line="254" w:lineRule="auto"/>
                          <w:jc w:val="both"/>
                          <w:rPr>
                            <w:sz w:val="22"/>
                            <w:szCs w:val="22"/>
                          </w:rPr>
                        </w:pPr>
                        <w:r>
                          <w:rPr>
                            <w:sz w:val="22"/>
                            <w:szCs w:val="22"/>
                          </w:rPr>
                          <w:t>4 633 841,00</w:t>
                        </w:r>
                      </w:p>
                    </w:tc>
                    <w:tc>
                      <w:tcPr>
                        <w:tcW w:w="1549" w:type="dxa"/>
                      </w:tcPr>
                      <w:p>
                        <w:pPr>
                          <w:spacing w:line="254" w:lineRule="auto"/>
                          <w:jc w:val="both"/>
                          <w:rPr>
                            <w:sz w:val="22"/>
                            <w:szCs w:val="22"/>
                          </w:rPr>
                        </w:pPr>
                        <w:r>
                          <w:rPr>
                            <w:sz w:val="22"/>
                            <w:szCs w:val="22"/>
                          </w:rPr>
                          <w:t>5 408 893,98</w:t>
                        </w:r>
                      </w:p>
                    </w:tc>
                    <w:tc>
                      <w:tcPr>
                        <w:tcW w:w="1559" w:type="dxa"/>
                      </w:tcPr>
                      <w:p>
                        <w:pPr>
                          <w:spacing w:line="254" w:lineRule="auto"/>
                          <w:jc w:val="both"/>
                          <w:rPr>
                            <w:sz w:val="22"/>
                            <w:szCs w:val="22"/>
                          </w:rPr>
                        </w:pPr>
                        <w:r>
                          <w:rPr>
                            <w:sz w:val="22"/>
                            <w:szCs w:val="22"/>
                          </w:rPr>
                          <w:t>5 227 075,00</w:t>
                        </w:r>
                      </w:p>
                    </w:tc>
                    <w:tc>
                      <w:tcPr>
                        <w:tcW w:w="1658" w:type="dxa"/>
                      </w:tcPr>
                      <w:p>
                        <w:pPr>
                          <w:spacing w:line="254" w:lineRule="auto"/>
                          <w:jc w:val="both"/>
                          <w:rPr>
                            <w:sz w:val="22"/>
                            <w:szCs w:val="22"/>
                          </w:rPr>
                        </w:pPr>
                        <w:r>
                          <w:rPr>
                            <w:sz w:val="22"/>
                            <w:szCs w:val="22"/>
                          </w:rPr>
                          <w:t>593 234,00</w:t>
                        </w:r>
                      </w:p>
                    </w:tc>
                    <w:tc>
                      <w:tcPr>
                        <w:tcW w:w="1593" w:type="dxa"/>
                      </w:tcPr>
                      <w:p>
                        <w:pPr>
                          <w:spacing w:line="254" w:lineRule="auto"/>
                          <w:jc w:val="both"/>
                          <w:rPr>
                            <w:sz w:val="22"/>
                            <w:szCs w:val="22"/>
                          </w:rPr>
                        </w:pPr>
                        <w:r>
                          <w:rPr>
                            <w:sz w:val="22"/>
                            <w:szCs w:val="22"/>
                          </w:rPr>
                          <w:t>-181 818,98</w:t>
                        </w:r>
                      </w:p>
                    </w:tc>
                  </w:tr>
                  <w:tr>
                    <w:trPr>
                      <w:trHeight w:val="299"/>
                    </w:trPr>
                    <w:tc>
                      <w:tcPr>
                        <w:tcW w:w="1809" w:type="dxa"/>
                      </w:tcPr>
                      <w:p>
                        <w:pPr>
                          <w:spacing w:line="254" w:lineRule="auto"/>
                          <w:rPr>
                            <w:b/>
                            <w:bCs/>
                            <w:sz w:val="22"/>
                            <w:szCs w:val="22"/>
                          </w:rPr>
                        </w:pPr>
                        <w:r>
                          <w:rPr>
                            <w:b/>
                            <w:bCs/>
                            <w:sz w:val="22"/>
                            <w:szCs w:val="22"/>
                          </w:rPr>
                          <w:t>Iš viso pajamų:</w:t>
                        </w:r>
                      </w:p>
                      <w:p>
                        <w:pPr>
                          <w:spacing w:line="254" w:lineRule="auto"/>
                          <w:rPr>
                            <w:sz w:val="22"/>
                            <w:szCs w:val="22"/>
                          </w:rPr>
                        </w:pPr>
                      </w:p>
                    </w:tc>
                    <w:tc>
                      <w:tcPr>
                        <w:tcW w:w="1570" w:type="dxa"/>
                      </w:tcPr>
                      <w:p>
                        <w:pPr>
                          <w:spacing w:line="254" w:lineRule="auto"/>
                          <w:jc w:val="both"/>
                          <w:rPr>
                            <w:b/>
                            <w:sz w:val="22"/>
                            <w:szCs w:val="22"/>
                          </w:rPr>
                        </w:pPr>
                        <w:r>
                          <w:rPr>
                            <w:b/>
                            <w:sz w:val="22"/>
                            <w:szCs w:val="22"/>
                          </w:rPr>
                          <w:t>68 426 376,50</w:t>
                        </w:r>
                      </w:p>
                    </w:tc>
                    <w:tc>
                      <w:tcPr>
                        <w:tcW w:w="1549" w:type="dxa"/>
                      </w:tcPr>
                      <w:p>
                        <w:pPr>
                          <w:spacing w:line="254" w:lineRule="auto"/>
                          <w:jc w:val="both"/>
                          <w:rPr>
                            <w:b/>
                            <w:sz w:val="22"/>
                            <w:szCs w:val="22"/>
                          </w:rPr>
                        </w:pPr>
                        <w:r>
                          <w:rPr>
                            <w:b/>
                            <w:sz w:val="22"/>
                            <w:szCs w:val="22"/>
                          </w:rPr>
                          <w:t>73 596 849,72</w:t>
                        </w:r>
                      </w:p>
                    </w:tc>
                    <w:tc>
                      <w:tcPr>
                        <w:tcW w:w="1559" w:type="dxa"/>
                      </w:tcPr>
                      <w:p>
                        <w:pPr>
                          <w:spacing w:line="254" w:lineRule="auto"/>
                          <w:jc w:val="both"/>
                          <w:rPr>
                            <w:b/>
                            <w:sz w:val="22"/>
                            <w:szCs w:val="22"/>
                          </w:rPr>
                        </w:pPr>
                        <w:r>
                          <w:rPr>
                            <w:b/>
                            <w:sz w:val="22"/>
                            <w:szCs w:val="22"/>
                          </w:rPr>
                          <w:t xml:space="preserve">77 17  8673,41</w:t>
                        </w:r>
                      </w:p>
                    </w:tc>
                    <w:tc>
                      <w:tcPr>
                        <w:tcW w:w="1658" w:type="dxa"/>
                      </w:tcPr>
                      <w:p>
                        <w:pPr>
                          <w:spacing w:line="254" w:lineRule="auto"/>
                          <w:jc w:val="both"/>
                          <w:rPr>
                            <w:b/>
                            <w:sz w:val="22"/>
                            <w:szCs w:val="22"/>
                          </w:rPr>
                        </w:pPr>
                        <w:r>
                          <w:rPr>
                            <w:b/>
                            <w:sz w:val="22"/>
                            <w:szCs w:val="22"/>
                          </w:rPr>
                          <w:t xml:space="preserve">8 752 296,91 </w:t>
                        </w:r>
                      </w:p>
                    </w:tc>
                    <w:tc>
                      <w:tcPr>
                        <w:tcW w:w="1593" w:type="dxa"/>
                      </w:tcPr>
                      <w:p>
                        <w:pPr>
                          <w:spacing w:line="254" w:lineRule="auto"/>
                          <w:jc w:val="both"/>
                          <w:rPr>
                            <w:b/>
                            <w:sz w:val="22"/>
                            <w:szCs w:val="22"/>
                          </w:rPr>
                        </w:pPr>
                        <w:r>
                          <w:rPr>
                            <w:b/>
                            <w:sz w:val="22"/>
                            <w:szCs w:val="22"/>
                          </w:rPr>
                          <w:t>3 581 823,69</w:t>
                        </w:r>
                      </w:p>
                    </w:tc>
                  </w:tr>
                  <w:tr>
                    <w:trPr>
                      <w:trHeight w:val="371"/>
                    </w:trPr>
                    <w:tc>
                      <w:tcPr>
                        <w:tcW w:w="1809" w:type="dxa"/>
                      </w:tcPr>
                      <w:p>
                        <w:pPr>
                          <w:spacing w:line="254" w:lineRule="auto"/>
                          <w:rPr>
                            <w:sz w:val="22"/>
                            <w:szCs w:val="22"/>
                          </w:rPr>
                        </w:pPr>
                        <w:r>
                          <w:rPr>
                            <w:sz w:val="22"/>
                            <w:szCs w:val="22"/>
                          </w:rPr>
                          <w:t xml:space="preserve">Lėšų likutis  </w:t>
                        </w:r>
                      </w:p>
                    </w:tc>
                    <w:tc>
                      <w:tcPr>
                        <w:tcW w:w="1570" w:type="dxa"/>
                      </w:tcPr>
                      <w:p>
                        <w:pPr>
                          <w:spacing w:line="254" w:lineRule="auto"/>
                          <w:jc w:val="both"/>
                          <w:rPr>
                            <w:sz w:val="22"/>
                            <w:szCs w:val="22"/>
                          </w:rPr>
                        </w:pPr>
                        <w:r>
                          <w:rPr>
                            <w:sz w:val="22"/>
                            <w:szCs w:val="22"/>
                          </w:rPr>
                          <w:t>6 214 763,90</w:t>
                        </w:r>
                      </w:p>
                    </w:tc>
                    <w:tc>
                      <w:tcPr>
                        <w:tcW w:w="1549" w:type="dxa"/>
                      </w:tcPr>
                      <w:p>
                        <w:pPr>
                          <w:spacing w:line="254" w:lineRule="auto"/>
                          <w:jc w:val="both"/>
                          <w:rPr>
                            <w:sz w:val="22"/>
                            <w:szCs w:val="22"/>
                          </w:rPr>
                        </w:pPr>
                        <w:r>
                          <w:rPr>
                            <w:sz w:val="22"/>
                            <w:szCs w:val="22"/>
                          </w:rPr>
                          <w:t>6 214 763,90</w:t>
                        </w:r>
                      </w:p>
                    </w:tc>
                    <w:tc>
                      <w:tcPr>
                        <w:tcW w:w="1559" w:type="dxa"/>
                      </w:tcPr>
                      <w:p>
                        <w:pPr>
                          <w:spacing w:line="254" w:lineRule="auto"/>
                          <w:jc w:val="both"/>
                          <w:rPr>
                            <w:sz w:val="22"/>
                            <w:szCs w:val="22"/>
                          </w:rPr>
                        </w:pPr>
                        <w:r>
                          <w:rPr>
                            <w:sz w:val="22"/>
                            <w:szCs w:val="22"/>
                          </w:rPr>
                          <w:t>3 996 483,22</w:t>
                        </w:r>
                      </w:p>
                    </w:tc>
                    <w:tc>
                      <w:tcPr>
                        <w:tcW w:w="1658" w:type="dxa"/>
                      </w:tcPr>
                      <w:p>
                        <w:pPr>
                          <w:spacing w:line="254" w:lineRule="auto"/>
                          <w:jc w:val="both"/>
                          <w:rPr>
                            <w:sz w:val="22"/>
                            <w:szCs w:val="22"/>
                          </w:rPr>
                        </w:pPr>
                        <w:r>
                          <w:rPr>
                            <w:sz w:val="22"/>
                            <w:szCs w:val="22"/>
                          </w:rPr>
                          <w:t>- 2 218 280,68</w:t>
                        </w:r>
                      </w:p>
                    </w:tc>
                    <w:tc>
                      <w:tcPr>
                        <w:tcW w:w="1593" w:type="dxa"/>
                      </w:tcPr>
                      <w:p>
                        <w:pPr>
                          <w:spacing w:line="254" w:lineRule="auto"/>
                          <w:jc w:val="both"/>
                          <w:rPr>
                            <w:sz w:val="22"/>
                            <w:szCs w:val="22"/>
                          </w:rPr>
                        </w:pPr>
                        <w:r>
                          <w:rPr>
                            <w:sz w:val="22"/>
                            <w:szCs w:val="22"/>
                          </w:rPr>
                          <w:t>-2 218 280,68</w:t>
                        </w:r>
                      </w:p>
                    </w:tc>
                  </w:tr>
                  <w:tr>
                    <w:trPr>
                      <w:trHeight w:val="425"/>
                    </w:trPr>
                    <w:tc>
                      <w:tcPr>
                        <w:tcW w:w="1809" w:type="dxa"/>
                      </w:tcPr>
                      <w:p>
                        <w:pPr>
                          <w:spacing w:line="254" w:lineRule="auto"/>
                          <w:rPr>
                            <w:b/>
                            <w:bCs/>
                            <w:sz w:val="22"/>
                            <w:szCs w:val="22"/>
                          </w:rPr>
                        </w:pPr>
                        <w:r>
                          <w:rPr>
                            <w:b/>
                            <w:bCs/>
                            <w:sz w:val="22"/>
                            <w:szCs w:val="22"/>
                          </w:rPr>
                          <w:t>Iš viso:</w:t>
                        </w:r>
                      </w:p>
                    </w:tc>
                    <w:tc>
                      <w:tcPr>
                        <w:tcW w:w="1570" w:type="dxa"/>
                      </w:tcPr>
                      <w:p>
                        <w:pPr>
                          <w:spacing w:line="254" w:lineRule="auto"/>
                          <w:jc w:val="both"/>
                          <w:rPr>
                            <w:b/>
                            <w:sz w:val="22"/>
                            <w:szCs w:val="22"/>
                          </w:rPr>
                        </w:pPr>
                        <w:r>
                          <w:rPr>
                            <w:b/>
                            <w:sz w:val="22"/>
                            <w:szCs w:val="22"/>
                          </w:rPr>
                          <w:t>74 641 140,40</w:t>
                        </w:r>
                      </w:p>
                    </w:tc>
                    <w:tc>
                      <w:tcPr>
                        <w:tcW w:w="1549" w:type="dxa"/>
                      </w:tcPr>
                      <w:p>
                        <w:pPr>
                          <w:spacing w:line="254" w:lineRule="auto"/>
                          <w:jc w:val="both"/>
                          <w:rPr>
                            <w:b/>
                            <w:sz w:val="22"/>
                            <w:szCs w:val="22"/>
                          </w:rPr>
                        </w:pPr>
                        <w:r>
                          <w:rPr>
                            <w:b/>
                            <w:sz w:val="22"/>
                            <w:szCs w:val="22"/>
                          </w:rPr>
                          <w:t>79 811 613,62</w:t>
                        </w:r>
                      </w:p>
                    </w:tc>
                    <w:tc>
                      <w:tcPr>
                        <w:tcW w:w="1559" w:type="dxa"/>
                      </w:tcPr>
                      <w:p>
                        <w:pPr>
                          <w:spacing w:line="254" w:lineRule="auto"/>
                          <w:jc w:val="both"/>
                          <w:rPr>
                            <w:b/>
                            <w:sz w:val="22"/>
                            <w:szCs w:val="22"/>
                          </w:rPr>
                        </w:pPr>
                        <w:r>
                          <w:rPr>
                            <w:b/>
                            <w:sz w:val="22"/>
                            <w:szCs w:val="22"/>
                          </w:rPr>
                          <w:t>81 175 156,63</w:t>
                        </w:r>
                      </w:p>
                    </w:tc>
                    <w:tc>
                      <w:tcPr>
                        <w:tcW w:w="1658" w:type="dxa"/>
                      </w:tcPr>
                      <w:p>
                        <w:pPr>
                          <w:spacing w:line="254" w:lineRule="auto"/>
                          <w:jc w:val="both"/>
                          <w:rPr>
                            <w:b/>
                            <w:sz w:val="22"/>
                            <w:szCs w:val="22"/>
                          </w:rPr>
                        </w:pPr>
                        <w:r>
                          <w:rPr>
                            <w:b/>
                            <w:sz w:val="22"/>
                            <w:szCs w:val="22"/>
                          </w:rPr>
                          <w:t>6 534 016,23</w:t>
                        </w:r>
                      </w:p>
                    </w:tc>
                    <w:tc>
                      <w:tcPr>
                        <w:tcW w:w="1593" w:type="dxa"/>
                      </w:tcPr>
                      <w:p>
                        <w:pPr>
                          <w:spacing w:line="254" w:lineRule="auto"/>
                          <w:jc w:val="both"/>
                          <w:rPr>
                            <w:b/>
                            <w:sz w:val="22"/>
                            <w:szCs w:val="22"/>
                          </w:rPr>
                        </w:pPr>
                        <w:r>
                          <w:rPr>
                            <w:b/>
                            <w:sz w:val="22"/>
                            <w:szCs w:val="22"/>
                          </w:rPr>
                          <w:t>1 363 543,01</w:t>
                        </w:r>
                      </w:p>
                    </w:tc>
                  </w:tr>
                </w:tbl>
                <w:p>
                  <w:pPr>
                    <w:spacing w:line="254" w:lineRule="auto"/>
                    <w:jc w:val="both"/>
                    <w:rPr>
                      <w:szCs w:val="24"/>
                    </w:rPr>
                  </w:pPr>
                </w:p>
              </w:sdtContent>
            </w:sdt>
            <w:sdt>
              <w:sdtPr>
                <w:alias w:val="pastraipa"/>
                <w:tag w:val="part_29fc764ba1714a0183f40326791ad7be"/>
                <w:lock w:val="sdtLocked"/>
                <w:richText/>
              </w:sdtPr>
              <w:sdtContent>
                <w:p>
                  <w:pPr>
                    <w:spacing w:line="254" w:lineRule="auto"/>
                    <w:ind w:firstLine="709"/>
                    <w:jc w:val="both"/>
                    <w:rPr>
                      <w:szCs w:val="24"/>
                    </w:rPr>
                  </w:pPr>
                  <w:r>
                    <w:rPr>
                      <w:szCs w:val="24"/>
                    </w:rPr>
                    <w:t>Lietuvos Respublikos Seimas 2024 m. gruodžio 19 d. patvirtino Lietuvos Respublikos 2025–2027 metų valstybės biudžeto ir savivaldybių biudžetų finansinių rodiklių patvirtinimo įstatymą. Minėtu įstatymu numatytas savivaldybių biudžetų finansinis rodiklis – prognozuojamos pajamos, kuriuo savivaldybės vadovaujasi rengdamos savo biudžetus. Radviliškio rajono savivaldybės prognozuojamos pajamos iš gyventojų pajamų mokesčio – 41 188 000,00 Eur. Prognozuojamos gyventojų pajamų mokesčio pajamos didėja 5 065 000,00 Eur arba 14 proc. palyginus su 2024 metų patvirtintu gyventojų pajamų mokesčio planu.</w:t>
                  </w:r>
                </w:p>
              </w:sdtContent>
            </w:sdt>
            <w:sdt>
              <w:sdtPr>
                <w:alias w:val="pastraipa"/>
                <w:tag w:val="part_472be70482104397bd00f3eabba7963c"/>
                <w:lock w:val="sdtLocked"/>
                <w:richText/>
              </w:sdtPr>
              <w:sdtContent>
                <w:p>
                  <w:pPr>
                    <w:spacing w:line="254" w:lineRule="auto"/>
                    <w:ind w:firstLine="709"/>
                    <w:jc w:val="both"/>
                    <w:rPr>
                      <w:szCs w:val="24"/>
                    </w:rPr>
                  </w:pPr>
                  <w:r>
                    <w:rPr>
                      <w:szCs w:val="24"/>
                    </w:rPr>
                    <w:t>Planuojama surinkti šiuos turto mokesčius: žemės mokestis – 1 700 000,00 Eur, nekilnojamojo turto mokestis – 650 000,00 Eur, paveldimo turto mokestis – 20 000,00 Eur, valstybinės žemės nuomos mokestis – 680 000,00 Eur. Į Radviliškio rajono savivaldybės biudžetą gauta nekilnojamo turto mokesčio (NTM) pajamų suma daugiausiai priklauso nuo visų šalies mokesčių mokėtojų deklaruoto Radviliškio rajono savivaldybės teritorijoje turimo nekilnojamojo turto vertės, nuo Savivaldybės tarybos sprendimais patvirtintų NTM tarifų bei suteiktų mokesčio lengvatų. Žemės mokesčio (ŽM) ir valstybinės žemės nuomos mokesčio (VŽNM) surinkimas priklauso nuo žemės vertės pasikeitimo, taip pat nuo nuosavybę turinčių asmenų skaičiaus bei nuo Savivaldybės tarybos sprendimais patvirtintų ŽM ir VŽNM tarifų bei suteiktų mokesčio lengvatų.</w:t>
                  </w:r>
                </w:p>
              </w:sdtContent>
            </w:sdt>
            <w:sdt>
              <w:sdtPr>
                <w:alias w:val="pastraipa"/>
                <w:tag w:val="part_bf2d4949e1004a8dab39f4a1d8c61e6b"/>
                <w:lock w:val="sdtLocked"/>
                <w:richText/>
              </w:sdtPr>
              <w:sdtContent>
                <w:p>
                  <w:pPr>
                    <w:spacing w:line="254" w:lineRule="auto"/>
                    <w:ind w:firstLine="709"/>
                    <w:jc w:val="both"/>
                    <w:rPr>
                      <w:szCs w:val="24"/>
                    </w:rPr>
                  </w:pPr>
                  <w:r>
                    <w:rPr>
                      <w:szCs w:val="24"/>
                    </w:rPr>
                    <w:t xml:space="preserve">Valstybės biudžeto dotacijos  numatytos vadovaujantis valstybės institucijų ir įstaigų priimtais teisės aktais. Valstybės biudžeto specialiųjų tikslinių dotacijų prognozuojama gauti 26 941 923,00  Eur, iš jų:</w:t>
                  </w:r>
                </w:p>
              </w:sdtContent>
            </w:sdt>
            <w:sdt>
              <w:sdtPr>
                <w:alias w:val="pastraipa"/>
                <w:tag w:val="part_4974a36447f9456488535ca5527642c7"/>
                <w:lock w:val="sdtLocked"/>
                <w:richText/>
              </w:sdtPr>
              <w:sdtContent>
                <w:p>
                  <w:pPr>
                    <w:spacing w:line="254" w:lineRule="auto"/>
                    <w:ind w:firstLine="709"/>
                    <w:jc w:val="both"/>
                    <w:rPr>
                      <w:szCs w:val="24"/>
                    </w:rPr>
                  </w:pPr>
                  <w:r>
                    <w:rPr>
                      <w:szCs w:val="24"/>
                    </w:rPr>
                    <w:t xml:space="preserve">- valstybinėms (valstybės perduotoms savivaldybėms) funkcijoms atlikti – 5 157 100,00 Eur, t. y.  0,24 % arba 11 930,00  Eur daugiau negu buvo patikslintame 2024 m. biudžete;</w:t>
                  </w:r>
                </w:p>
              </w:sdtContent>
            </w:sdt>
            <w:sdt>
              <w:sdtPr>
                <w:alias w:val="pastraipa"/>
                <w:tag w:val="part_485cb01901cd4e3ab631f560adaa027b"/>
                <w:lock w:val="sdtLocked"/>
                <w:richText/>
              </w:sdtPr>
              <w:sdtContent>
                <w:p>
                  <w:pPr>
                    <w:spacing w:line="254" w:lineRule="auto"/>
                    <w:ind w:firstLine="709"/>
                    <w:jc w:val="both"/>
                    <w:rPr>
                      <w:szCs w:val="24"/>
                    </w:rPr>
                  </w:pPr>
                  <w:r>
                    <w:rPr>
                      <w:szCs w:val="24"/>
                    </w:rPr>
                    <w:t xml:space="preserve">-  mokymų lėšų ugdymo reikmėms finansuoti – 17 823 100,00 Eur, </w:t>
                  </w:r>
                  <w:r>
                    <w:rPr>
                      <w:sz w:val="22"/>
                      <w:szCs w:val="22"/>
                    </w:rPr>
                    <w:t xml:space="preserve"> t</w:t>
                  </w:r>
                  <w:r>
                    <w:rPr>
                      <w:szCs w:val="24"/>
                    </w:rPr>
                    <w:t xml:space="preserve">. y.  6,8 % arba 1 132 500,00 Eur daugiau negu buvo patikslintame 2024 m. biudžete;</w:t>
                  </w:r>
                </w:p>
              </w:sdtContent>
            </w:sdt>
            <w:sdt>
              <w:sdtPr>
                <w:alias w:val="pastraipa"/>
                <w:tag w:val="part_9f9285c8df654696a4bea5b4fe1cb7e6"/>
                <w:lock w:val="sdtLocked"/>
                <w:richText/>
              </w:sdtPr>
              <w:sdtContent>
                <w:p>
                  <w:pPr>
                    <w:spacing w:line="254" w:lineRule="auto"/>
                    <w:ind w:firstLine="709"/>
                    <w:jc w:val="both"/>
                    <w:rPr>
                      <w:szCs w:val="24"/>
                    </w:rPr>
                  </w:pPr>
                  <w:r>
                    <w:rPr>
                      <w:szCs w:val="24"/>
                    </w:rPr>
                    <w:t>- kitos tikslinės dotacijos – 4 563 398,41 Eur, t. y. 18 % arba 836 712,33 Eur mažiau negu buvo patikslintame 2024 m. biudžete;</w:t>
                  </w:r>
                </w:p>
              </w:sdtContent>
            </w:sdt>
            <w:sdt>
              <w:sdtPr>
                <w:alias w:val="pastraipa"/>
                <w:tag w:val="part_61573e00e0c74911bfc2757f22284ff4"/>
                <w:lock w:val="sdtLocked"/>
                <w:richText/>
              </w:sdtPr>
              <w:sdtContent>
                <w:p>
                  <w:pPr>
                    <w:spacing w:line="254" w:lineRule="auto"/>
                    <w:ind w:firstLine="709"/>
                    <w:jc w:val="both"/>
                    <w:rPr>
                      <w:szCs w:val="24"/>
                    </w:rPr>
                  </w:pPr>
                  <w:r>
                    <w:rPr>
                      <w:szCs w:val="24"/>
                    </w:rPr>
                    <w:t>Kitos pajamos Savivaldybės 2025 m. biudžete sudarys 5 227 075, 00 Eur, t. y. 5,5 % arba 282 234,00 Eur daugiau negu buvo patikslintame 2024 m. biudžete, iš jų:</w:t>
                  </w:r>
                </w:p>
              </w:sdtContent>
            </w:sdt>
            <w:sdt>
              <w:sdtPr>
                <w:alias w:val="pastraipa"/>
                <w:tag w:val="part_ee8b7e466ebc48f19bedb5c0a7605b77"/>
                <w:lock w:val="sdtLocked"/>
                <w:richText/>
              </w:sdtPr>
              <w:sdtContent>
                <w:p>
                  <w:pPr>
                    <w:spacing w:line="254" w:lineRule="auto"/>
                    <w:ind w:firstLine="709"/>
                    <w:jc w:val="both"/>
                    <w:rPr>
                      <w:szCs w:val="24"/>
                    </w:rPr>
                  </w:pPr>
                  <w:r>
                    <w:rPr>
                      <w:szCs w:val="24"/>
                    </w:rPr>
                    <w:t>- iš aplinkos apsaugos rėmimo specialiosios programos planuojama gauti 220 000,00 Eur pajamų, vietinėms rinkliavoms už atliekų surinkimą – 1 870 000,00 Eur;</w:t>
                  </w:r>
                </w:p>
              </w:sdtContent>
            </w:sdt>
            <w:sdt>
              <w:sdtPr>
                <w:alias w:val="pastraipa"/>
                <w:tag w:val="part_e20912484dc54a5ba431670e403c50fa"/>
                <w:lock w:val="sdtLocked"/>
                <w:richText/>
              </w:sdtPr>
              <w:sdtContent>
                <w:p>
                  <w:pPr>
                    <w:spacing w:line="254" w:lineRule="auto"/>
                    <w:ind w:firstLine="709"/>
                    <w:jc w:val="both"/>
                    <w:rPr>
                      <w:szCs w:val="24"/>
                    </w:rPr>
                  </w:pPr>
                  <w:r>
                    <w:rPr>
                      <w:szCs w:val="24"/>
                    </w:rPr>
                    <w:t xml:space="preserve">- pagal biudžetinių įstaigų paskaičiavimus, pajamų už paslaugas planuojama gauti 2 772 075,00 Eur, t. y. 5 % arba 131 445,00 Eur daugiau negu buvo patikslintame 2024 m. biudžete: už teikiamas paslaugas – 1 228 131,00 Eur, už ilgalaikio ir trumpalaikio materialiojo turto nuomą – 197 704,00 Eur, už įmokas už išlaikymą švietimo, socialinės apsaugos ir kitose įstaigose –1 346 240,00 Eur; </w:t>
                  </w:r>
                </w:p>
              </w:sdtContent>
            </w:sdt>
            <w:sdt>
              <w:sdtPr>
                <w:alias w:val="pastraipa"/>
                <w:tag w:val="part_a0d1574b3cce4906b0e3f3e48c97b45b"/>
                <w:lock w:val="sdtLocked"/>
                <w:richText/>
              </w:sdtPr>
              <w:sdtContent>
                <w:p>
                  <w:pPr>
                    <w:spacing w:line="254" w:lineRule="auto"/>
                    <w:ind w:firstLine="709"/>
                    <w:jc w:val="both"/>
                    <w:rPr>
                      <w:szCs w:val="24"/>
                    </w:rPr>
                  </w:pPr>
                  <w:r>
                    <w:rPr>
                      <w:szCs w:val="24"/>
                    </w:rPr>
                    <w:t>- kitų neišvardintų pajamų,</w:t>
                  </w:r>
                  <w:r>
                    <w:rPr>
                      <w:sz w:val="22"/>
                      <w:szCs w:val="22"/>
                    </w:rPr>
                    <w:t xml:space="preserve"> </w:t>
                  </w:r>
                  <w:r>
                    <w:rPr>
                      <w:szCs w:val="24"/>
                    </w:rPr>
                    <w:t>materialiojo ir nematerialiojo turto pajamų planuojama gauti – 265 000,00 Eur;</w:t>
                  </w:r>
                </w:p>
              </w:sdtContent>
            </w:sdt>
            <w:sdt>
              <w:sdtPr>
                <w:alias w:val="pastraipa"/>
                <w:tag w:val="part_54cb650e23c742a8b4f406243139e075"/>
                <w:lock w:val="sdtLocked"/>
                <w:richText/>
              </w:sdtPr>
              <w:sdtContent>
                <w:p>
                  <w:pPr>
                    <w:spacing w:line="254" w:lineRule="auto"/>
                    <w:ind w:firstLine="709"/>
                    <w:jc w:val="both"/>
                    <w:rPr>
                      <w:szCs w:val="24"/>
                    </w:rPr>
                  </w:pPr>
                  <w:r>
                    <w:rPr>
                      <w:szCs w:val="24"/>
                    </w:rPr>
                    <w:t xml:space="preserve">Lėšų likutis  (2025-01-01) sudarė  3 996 483,22  Eur, t. y. 56 %  arba 2 218 280,68 Eur mažiau negu 2024-01-01 lėšų likutis ir skiriamas 2025 m. einamųjų darbų, paslaugų finansavimui ir</w:t>
                  </w:r>
                  <w:r>
                    <w:rPr>
                      <w:sz w:val="22"/>
                      <w:szCs w:val="22"/>
                    </w:rPr>
                    <w:t xml:space="preserve"> </w:t>
                  </w:r>
                  <w:r>
                    <w:rPr>
                      <w:szCs w:val="24"/>
                    </w:rPr>
                    <w:t>prisidėjimui prie</w:t>
                  </w:r>
                  <w:r>
                    <w:rPr>
                      <w:sz w:val="22"/>
                      <w:szCs w:val="22"/>
                    </w:rPr>
                    <w:t xml:space="preserve"> </w:t>
                  </w:r>
                  <w:r>
                    <w:rPr>
                      <w:szCs w:val="24"/>
                    </w:rPr>
                    <w:t>dalinai ES lėšomis projektų įgyvendinimo.</w:t>
                  </w:r>
                </w:p>
                <w:p>
                  <w:pPr>
                    <w:spacing w:line="254" w:lineRule="auto"/>
                    <w:ind w:firstLine="124"/>
                    <w:jc w:val="both"/>
                    <w:rPr>
                      <w:b/>
                      <w:bCs/>
                      <w:szCs w:val="24"/>
                    </w:rPr>
                  </w:pPr>
                </w:p>
              </w:sdtContent>
            </w:sdt>
          </w:sdtContent>
        </w:sdt>
        <w:sdt>
          <w:sdtPr>
            <w:alias w:val="skirsnis"/>
            <w:tag w:val="part_34be341983194c80910c337719a87288"/>
            <w:lock w:val="sdtLocked"/>
            <w:richText/>
          </w:sdtPr>
          <w:sdtContent>
            <w:p>
              <w:pPr>
                <w:spacing w:line="254" w:lineRule="auto"/>
                <w:ind w:firstLine="709"/>
                <w:jc w:val="both"/>
                <w:rPr>
                  <w:b/>
                  <w:bCs/>
                  <w:szCs w:val="24"/>
                </w:rPr>
              </w:pPr>
              <w:sdt>
                <w:sdtPr>
                  <w:alias w:val="Pavadinimas"/>
                  <w:tag w:val="title_34be341983194c80910c337719a87288"/>
                  <w:lock w:val="sdtLocked"/>
                  <w:richText/>
                </w:sdtPr>
                <w:sdtContent>
                  <w:r>
                    <w:rPr>
                      <w:b/>
                      <w:bCs/>
                      <w:szCs w:val="24"/>
                    </w:rPr>
                    <w:t>Biudžeto asignavimai</w:t>
                  </w:r>
                </w:sdtContent>
              </w:sdt>
            </w:p>
            <w:p>
              <w:pPr>
                <w:spacing w:line="254" w:lineRule="auto"/>
                <w:jc w:val="both"/>
                <w:rPr>
                  <w:b/>
                  <w:bCs/>
                  <w:szCs w:val="24"/>
                </w:rPr>
              </w:pPr>
            </w:p>
            <w:p>
              <w:pPr>
                <w:spacing w:line="254" w:lineRule="auto"/>
                <w:ind w:firstLine="709"/>
                <w:jc w:val="both"/>
                <w:rPr>
                  <w:szCs w:val="24"/>
                </w:rPr>
              </w:pPr>
              <w:r>
                <w:rPr>
                  <w:szCs w:val="24"/>
                </w:rPr>
                <w:t>Sprendimo projekto 1.2 p. pagal asignavimų valdytojus teikiami patvirtinti asignavimai programoms vykdyti iš visų savivaldybės biudžeto finansavimo šaltinių – biudžeto pajamų, valstybės biudžeto dotacijų, Europos Sąjungos lėšų, ir lėšų likučio (2025-01-01). Planuojant Savivaldybės 2025 metų asignavimus, vadovautasi šiais kriterijais: valstybės biudžeto dotacijos numatytos vadovaujantis valstybės institucijų ir įstaigų priimtais teisės aktais, paskolų grąžinimas, įsiskolinimų mokėjimas laikantis fiskalinių taisyklių, bendrojo finansavimo užtikrinimas projektams, gaunantiems ES ir kitų tarptautinių fondų paramą, atsižvelgiant į pateiktas asignavimų valdytojų B-1 formas 2025 m. poreikiui ir finansines galimybes.</w:t>
              </w:r>
              <w:r>
                <w:rPr>
                  <w:sz w:val="22"/>
                  <w:szCs w:val="22"/>
                </w:rPr>
                <w:t xml:space="preserve"> </w:t>
              </w:r>
            </w:p>
            <w:p>
              <w:pPr>
                <w:spacing w:line="254" w:lineRule="auto"/>
                <w:ind w:firstLine="709"/>
                <w:jc w:val="both"/>
                <w:rPr>
                  <w:sz w:val="22"/>
                  <w:szCs w:val="22"/>
                </w:rPr>
              </w:pPr>
              <w:r>
                <w:rPr>
                  <w:szCs w:val="24"/>
                </w:rPr>
                <w:t>Radviliškio rajono savivaldybės 2025 metų biudžeto projektas suformuotas 12 mėnesių pagal Radviliškio rajono savivaldybės 2025–2027 metų strateginio veiklos plano projekte 2025 metams numatytas priemones.</w:t>
              </w:r>
              <w:r>
                <w:rPr>
                  <w:sz w:val="22"/>
                  <w:szCs w:val="22"/>
                </w:rPr>
                <w:t xml:space="preserve"> </w:t>
              </w:r>
            </w:p>
            <w:sdt>
              <w:sdtPr>
                <w:alias w:val="lentele"/>
                <w:tag w:val="part_91f80ac7753c4da496d308af6e60f6ef"/>
                <w:lock w:val="sdtLocked"/>
                <w:richText/>
              </w:sdtPr>
              <w:sdtContent>
                <w:p>
                  <w:pPr>
                    <w:spacing w:line="254" w:lineRule="auto"/>
                    <w:ind w:firstLine="513"/>
                    <w:jc w:val="both"/>
                    <w:rPr>
                      <w:b/>
                      <w:szCs w:val="24"/>
                    </w:rPr>
                  </w:pPr>
                  <w:sdt>
                    <w:sdtPr>
                      <w:alias w:val="Pavadinimas"/>
                      <w:tag w:val="title_91f80ac7753c4da496d308af6e60f6ef"/>
                      <w:lock w:val="sdtLocked"/>
                      <w:richText/>
                    </w:sdtPr>
                    <w:sdtContent>
                      <w:r>
                        <w:rPr>
                          <w:b/>
                          <w:szCs w:val="24"/>
                        </w:rPr>
                        <w:t xml:space="preserve">Savivaldybės biudžeto asignavimai paskirstyti 6 programų vykdymui:  </w:t>
                      </w:r>
                    </w:sdtContent>
                  </w:sdt>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4"/>
                    <w:gridCol w:w="1530"/>
                    <w:gridCol w:w="1511"/>
                    <w:gridCol w:w="1490"/>
                    <w:gridCol w:w="1595"/>
                    <w:gridCol w:w="1538"/>
                  </w:tblGrid>
                  <w:tr>
                    <w:tc>
                      <w:tcPr>
                        <w:tcW w:w="1964" w:type="dxa"/>
                        <w:vMerge w:val="restart"/>
                      </w:tcPr>
                      <w:p>
                        <w:pPr>
                          <w:spacing w:line="254" w:lineRule="auto"/>
                          <w:jc w:val="both"/>
                          <w:rPr>
                            <w:b/>
                            <w:bCs/>
                            <w:sz w:val="22"/>
                            <w:szCs w:val="22"/>
                          </w:rPr>
                        </w:pPr>
                        <w:r>
                          <w:rPr>
                            <w:b/>
                            <w:bCs/>
                            <w:sz w:val="22"/>
                            <w:szCs w:val="22"/>
                          </w:rPr>
                          <w:t xml:space="preserve">Programos  pavadinimas</w:t>
                        </w:r>
                      </w:p>
                    </w:tc>
                    <w:tc>
                      <w:tcPr>
                        <w:tcW w:w="3107" w:type="dxa"/>
                        <w:gridSpan w:val="2"/>
                      </w:tcPr>
                      <w:p>
                        <w:pPr>
                          <w:spacing w:line="254" w:lineRule="auto"/>
                          <w:jc w:val="both"/>
                          <w:rPr>
                            <w:b/>
                            <w:bCs/>
                            <w:sz w:val="22"/>
                            <w:szCs w:val="22"/>
                          </w:rPr>
                        </w:pPr>
                        <w:r>
                          <w:rPr>
                            <w:b/>
                            <w:bCs/>
                            <w:sz w:val="22"/>
                            <w:szCs w:val="22"/>
                          </w:rPr>
                          <w:t>2024 m. biudžeto planas (Eur)</w:t>
                        </w:r>
                      </w:p>
                    </w:tc>
                    <w:tc>
                      <w:tcPr>
                        <w:tcW w:w="1549" w:type="dxa"/>
                        <w:vMerge w:val="restart"/>
                      </w:tcPr>
                      <w:p>
                        <w:pPr>
                          <w:spacing w:line="254" w:lineRule="auto"/>
                          <w:jc w:val="both"/>
                          <w:rPr>
                            <w:b/>
                            <w:bCs/>
                            <w:sz w:val="22"/>
                            <w:szCs w:val="22"/>
                          </w:rPr>
                        </w:pPr>
                        <w:r>
                          <w:rPr>
                            <w:b/>
                            <w:bCs/>
                            <w:sz w:val="22"/>
                            <w:szCs w:val="22"/>
                          </w:rPr>
                          <w:t>2025 metų biudžeto projektas (Eur)</w:t>
                        </w:r>
                      </w:p>
                    </w:tc>
                    <w:tc>
                      <w:tcPr>
                        <w:tcW w:w="3234" w:type="dxa"/>
                        <w:gridSpan w:val="2"/>
                      </w:tcPr>
                      <w:p>
                        <w:pPr>
                          <w:spacing w:line="254" w:lineRule="auto"/>
                          <w:jc w:val="both"/>
                          <w:rPr>
                            <w:b/>
                            <w:bCs/>
                            <w:sz w:val="22"/>
                            <w:szCs w:val="22"/>
                          </w:rPr>
                        </w:pPr>
                        <w:r>
                          <w:rPr>
                            <w:b/>
                            <w:bCs/>
                            <w:sz w:val="22"/>
                            <w:szCs w:val="22"/>
                          </w:rPr>
                          <w:t xml:space="preserve">2025 m. </w:t>
                        </w:r>
                        <w:r>
                          <w:rPr>
                            <w:b/>
                            <w:bCs/>
                            <w:sz w:val="22"/>
                            <w:szCs w:val="22"/>
                            <w:lang w:val="fr-FR"/>
                          </w:rPr>
                          <w:t>+/</w:t>
                        </w:r>
                        <w:r>
                          <w:rPr>
                            <w:b/>
                            <w:bCs/>
                            <w:sz w:val="22"/>
                            <w:szCs w:val="22"/>
                          </w:rPr>
                          <w:t>- palyginus su 2024 m. biudžeto planu (Eur)</w:t>
                        </w:r>
                      </w:p>
                    </w:tc>
                  </w:tr>
                  <w:tr>
                    <w:tc>
                      <w:tcPr>
                        <w:tcW w:w="1964" w:type="dxa"/>
                        <w:vMerge/>
                      </w:tcPr>
                      <w:p>
                        <w:pPr>
                          <w:spacing w:line="254" w:lineRule="auto"/>
                          <w:jc w:val="both"/>
                          <w:rPr>
                            <w:b/>
                            <w:bCs/>
                            <w:sz w:val="22"/>
                            <w:szCs w:val="22"/>
                          </w:rPr>
                        </w:pPr>
                      </w:p>
                    </w:tc>
                    <w:tc>
                      <w:tcPr>
                        <w:tcW w:w="1564" w:type="dxa"/>
                      </w:tcPr>
                      <w:p>
                        <w:pPr>
                          <w:spacing w:line="254" w:lineRule="auto"/>
                          <w:jc w:val="both"/>
                          <w:rPr>
                            <w:b/>
                            <w:bCs/>
                            <w:sz w:val="22"/>
                            <w:szCs w:val="22"/>
                          </w:rPr>
                        </w:pPr>
                        <w:r>
                          <w:rPr>
                            <w:b/>
                            <w:bCs/>
                            <w:sz w:val="22"/>
                            <w:szCs w:val="22"/>
                          </w:rPr>
                          <w:t>patvirtintas</w:t>
                        </w:r>
                      </w:p>
                    </w:tc>
                    <w:tc>
                      <w:tcPr>
                        <w:tcW w:w="1543" w:type="dxa"/>
                      </w:tcPr>
                      <w:p>
                        <w:pPr>
                          <w:spacing w:line="254" w:lineRule="auto"/>
                          <w:jc w:val="both"/>
                          <w:rPr>
                            <w:b/>
                            <w:bCs/>
                            <w:sz w:val="22"/>
                            <w:szCs w:val="22"/>
                          </w:rPr>
                        </w:pPr>
                        <w:r>
                          <w:rPr>
                            <w:b/>
                            <w:bCs/>
                            <w:sz w:val="22"/>
                            <w:szCs w:val="22"/>
                          </w:rPr>
                          <w:t>patikslintas</w:t>
                        </w:r>
                      </w:p>
                    </w:tc>
                    <w:tc>
                      <w:tcPr>
                        <w:tcW w:w="1549" w:type="dxa"/>
                        <w:vMerge/>
                      </w:tcPr>
                      <w:p>
                        <w:pPr>
                          <w:spacing w:line="254" w:lineRule="auto"/>
                          <w:jc w:val="both"/>
                          <w:rPr>
                            <w:b/>
                            <w:bCs/>
                            <w:sz w:val="22"/>
                            <w:szCs w:val="22"/>
                          </w:rPr>
                        </w:pPr>
                      </w:p>
                    </w:tc>
                    <w:tc>
                      <w:tcPr>
                        <w:tcW w:w="1649" w:type="dxa"/>
                      </w:tcPr>
                      <w:p>
                        <w:pPr>
                          <w:spacing w:line="254" w:lineRule="auto"/>
                          <w:jc w:val="both"/>
                          <w:rPr>
                            <w:b/>
                            <w:bCs/>
                            <w:sz w:val="22"/>
                            <w:szCs w:val="22"/>
                          </w:rPr>
                        </w:pPr>
                        <w:r>
                          <w:rPr>
                            <w:b/>
                            <w:bCs/>
                            <w:sz w:val="22"/>
                            <w:szCs w:val="22"/>
                          </w:rPr>
                          <w:t>patvirtintu</w:t>
                        </w:r>
                      </w:p>
                    </w:tc>
                    <w:tc>
                      <w:tcPr>
                        <w:tcW w:w="1585" w:type="dxa"/>
                      </w:tcPr>
                      <w:p>
                        <w:pPr>
                          <w:spacing w:line="254" w:lineRule="auto"/>
                          <w:jc w:val="both"/>
                          <w:rPr>
                            <w:b/>
                            <w:bCs/>
                            <w:sz w:val="22"/>
                            <w:szCs w:val="22"/>
                          </w:rPr>
                        </w:pPr>
                        <w:r>
                          <w:rPr>
                            <w:b/>
                            <w:bCs/>
                            <w:sz w:val="22"/>
                            <w:szCs w:val="22"/>
                          </w:rPr>
                          <w:t>patikslintu</w:t>
                        </w:r>
                      </w:p>
                    </w:tc>
                  </w:tr>
                  <w:tr>
                    <w:trPr>
                      <w:trHeight w:val="602"/>
                    </w:trPr>
                    <w:tc>
                      <w:tcPr>
                        <w:tcW w:w="1964" w:type="dxa"/>
                      </w:tcPr>
                      <w:p>
                        <w:pPr>
                          <w:spacing w:line="254" w:lineRule="auto"/>
                          <w:rPr>
                            <w:bCs/>
                            <w:sz w:val="22"/>
                            <w:szCs w:val="22"/>
                          </w:rPr>
                        </w:pPr>
                        <w:r>
                          <w:rPr>
                            <w:bCs/>
                            <w:sz w:val="22"/>
                            <w:szCs w:val="22"/>
                          </w:rPr>
                          <w:t>01 Savivaldybės valdymo programa</w:t>
                        </w:r>
                      </w:p>
                    </w:tc>
                    <w:tc>
                      <w:tcPr>
                        <w:tcW w:w="1564" w:type="dxa"/>
                      </w:tcPr>
                      <w:p>
                        <w:pPr>
                          <w:spacing w:line="254" w:lineRule="auto"/>
                          <w:jc w:val="both"/>
                          <w:rPr>
                            <w:bCs/>
                            <w:sz w:val="22"/>
                            <w:szCs w:val="22"/>
                          </w:rPr>
                        </w:pPr>
                        <w:r>
                          <w:rPr>
                            <w:bCs/>
                            <w:sz w:val="22"/>
                            <w:szCs w:val="22"/>
                          </w:rPr>
                          <w:t>7 303 376,48</w:t>
                        </w:r>
                      </w:p>
                    </w:tc>
                    <w:tc>
                      <w:tcPr>
                        <w:tcW w:w="1543" w:type="dxa"/>
                      </w:tcPr>
                      <w:p>
                        <w:pPr>
                          <w:spacing w:line="254" w:lineRule="auto"/>
                          <w:jc w:val="both"/>
                          <w:rPr>
                            <w:bCs/>
                            <w:sz w:val="22"/>
                            <w:szCs w:val="22"/>
                          </w:rPr>
                        </w:pPr>
                        <w:r>
                          <w:rPr>
                            <w:bCs/>
                            <w:sz w:val="22"/>
                            <w:szCs w:val="22"/>
                          </w:rPr>
                          <w:t>7 678 028,46</w:t>
                        </w:r>
                      </w:p>
                    </w:tc>
                    <w:tc>
                      <w:tcPr>
                        <w:tcW w:w="1549" w:type="dxa"/>
                      </w:tcPr>
                      <w:p>
                        <w:pPr>
                          <w:spacing w:line="254" w:lineRule="auto"/>
                          <w:jc w:val="both"/>
                          <w:rPr>
                            <w:bCs/>
                            <w:sz w:val="22"/>
                            <w:szCs w:val="22"/>
                            <w:highlight w:val="yellow"/>
                          </w:rPr>
                        </w:pPr>
                        <w:r>
                          <w:rPr>
                            <w:bCs/>
                            <w:sz w:val="22"/>
                            <w:szCs w:val="22"/>
                          </w:rPr>
                          <w:t>7 931 733,98</w:t>
                        </w:r>
                      </w:p>
                    </w:tc>
                    <w:tc>
                      <w:tcPr>
                        <w:tcW w:w="1649" w:type="dxa"/>
                      </w:tcPr>
                      <w:p>
                        <w:pPr>
                          <w:spacing w:line="254" w:lineRule="auto"/>
                          <w:jc w:val="both"/>
                          <w:rPr>
                            <w:bCs/>
                            <w:sz w:val="22"/>
                            <w:szCs w:val="22"/>
                          </w:rPr>
                        </w:pPr>
                        <w:r>
                          <w:rPr>
                            <w:bCs/>
                            <w:sz w:val="22"/>
                            <w:szCs w:val="22"/>
                          </w:rPr>
                          <w:t>628 357,50</w:t>
                        </w:r>
                      </w:p>
                    </w:tc>
                    <w:tc>
                      <w:tcPr>
                        <w:tcW w:w="1585" w:type="dxa"/>
                      </w:tcPr>
                      <w:p>
                        <w:pPr>
                          <w:spacing w:line="254" w:lineRule="auto"/>
                          <w:jc w:val="both"/>
                          <w:rPr>
                            <w:bCs/>
                            <w:sz w:val="22"/>
                            <w:szCs w:val="22"/>
                          </w:rPr>
                        </w:pPr>
                        <w:r>
                          <w:rPr>
                            <w:bCs/>
                            <w:sz w:val="22"/>
                            <w:szCs w:val="22"/>
                          </w:rPr>
                          <w:t>253 705,52</w:t>
                        </w:r>
                      </w:p>
                    </w:tc>
                  </w:tr>
                  <w:tr>
                    <w:tc>
                      <w:tcPr>
                        <w:tcW w:w="1964" w:type="dxa"/>
                      </w:tcPr>
                      <w:p>
                        <w:pPr>
                          <w:spacing w:line="254" w:lineRule="auto"/>
                          <w:rPr>
                            <w:bCs/>
                            <w:sz w:val="22"/>
                            <w:szCs w:val="22"/>
                          </w:rPr>
                        </w:pPr>
                        <w:r>
                          <w:rPr>
                            <w:bCs/>
                            <w:sz w:val="22"/>
                            <w:szCs w:val="22"/>
                          </w:rPr>
                          <w:t>02 Švietimo paslaugų prieinamumo ir kokybės užtikrinimo programa</w:t>
                        </w:r>
                      </w:p>
                    </w:tc>
                    <w:tc>
                      <w:tcPr>
                        <w:tcW w:w="1564" w:type="dxa"/>
                      </w:tcPr>
                      <w:p>
                        <w:pPr>
                          <w:spacing w:line="254" w:lineRule="auto"/>
                          <w:jc w:val="both"/>
                          <w:rPr>
                            <w:bCs/>
                            <w:sz w:val="22"/>
                            <w:szCs w:val="22"/>
                          </w:rPr>
                        </w:pPr>
                        <w:r>
                          <w:rPr>
                            <w:bCs/>
                            <w:sz w:val="22"/>
                            <w:szCs w:val="22"/>
                          </w:rPr>
                          <w:t>32 038 416,21</w:t>
                        </w:r>
                      </w:p>
                    </w:tc>
                    <w:tc>
                      <w:tcPr>
                        <w:tcW w:w="1543" w:type="dxa"/>
                      </w:tcPr>
                      <w:p>
                        <w:pPr>
                          <w:spacing w:line="254" w:lineRule="auto"/>
                          <w:jc w:val="both"/>
                          <w:rPr>
                            <w:bCs/>
                            <w:sz w:val="22"/>
                            <w:szCs w:val="22"/>
                          </w:rPr>
                        </w:pPr>
                        <w:r>
                          <w:rPr>
                            <w:bCs/>
                            <w:sz w:val="22"/>
                            <w:szCs w:val="22"/>
                          </w:rPr>
                          <w:t>34 209 099,01</w:t>
                        </w:r>
                      </w:p>
                    </w:tc>
                    <w:tc>
                      <w:tcPr>
                        <w:tcW w:w="1549" w:type="dxa"/>
                      </w:tcPr>
                      <w:p>
                        <w:pPr>
                          <w:spacing w:line="254" w:lineRule="auto"/>
                          <w:jc w:val="both"/>
                          <w:rPr>
                            <w:bCs/>
                            <w:sz w:val="22"/>
                            <w:szCs w:val="22"/>
                          </w:rPr>
                        </w:pPr>
                        <w:r>
                          <w:rPr>
                            <w:bCs/>
                            <w:sz w:val="22"/>
                            <w:szCs w:val="22"/>
                          </w:rPr>
                          <w:t>35 286 148,95</w:t>
                        </w:r>
                      </w:p>
                    </w:tc>
                    <w:tc>
                      <w:tcPr>
                        <w:tcW w:w="1649" w:type="dxa"/>
                      </w:tcPr>
                      <w:p>
                        <w:pPr>
                          <w:spacing w:line="254" w:lineRule="auto"/>
                          <w:jc w:val="both"/>
                          <w:rPr>
                            <w:bCs/>
                            <w:sz w:val="22"/>
                            <w:szCs w:val="22"/>
                          </w:rPr>
                        </w:pPr>
                        <w:r>
                          <w:rPr>
                            <w:bCs/>
                            <w:sz w:val="22"/>
                            <w:szCs w:val="22"/>
                          </w:rPr>
                          <w:t>3 247 732,74</w:t>
                        </w:r>
                      </w:p>
                    </w:tc>
                    <w:tc>
                      <w:tcPr>
                        <w:tcW w:w="1585" w:type="dxa"/>
                      </w:tcPr>
                      <w:p>
                        <w:pPr>
                          <w:spacing w:line="254" w:lineRule="auto"/>
                          <w:jc w:val="both"/>
                          <w:rPr>
                            <w:bCs/>
                            <w:sz w:val="22"/>
                            <w:szCs w:val="22"/>
                          </w:rPr>
                        </w:pPr>
                        <w:r>
                          <w:rPr>
                            <w:bCs/>
                            <w:sz w:val="22"/>
                            <w:szCs w:val="22"/>
                          </w:rPr>
                          <w:t>1 077 049,94</w:t>
                        </w:r>
                      </w:p>
                    </w:tc>
                  </w:tr>
                  <w:tr>
                    <w:tc>
                      <w:tcPr>
                        <w:tcW w:w="1964" w:type="dxa"/>
                      </w:tcPr>
                      <w:p>
                        <w:pPr>
                          <w:spacing w:line="254" w:lineRule="auto"/>
                          <w:rPr>
                            <w:bCs/>
                            <w:sz w:val="22"/>
                            <w:szCs w:val="22"/>
                          </w:rPr>
                        </w:pPr>
                        <w:r>
                          <w:rPr>
                            <w:bCs/>
                            <w:sz w:val="22"/>
                            <w:szCs w:val="22"/>
                          </w:rPr>
                          <w:t>03 Socialinių paslaugų ir socialinės paramos teikimo programa</w:t>
                        </w:r>
                      </w:p>
                    </w:tc>
                    <w:tc>
                      <w:tcPr>
                        <w:tcW w:w="1564" w:type="dxa"/>
                      </w:tcPr>
                      <w:p>
                        <w:pPr>
                          <w:spacing w:line="254" w:lineRule="auto"/>
                          <w:jc w:val="both"/>
                          <w:rPr>
                            <w:bCs/>
                            <w:sz w:val="22"/>
                            <w:szCs w:val="22"/>
                          </w:rPr>
                        </w:pPr>
                        <w:r>
                          <w:rPr>
                            <w:bCs/>
                            <w:sz w:val="22"/>
                            <w:szCs w:val="22"/>
                          </w:rPr>
                          <w:t>15 282 500,62</w:t>
                        </w:r>
                      </w:p>
                    </w:tc>
                    <w:tc>
                      <w:tcPr>
                        <w:tcW w:w="1543" w:type="dxa"/>
                      </w:tcPr>
                      <w:p>
                        <w:pPr>
                          <w:spacing w:line="254" w:lineRule="auto"/>
                          <w:jc w:val="both"/>
                          <w:rPr>
                            <w:bCs/>
                            <w:sz w:val="22"/>
                            <w:szCs w:val="22"/>
                          </w:rPr>
                        </w:pPr>
                        <w:r>
                          <w:rPr>
                            <w:bCs/>
                            <w:sz w:val="22"/>
                            <w:szCs w:val="22"/>
                          </w:rPr>
                          <w:t>16 532 907,58</w:t>
                        </w:r>
                      </w:p>
                    </w:tc>
                    <w:tc>
                      <w:tcPr>
                        <w:tcW w:w="1549" w:type="dxa"/>
                      </w:tcPr>
                      <w:p>
                        <w:pPr>
                          <w:spacing w:line="254" w:lineRule="auto"/>
                          <w:jc w:val="both"/>
                          <w:rPr>
                            <w:bCs/>
                            <w:sz w:val="22"/>
                            <w:szCs w:val="22"/>
                          </w:rPr>
                        </w:pPr>
                        <w:r>
                          <w:rPr>
                            <w:bCs/>
                            <w:sz w:val="22"/>
                            <w:szCs w:val="22"/>
                          </w:rPr>
                          <w:t>16 209 675,55</w:t>
                        </w:r>
                      </w:p>
                    </w:tc>
                    <w:tc>
                      <w:tcPr>
                        <w:tcW w:w="1649" w:type="dxa"/>
                      </w:tcPr>
                      <w:p>
                        <w:pPr>
                          <w:spacing w:line="254" w:lineRule="auto"/>
                          <w:jc w:val="both"/>
                          <w:rPr>
                            <w:bCs/>
                            <w:sz w:val="22"/>
                            <w:szCs w:val="22"/>
                          </w:rPr>
                        </w:pPr>
                        <w:r>
                          <w:rPr>
                            <w:bCs/>
                            <w:sz w:val="22"/>
                            <w:szCs w:val="22"/>
                          </w:rPr>
                          <w:t>927 174,93</w:t>
                        </w:r>
                      </w:p>
                    </w:tc>
                    <w:tc>
                      <w:tcPr>
                        <w:tcW w:w="1585" w:type="dxa"/>
                      </w:tcPr>
                      <w:p>
                        <w:pPr>
                          <w:spacing w:line="254" w:lineRule="auto"/>
                          <w:jc w:val="both"/>
                          <w:rPr>
                            <w:bCs/>
                            <w:sz w:val="22"/>
                            <w:szCs w:val="22"/>
                          </w:rPr>
                        </w:pPr>
                        <w:r>
                          <w:rPr>
                            <w:bCs/>
                            <w:sz w:val="22"/>
                            <w:szCs w:val="22"/>
                          </w:rPr>
                          <w:t>-323 232,03</w:t>
                        </w:r>
                      </w:p>
                    </w:tc>
                  </w:tr>
                  <w:tr>
                    <w:tc>
                      <w:tcPr>
                        <w:tcW w:w="1964" w:type="dxa"/>
                      </w:tcPr>
                      <w:p>
                        <w:pPr>
                          <w:spacing w:line="254" w:lineRule="auto"/>
                          <w:rPr>
                            <w:bCs/>
                            <w:sz w:val="22"/>
                            <w:szCs w:val="22"/>
                          </w:rPr>
                        </w:pPr>
                        <w:r>
                          <w:rPr>
                            <w:bCs/>
                            <w:sz w:val="22"/>
                            <w:szCs w:val="22"/>
                          </w:rPr>
                          <w:t>04 Rajono savivaldybės infrastruktūros objektų modernizavimo ir plėtros programa</w:t>
                        </w:r>
                      </w:p>
                    </w:tc>
                    <w:tc>
                      <w:tcPr>
                        <w:tcW w:w="1564" w:type="dxa"/>
                      </w:tcPr>
                      <w:p>
                        <w:pPr>
                          <w:spacing w:line="254" w:lineRule="auto"/>
                          <w:jc w:val="both"/>
                          <w:rPr>
                            <w:bCs/>
                            <w:sz w:val="22"/>
                            <w:szCs w:val="22"/>
                          </w:rPr>
                        </w:pPr>
                        <w:r>
                          <w:rPr>
                            <w:bCs/>
                            <w:sz w:val="22"/>
                            <w:szCs w:val="22"/>
                          </w:rPr>
                          <w:t>6 421 362,68</w:t>
                        </w:r>
                      </w:p>
                    </w:tc>
                    <w:tc>
                      <w:tcPr>
                        <w:tcW w:w="1543" w:type="dxa"/>
                      </w:tcPr>
                      <w:p>
                        <w:pPr>
                          <w:spacing w:line="254" w:lineRule="auto"/>
                          <w:jc w:val="both"/>
                          <w:rPr>
                            <w:bCs/>
                            <w:sz w:val="22"/>
                            <w:szCs w:val="22"/>
                          </w:rPr>
                        </w:pPr>
                        <w:r>
                          <w:rPr>
                            <w:bCs/>
                            <w:sz w:val="22"/>
                            <w:szCs w:val="22"/>
                          </w:rPr>
                          <w:t>7 421 004,16</w:t>
                        </w:r>
                      </w:p>
                    </w:tc>
                    <w:tc>
                      <w:tcPr>
                        <w:tcW w:w="1549" w:type="dxa"/>
                      </w:tcPr>
                      <w:p>
                        <w:pPr>
                          <w:spacing w:line="254" w:lineRule="auto"/>
                          <w:jc w:val="both"/>
                          <w:rPr>
                            <w:bCs/>
                            <w:sz w:val="22"/>
                            <w:szCs w:val="22"/>
                          </w:rPr>
                        </w:pPr>
                        <w:r>
                          <w:rPr>
                            <w:bCs/>
                            <w:sz w:val="22"/>
                            <w:szCs w:val="22"/>
                          </w:rPr>
                          <w:t>6 512 888,73</w:t>
                        </w:r>
                      </w:p>
                    </w:tc>
                    <w:tc>
                      <w:tcPr>
                        <w:tcW w:w="1649" w:type="dxa"/>
                      </w:tcPr>
                      <w:p>
                        <w:pPr>
                          <w:spacing w:line="254" w:lineRule="auto"/>
                          <w:jc w:val="both"/>
                          <w:rPr>
                            <w:bCs/>
                            <w:sz w:val="22"/>
                            <w:szCs w:val="22"/>
                          </w:rPr>
                        </w:pPr>
                        <w:r>
                          <w:rPr>
                            <w:bCs/>
                            <w:sz w:val="22"/>
                            <w:szCs w:val="22"/>
                          </w:rPr>
                          <w:t>91 526,05</w:t>
                        </w:r>
                      </w:p>
                    </w:tc>
                    <w:tc>
                      <w:tcPr>
                        <w:tcW w:w="1585" w:type="dxa"/>
                      </w:tcPr>
                      <w:p>
                        <w:pPr>
                          <w:spacing w:line="254" w:lineRule="auto"/>
                          <w:jc w:val="both"/>
                          <w:rPr>
                            <w:bCs/>
                            <w:sz w:val="22"/>
                            <w:szCs w:val="22"/>
                          </w:rPr>
                        </w:pPr>
                        <w:r>
                          <w:rPr>
                            <w:bCs/>
                            <w:sz w:val="22"/>
                            <w:szCs w:val="22"/>
                          </w:rPr>
                          <w:t>-908 115,43</w:t>
                        </w:r>
                      </w:p>
                    </w:tc>
                  </w:tr>
                  <w:tr>
                    <w:tc>
                      <w:tcPr>
                        <w:tcW w:w="1964" w:type="dxa"/>
                      </w:tcPr>
                      <w:p>
                        <w:pPr>
                          <w:spacing w:line="254" w:lineRule="auto"/>
                          <w:rPr>
                            <w:bCs/>
                            <w:sz w:val="22"/>
                            <w:szCs w:val="22"/>
                          </w:rPr>
                        </w:pPr>
                        <w:r>
                          <w:rPr>
                            <w:bCs/>
                            <w:sz w:val="22"/>
                            <w:szCs w:val="22"/>
                          </w:rPr>
                          <w:t>05 Gyventojų turiningo laisvalaikio užtikrinimo, bendruomeniškumo ir veiklumo skatinimo programa</w:t>
                        </w:r>
                      </w:p>
                    </w:tc>
                    <w:tc>
                      <w:tcPr>
                        <w:tcW w:w="1564" w:type="dxa"/>
                      </w:tcPr>
                      <w:p>
                        <w:pPr>
                          <w:spacing w:line="254" w:lineRule="auto"/>
                          <w:jc w:val="both"/>
                          <w:rPr>
                            <w:bCs/>
                            <w:sz w:val="22"/>
                            <w:szCs w:val="22"/>
                          </w:rPr>
                        </w:pPr>
                        <w:r>
                          <w:rPr>
                            <w:bCs/>
                            <w:sz w:val="22"/>
                            <w:szCs w:val="22"/>
                          </w:rPr>
                          <w:t>6 526 085,96</w:t>
                        </w:r>
                      </w:p>
                    </w:tc>
                    <w:tc>
                      <w:tcPr>
                        <w:tcW w:w="1543" w:type="dxa"/>
                      </w:tcPr>
                      <w:p>
                        <w:pPr>
                          <w:spacing w:line="254" w:lineRule="auto"/>
                          <w:jc w:val="both"/>
                          <w:rPr>
                            <w:bCs/>
                            <w:sz w:val="22"/>
                            <w:szCs w:val="22"/>
                          </w:rPr>
                        </w:pPr>
                        <w:r>
                          <w:rPr>
                            <w:bCs/>
                            <w:sz w:val="22"/>
                            <w:szCs w:val="22"/>
                          </w:rPr>
                          <w:t>6 757 208,96</w:t>
                        </w:r>
                      </w:p>
                    </w:tc>
                    <w:tc>
                      <w:tcPr>
                        <w:tcW w:w="1549" w:type="dxa"/>
                      </w:tcPr>
                      <w:p>
                        <w:pPr>
                          <w:spacing w:line="254" w:lineRule="auto"/>
                          <w:jc w:val="both"/>
                          <w:rPr>
                            <w:bCs/>
                            <w:sz w:val="22"/>
                            <w:szCs w:val="22"/>
                          </w:rPr>
                        </w:pPr>
                        <w:r>
                          <w:rPr>
                            <w:bCs/>
                            <w:sz w:val="22"/>
                            <w:szCs w:val="22"/>
                          </w:rPr>
                          <w:t>7 119 509,60</w:t>
                        </w:r>
                      </w:p>
                    </w:tc>
                    <w:tc>
                      <w:tcPr>
                        <w:tcW w:w="1649" w:type="dxa"/>
                      </w:tcPr>
                      <w:p>
                        <w:pPr>
                          <w:spacing w:line="254" w:lineRule="auto"/>
                          <w:jc w:val="both"/>
                          <w:rPr>
                            <w:bCs/>
                            <w:sz w:val="22"/>
                            <w:szCs w:val="22"/>
                          </w:rPr>
                        </w:pPr>
                        <w:r>
                          <w:rPr>
                            <w:bCs/>
                            <w:sz w:val="22"/>
                            <w:szCs w:val="22"/>
                          </w:rPr>
                          <w:t>593 423,64</w:t>
                        </w:r>
                      </w:p>
                    </w:tc>
                    <w:tc>
                      <w:tcPr>
                        <w:tcW w:w="1585" w:type="dxa"/>
                      </w:tcPr>
                      <w:p>
                        <w:pPr>
                          <w:spacing w:line="254" w:lineRule="auto"/>
                          <w:jc w:val="both"/>
                          <w:rPr>
                            <w:bCs/>
                            <w:sz w:val="22"/>
                            <w:szCs w:val="22"/>
                          </w:rPr>
                        </w:pPr>
                        <w:r>
                          <w:rPr>
                            <w:bCs/>
                            <w:sz w:val="22"/>
                            <w:szCs w:val="22"/>
                          </w:rPr>
                          <w:t>362 300,64</w:t>
                        </w:r>
                      </w:p>
                    </w:tc>
                  </w:tr>
                  <w:tr>
                    <w:tc>
                      <w:tcPr>
                        <w:tcW w:w="1964" w:type="dxa"/>
                      </w:tcPr>
                      <w:p>
                        <w:pPr>
                          <w:spacing w:line="254" w:lineRule="auto"/>
                          <w:rPr>
                            <w:bCs/>
                            <w:sz w:val="22"/>
                            <w:szCs w:val="22"/>
                          </w:rPr>
                        </w:pPr>
                        <w:r>
                          <w:rPr>
                            <w:bCs/>
                            <w:sz w:val="22"/>
                            <w:szCs w:val="22"/>
                          </w:rPr>
                          <w:t>06 Saugios, švarios ir patogios aplinkos užtikrinimo programa</w:t>
                        </w:r>
                      </w:p>
                    </w:tc>
                    <w:tc>
                      <w:tcPr>
                        <w:tcW w:w="1564" w:type="dxa"/>
                      </w:tcPr>
                      <w:p>
                        <w:pPr>
                          <w:spacing w:line="254" w:lineRule="auto"/>
                          <w:jc w:val="both"/>
                          <w:rPr>
                            <w:bCs/>
                            <w:sz w:val="22"/>
                            <w:szCs w:val="22"/>
                          </w:rPr>
                        </w:pPr>
                        <w:r>
                          <w:rPr>
                            <w:bCs/>
                            <w:sz w:val="22"/>
                            <w:szCs w:val="22"/>
                          </w:rPr>
                          <w:t>7 069 398,45</w:t>
                        </w:r>
                      </w:p>
                    </w:tc>
                    <w:tc>
                      <w:tcPr>
                        <w:tcW w:w="1543" w:type="dxa"/>
                      </w:tcPr>
                      <w:p>
                        <w:pPr>
                          <w:spacing w:line="254" w:lineRule="auto"/>
                          <w:jc w:val="both"/>
                          <w:rPr>
                            <w:bCs/>
                            <w:sz w:val="22"/>
                            <w:szCs w:val="22"/>
                          </w:rPr>
                        </w:pPr>
                        <w:r>
                          <w:rPr>
                            <w:bCs/>
                            <w:sz w:val="22"/>
                            <w:szCs w:val="22"/>
                          </w:rPr>
                          <w:t>7 213 365,45</w:t>
                        </w:r>
                      </w:p>
                    </w:tc>
                    <w:tc>
                      <w:tcPr>
                        <w:tcW w:w="1549" w:type="dxa"/>
                      </w:tcPr>
                      <w:p>
                        <w:pPr>
                          <w:spacing w:line="254" w:lineRule="auto"/>
                          <w:jc w:val="both"/>
                          <w:rPr>
                            <w:bCs/>
                            <w:sz w:val="22"/>
                            <w:szCs w:val="22"/>
                          </w:rPr>
                        </w:pPr>
                        <w:r>
                          <w:rPr>
                            <w:bCs/>
                            <w:sz w:val="22"/>
                            <w:szCs w:val="22"/>
                          </w:rPr>
                          <w:t>8 115 199,82</w:t>
                        </w:r>
                      </w:p>
                    </w:tc>
                    <w:tc>
                      <w:tcPr>
                        <w:tcW w:w="1649" w:type="dxa"/>
                      </w:tcPr>
                      <w:p>
                        <w:pPr>
                          <w:spacing w:line="254" w:lineRule="auto"/>
                          <w:jc w:val="both"/>
                          <w:rPr>
                            <w:bCs/>
                            <w:sz w:val="22"/>
                            <w:szCs w:val="22"/>
                          </w:rPr>
                        </w:pPr>
                        <w:r>
                          <w:rPr>
                            <w:bCs/>
                            <w:sz w:val="22"/>
                            <w:szCs w:val="22"/>
                          </w:rPr>
                          <w:t>1 045 801,37</w:t>
                        </w:r>
                      </w:p>
                    </w:tc>
                    <w:tc>
                      <w:tcPr>
                        <w:tcW w:w="1585" w:type="dxa"/>
                      </w:tcPr>
                      <w:p>
                        <w:pPr>
                          <w:spacing w:line="254" w:lineRule="auto"/>
                          <w:jc w:val="both"/>
                          <w:rPr>
                            <w:bCs/>
                            <w:sz w:val="22"/>
                            <w:szCs w:val="22"/>
                          </w:rPr>
                        </w:pPr>
                        <w:r>
                          <w:rPr>
                            <w:bCs/>
                            <w:sz w:val="22"/>
                            <w:szCs w:val="22"/>
                          </w:rPr>
                          <w:t>901 834,37</w:t>
                        </w:r>
                      </w:p>
                    </w:tc>
                  </w:tr>
                  <w:tr>
                    <w:trPr>
                      <w:trHeight w:val="410"/>
                    </w:trPr>
                    <w:tc>
                      <w:tcPr>
                        <w:tcW w:w="1964" w:type="dxa"/>
                      </w:tcPr>
                      <w:p>
                        <w:pPr>
                          <w:spacing w:line="254" w:lineRule="auto"/>
                          <w:rPr>
                            <w:b/>
                            <w:bCs/>
                            <w:sz w:val="22"/>
                            <w:szCs w:val="22"/>
                          </w:rPr>
                        </w:pPr>
                        <w:r>
                          <w:rPr>
                            <w:b/>
                            <w:bCs/>
                            <w:sz w:val="22"/>
                            <w:szCs w:val="22"/>
                          </w:rPr>
                          <w:t>Iš viso:</w:t>
                        </w:r>
                      </w:p>
                    </w:tc>
                    <w:tc>
                      <w:tcPr>
                        <w:tcW w:w="1564" w:type="dxa"/>
                      </w:tcPr>
                      <w:p>
                        <w:pPr>
                          <w:spacing w:line="254" w:lineRule="auto"/>
                          <w:jc w:val="both"/>
                          <w:rPr>
                            <w:b/>
                            <w:bCs/>
                            <w:sz w:val="22"/>
                            <w:szCs w:val="22"/>
                          </w:rPr>
                        </w:pPr>
                        <w:r>
                          <w:rPr>
                            <w:b/>
                            <w:bCs/>
                            <w:sz w:val="22"/>
                            <w:szCs w:val="22"/>
                          </w:rPr>
                          <w:t>74 641 140,40</w:t>
                        </w:r>
                      </w:p>
                    </w:tc>
                    <w:tc>
                      <w:tcPr>
                        <w:tcW w:w="1543" w:type="dxa"/>
                      </w:tcPr>
                      <w:p>
                        <w:pPr>
                          <w:spacing w:line="254" w:lineRule="auto"/>
                          <w:jc w:val="both"/>
                          <w:rPr>
                            <w:b/>
                            <w:bCs/>
                            <w:sz w:val="22"/>
                            <w:szCs w:val="22"/>
                          </w:rPr>
                        </w:pPr>
                        <w:r>
                          <w:rPr>
                            <w:b/>
                            <w:bCs/>
                            <w:sz w:val="22"/>
                            <w:szCs w:val="22"/>
                          </w:rPr>
                          <w:t>79 811 613,62</w:t>
                        </w:r>
                      </w:p>
                    </w:tc>
                    <w:tc>
                      <w:tcPr>
                        <w:tcW w:w="1549" w:type="dxa"/>
                      </w:tcPr>
                      <w:p>
                        <w:pPr>
                          <w:spacing w:line="254" w:lineRule="auto"/>
                          <w:jc w:val="both"/>
                          <w:rPr>
                            <w:b/>
                            <w:bCs/>
                            <w:sz w:val="22"/>
                            <w:szCs w:val="22"/>
                          </w:rPr>
                        </w:pPr>
                        <w:r>
                          <w:rPr>
                            <w:b/>
                            <w:bCs/>
                            <w:sz w:val="22"/>
                            <w:szCs w:val="22"/>
                          </w:rPr>
                          <w:t>81 175 156,63</w:t>
                        </w:r>
                      </w:p>
                    </w:tc>
                    <w:tc>
                      <w:tcPr>
                        <w:tcW w:w="1649" w:type="dxa"/>
                      </w:tcPr>
                      <w:p>
                        <w:pPr>
                          <w:spacing w:line="254" w:lineRule="auto"/>
                          <w:jc w:val="both"/>
                          <w:rPr>
                            <w:b/>
                            <w:bCs/>
                            <w:sz w:val="22"/>
                            <w:szCs w:val="22"/>
                          </w:rPr>
                        </w:pPr>
                        <w:r>
                          <w:rPr>
                            <w:b/>
                            <w:bCs/>
                            <w:sz w:val="22"/>
                            <w:szCs w:val="22"/>
                          </w:rPr>
                          <w:t>6 534 016,23</w:t>
                        </w:r>
                      </w:p>
                    </w:tc>
                    <w:tc>
                      <w:tcPr>
                        <w:tcW w:w="1585" w:type="dxa"/>
                      </w:tcPr>
                      <w:p>
                        <w:pPr>
                          <w:spacing w:line="254" w:lineRule="auto"/>
                          <w:jc w:val="both"/>
                          <w:rPr>
                            <w:b/>
                            <w:bCs/>
                            <w:sz w:val="22"/>
                            <w:szCs w:val="22"/>
                          </w:rPr>
                        </w:pPr>
                        <w:r>
                          <w:rPr>
                            <w:b/>
                            <w:bCs/>
                            <w:sz w:val="22"/>
                            <w:szCs w:val="22"/>
                          </w:rPr>
                          <w:t>1 363 543,01</w:t>
                        </w:r>
                      </w:p>
                    </w:tc>
                  </w:tr>
                </w:tbl>
                <w:p>
                  <w:pPr>
                    <w:spacing w:line="254" w:lineRule="auto"/>
                    <w:jc w:val="both"/>
                    <w:rPr>
                      <w:szCs w:val="24"/>
                    </w:rPr>
                  </w:pPr>
                </w:p>
                <w:p>
                  <w:pPr>
                    <w:rPr>
                      <w:sz w:val="14"/>
                      <w:szCs w:val="14"/>
                    </w:rPr>
                  </w:pPr>
                </w:p>
              </w:sdtContent>
            </w:sdt>
            <w:sdt>
              <w:sdtPr>
                <w:alias w:val="pastraipa"/>
                <w:tag w:val="part_84639242411143df8ca91f9124159a29"/>
                <w:lock w:val="sdtLocked"/>
                <w:richText/>
              </w:sdtPr>
              <w:sdtContent>
                <w:p>
                  <w:pPr>
                    <w:spacing w:line="254" w:lineRule="auto"/>
                    <w:ind w:firstLine="709"/>
                    <w:jc w:val="both"/>
                    <w:rPr>
                      <w:szCs w:val="24"/>
                    </w:rPr>
                  </w:pPr>
                  <w:r>
                    <w:rPr>
                      <w:szCs w:val="24"/>
                    </w:rPr>
                    <w:t xml:space="preserve">2025 m. Savivaldybės biudžeto asignavimai sudaro 81 175 156,63 Eur.  Didžiausia biudžeto asignavimų dalis – 43,5 proc. – tenka Švietimo prieinamumo ir kokybės užtikrinimo programai. Socialinių paslaugų ir socialinės paramos teikimo programai tenka 20,1 proc.,</w:t>
                  </w:r>
                  <w:r>
                    <w:rPr>
                      <w:sz w:val="22"/>
                      <w:szCs w:val="22"/>
                    </w:rPr>
                    <w:t xml:space="preserve"> </w:t>
                  </w:r>
                  <w:r>
                    <w:rPr>
                      <w:szCs w:val="24"/>
                    </w:rPr>
                    <w:t xml:space="preserve">Saugios, švarios ir patogios aplinkos užtikrinimo programai tenka 10 proc. ir </w:t>
                  </w:r>
                  <w:r>
                    <w:rPr>
                      <w:sz w:val="22"/>
                      <w:szCs w:val="22"/>
                    </w:rPr>
                    <w:t xml:space="preserve"> </w:t>
                  </w:r>
                  <w:r>
                    <w:rPr>
                      <w:szCs w:val="24"/>
                    </w:rPr>
                    <w:t>Savivaldybės valdymo programai tenka 9,8 proc. visų biudžeto asignavimų.</w:t>
                  </w:r>
                </w:p>
              </w:sdtContent>
            </w:sdt>
            <w:sdt>
              <w:sdtPr>
                <w:alias w:val="pastraipa"/>
                <w:tag w:val="part_b82b1ed7624e4f90b4c9da9c9fdd6d42"/>
                <w:lock w:val="sdtLocked"/>
                <w:richText/>
              </w:sdtPr>
              <w:sdtContent>
                <w:p>
                  <w:pPr>
                    <w:spacing w:line="254" w:lineRule="auto"/>
                    <w:ind w:firstLine="709"/>
                    <w:jc w:val="both"/>
                    <w:rPr>
                      <w:szCs w:val="24"/>
                    </w:rPr>
                  </w:pPr>
                  <w:r>
                    <w:rPr>
                      <w:szCs w:val="24"/>
                    </w:rPr>
                    <w:t xml:space="preserve">Savivaldybės biudžeto asignavimai biudžetinių įstaigų darbuotojų darbo užmokesčiui planuojami, vadovaujantis Radviliškio rajono tarybos sprendimais, savivaldybės mero potvarkiais. 2025 m. biudžetinių įstaigų darbo užmokesčio fondas sudaro 47 673 309,11   Eur, t. y. 5 153 836,56 Eur (12,5 %) daugiau nei pirminiame 2024 m. patvirtintame biudžete. Mokos fondas padidėjo dėl biudžetinių įstaigų, švietimo ir socialinių paslaugų įstaigų darbuotojų darbo užmokesčio padidinimo.</w:t>
                  </w:r>
                </w:p>
                <w:p>
                  <w:pPr>
                    <w:spacing w:line="254" w:lineRule="auto"/>
                    <w:jc w:val="both"/>
                    <w:rPr>
                      <w:b/>
                      <w:szCs w:val="24"/>
                    </w:rPr>
                  </w:pPr>
                </w:p>
                <w:p>
                  <w:pPr>
                    <w:rPr>
                      <w:sz w:val="14"/>
                      <w:szCs w:val="14"/>
                    </w:rPr>
                  </w:pPr>
                </w:p>
              </w:sdtContent>
            </w:sdt>
            <w:sdt>
              <w:sdtPr>
                <w:alias w:val="lentele"/>
                <w:tag w:val="part_12356ffd556743f084e7ce587086d9aa"/>
                <w:lock w:val="sdtLocked"/>
                <w:richText/>
              </w:sdtPr>
              <w:sdtContent>
                <w:p>
                  <w:pPr>
                    <w:spacing w:line="254" w:lineRule="auto"/>
                    <w:jc w:val="both"/>
                    <w:rPr>
                      <w:b/>
                      <w:szCs w:val="24"/>
                    </w:rPr>
                  </w:pPr>
                  <w:sdt>
                    <w:sdtPr>
                      <w:alias w:val="Pavadinimas"/>
                      <w:tag w:val="title_12356ffd556743f084e7ce587086d9aa"/>
                      <w:lock w:val="sdtLocked"/>
                      <w:richText/>
                    </w:sdtPr>
                    <w:sdtContent>
                      <w:r>
                        <w:rPr>
                          <w:b/>
                          <w:szCs w:val="24"/>
                        </w:rPr>
                        <w:t>Savivaldybės 2025 m. biudžeto asignavimai pagal finansavimo šaltinius:</w:t>
                      </w:r>
                    </w:sdtContent>
                  </w:sdt>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1985"/>
                    <w:gridCol w:w="2246"/>
                  </w:tblGrid>
                  <w:tr>
                    <w:tc>
                      <w:tcPr>
                        <w:tcW w:w="675" w:type="dxa"/>
                      </w:tcPr>
                      <w:p>
                        <w:pPr>
                          <w:spacing w:line="254" w:lineRule="auto"/>
                          <w:jc w:val="both"/>
                          <w:rPr>
                            <w:szCs w:val="24"/>
                          </w:rPr>
                        </w:pPr>
                        <w:r>
                          <w:rPr>
                            <w:szCs w:val="24"/>
                          </w:rPr>
                          <w:t>Eil.</w:t>
                        </w:r>
                      </w:p>
                      <w:p>
                        <w:pPr>
                          <w:spacing w:line="254" w:lineRule="auto"/>
                          <w:jc w:val="both"/>
                          <w:rPr>
                            <w:szCs w:val="24"/>
                          </w:rPr>
                        </w:pPr>
                        <w:r>
                          <w:rPr>
                            <w:szCs w:val="24"/>
                          </w:rPr>
                          <w:t>Nr.</w:t>
                        </w:r>
                      </w:p>
                    </w:tc>
                    <w:tc>
                      <w:tcPr>
                        <w:tcW w:w="2977" w:type="dxa"/>
                      </w:tcPr>
                      <w:p>
                        <w:pPr>
                          <w:spacing w:line="254" w:lineRule="auto"/>
                          <w:jc w:val="both"/>
                          <w:rPr>
                            <w:szCs w:val="24"/>
                          </w:rPr>
                        </w:pPr>
                        <w:r>
                          <w:rPr>
                            <w:szCs w:val="24"/>
                          </w:rPr>
                          <w:t>Finansavimo šaltinis</w:t>
                        </w:r>
                      </w:p>
                    </w:tc>
                    <w:tc>
                      <w:tcPr>
                        <w:tcW w:w="1985" w:type="dxa"/>
                      </w:tcPr>
                      <w:p>
                        <w:pPr>
                          <w:spacing w:line="254" w:lineRule="auto"/>
                          <w:jc w:val="both"/>
                          <w:rPr>
                            <w:szCs w:val="24"/>
                          </w:rPr>
                        </w:pPr>
                        <w:r>
                          <w:rPr>
                            <w:szCs w:val="24"/>
                          </w:rPr>
                          <w:t>Iš viso</w:t>
                        </w:r>
                      </w:p>
                    </w:tc>
                    <w:tc>
                      <w:tcPr>
                        <w:tcW w:w="2246" w:type="dxa"/>
                      </w:tcPr>
                      <w:p>
                        <w:pPr>
                          <w:spacing w:line="254" w:lineRule="auto"/>
                          <w:rPr>
                            <w:szCs w:val="24"/>
                          </w:rPr>
                        </w:pPr>
                        <w:r>
                          <w:rPr>
                            <w:szCs w:val="24"/>
                          </w:rPr>
                          <w:t>t. t. darbo užmokestis</w:t>
                        </w:r>
                      </w:p>
                    </w:tc>
                  </w:tr>
                  <w:tr>
                    <w:trPr>
                      <w:trHeight w:val="355"/>
                    </w:trPr>
                    <w:tc>
                      <w:tcPr>
                        <w:tcW w:w="675" w:type="dxa"/>
                      </w:tcPr>
                      <w:p>
                        <w:pPr>
                          <w:spacing w:line="254" w:lineRule="auto"/>
                          <w:jc w:val="both"/>
                          <w:rPr>
                            <w:sz w:val="22"/>
                            <w:szCs w:val="22"/>
                          </w:rPr>
                        </w:pPr>
                        <w:r>
                          <w:rPr>
                            <w:sz w:val="22"/>
                            <w:szCs w:val="22"/>
                          </w:rPr>
                          <w:t>1.</w:t>
                        </w:r>
                      </w:p>
                    </w:tc>
                    <w:tc>
                      <w:tcPr>
                        <w:tcW w:w="2977" w:type="dxa"/>
                      </w:tcPr>
                      <w:p>
                        <w:pPr>
                          <w:spacing w:line="254" w:lineRule="auto"/>
                          <w:jc w:val="both"/>
                          <w:rPr>
                            <w:sz w:val="22"/>
                            <w:szCs w:val="22"/>
                          </w:rPr>
                        </w:pPr>
                        <w:r>
                          <w:rPr>
                            <w:sz w:val="22"/>
                            <w:szCs w:val="22"/>
                          </w:rPr>
                          <w:t>Savivaldybės biudžetas</w:t>
                        </w:r>
                      </w:p>
                    </w:tc>
                    <w:tc>
                      <w:tcPr>
                        <w:tcW w:w="1985" w:type="dxa"/>
                      </w:tcPr>
                      <w:p>
                        <w:pPr>
                          <w:spacing w:line="254" w:lineRule="auto"/>
                          <w:jc w:val="both"/>
                          <w:rPr>
                            <w:sz w:val="22"/>
                            <w:szCs w:val="22"/>
                          </w:rPr>
                        </w:pPr>
                        <w:r>
                          <w:rPr>
                            <w:sz w:val="22"/>
                            <w:szCs w:val="22"/>
                          </w:rPr>
                          <w:t>44 613 000,00</w:t>
                        </w:r>
                      </w:p>
                    </w:tc>
                    <w:tc>
                      <w:tcPr>
                        <w:tcW w:w="2246" w:type="dxa"/>
                      </w:tcPr>
                      <w:p>
                        <w:pPr>
                          <w:spacing w:line="254" w:lineRule="auto"/>
                          <w:jc w:val="both"/>
                          <w:rPr>
                            <w:sz w:val="22"/>
                            <w:szCs w:val="22"/>
                          </w:rPr>
                        </w:pPr>
                        <w:r>
                          <w:rPr>
                            <w:sz w:val="22"/>
                            <w:szCs w:val="22"/>
                          </w:rPr>
                          <w:t>26 623 355,00</w:t>
                        </w:r>
                      </w:p>
                    </w:tc>
                  </w:tr>
                  <w:tr>
                    <w:tc>
                      <w:tcPr>
                        <w:tcW w:w="675" w:type="dxa"/>
                      </w:tcPr>
                      <w:p>
                        <w:pPr>
                          <w:spacing w:line="254" w:lineRule="auto"/>
                          <w:jc w:val="both"/>
                          <w:rPr>
                            <w:sz w:val="22"/>
                            <w:szCs w:val="22"/>
                          </w:rPr>
                        </w:pPr>
                        <w:r>
                          <w:rPr>
                            <w:sz w:val="22"/>
                            <w:szCs w:val="22"/>
                          </w:rPr>
                          <w:t>2.</w:t>
                        </w:r>
                      </w:p>
                    </w:tc>
                    <w:tc>
                      <w:tcPr>
                        <w:tcW w:w="2977" w:type="dxa"/>
                      </w:tcPr>
                      <w:p>
                        <w:pPr>
                          <w:spacing w:line="254" w:lineRule="auto"/>
                          <w:rPr>
                            <w:sz w:val="22"/>
                            <w:szCs w:val="22"/>
                          </w:rPr>
                        </w:pPr>
                        <w:r>
                          <w:rPr>
                            <w:sz w:val="22"/>
                            <w:szCs w:val="22"/>
                          </w:rPr>
                          <w:t>Socialinio būsto fondo plėtra</w:t>
                        </w:r>
                      </w:p>
                    </w:tc>
                    <w:tc>
                      <w:tcPr>
                        <w:tcW w:w="1985" w:type="dxa"/>
                      </w:tcPr>
                      <w:p>
                        <w:pPr>
                          <w:spacing w:line="254" w:lineRule="auto"/>
                          <w:jc w:val="both"/>
                          <w:rPr>
                            <w:sz w:val="22"/>
                            <w:szCs w:val="22"/>
                          </w:rPr>
                        </w:pPr>
                        <w:r>
                          <w:rPr>
                            <w:sz w:val="22"/>
                            <w:szCs w:val="22"/>
                          </w:rPr>
                          <w:t>160 000,00</w:t>
                        </w:r>
                      </w:p>
                    </w:tc>
                    <w:tc>
                      <w:tcPr>
                        <w:tcW w:w="2246" w:type="dxa"/>
                      </w:tcPr>
                      <w:p>
                        <w:pPr>
                          <w:spacing w:line="254" w:lineRule="auto"/>
                          <w:jc w:val="both"/>
                          <w:rPr>
                            <w:sz w:val="22"/>
                            <w:szCs w:val="22"/>
                          </w:rPr>
                        </w:pPr>
                        <w:r>
                          <w:rPr>
                            <w:sz w:val="22"/>
                            <w:szCs w:val="22"/>
                          </w:rPr>
                          <w:t>-</w:t>
                        </w:r>
                      </w:p>
                    </w:tc>
                  </w:tr>
                  <w:tr>
                    <w:tc>
                      <w:tcPr>
                        <w:tcW w:w="675" w:type="dxa"/>
                      </w:tcPr>
                      <w:p>
                        <w:pPr>
                          <w:spacing w:line="254" w:lineRule="auto"/>
                          <w:jc w:val="both"/>
                          <w:rPr>
                            <w:sz w:val="22"/>
                            <w:szCs w:val="22"/>
                          </w:rPr>
                        </w:pPr>
                        <w:r>
                          <w:rPr>
                            <w:sz w:val="22"/>
                            <w:szCs w:val="22"/>
                          </w:rPr>
                          <w:t>3.</w:t>
                        </w:r>
                      </w:p>
                    </w:tc>
                    <w:tc>
                      <w:tcPr>
                        <w:tcW w:w="2977" w:type="dxa"/>
                      </w:tcPr>
                      <w:p>
                        <w:pPr>
                          <w:spacing w:line="254" w:lineRule="auto"/>
                          <w:jc w:val="both"/>
                          <w:rPr>
                            <w:sz w:val="22"/>
                            <w:szCs w:val="22"/>
                          </w:rPr>
                        </w:pPr>
                        <w:r>
                          <w:rPr>
                            <w:sz w:val="22"/>
                            <w:szCs w:val="22"/>
                          </w:rPr>
                          <w:t>Specialiųjų programų lėšos</w:t>
                        </w:r>
                      </w:p>
                    </w:tc>
                    <w:tc>
                      <w:tcPr>
                        <w:tcW w:w="1985" w:type="dxa"/>
                      </w:tcPr>
                      <w:p>
                        <w:pPr>
                          <w:spacing w:line="254" w:lineRule="auto"/>
                          <w:jc w:val="both"/>
                          <w:rPr>
                            <w:sz w:val="22"/>
                            <w:szCs w:val="22"/>
                          </w:rPr>
                        </w:pPr>
                        <w:r>
                          <w:rPr>
                            <w:sz w:val="22"/>
                            <w:szCs w:val="22"/>
                          </w:rPr>
                          <w:t>2 772 075,00</w:t>
                        </w:r>
                      </w:p>
                    </w:tc>
                    <w:tc>
                      <w:tcPr>
                        <w:tcW w:w="2246" w:type="dxa"/>
                      </w:tcPr>
                      <w:p>
                        <w:pPr>
                          <w:spacing w:line="254" w:lineRule="auto"/>
                          <w:jc w:val="both"/>
                          <w:rPr>
                            <w:sz w:val="22"/>
                            <w:szCs w:val="22"/>
                          </w:rPr>
                        </w:pPr>
                        <w:r>
                          <w:rPr>
                            <w:sz w:val="22"/>
                            <w:szCs w:val="22"/>
                          </w:rPr>
                          <w:t>855 460,00</w:t>
                        </w:r>
                      </w:p>
                    </w:tc>
                  </w:tr>
                  <w:tr>
                    <w:tc>
                      <w:tcPr>
                        <w:tcW w:w="675" w:type="dxa"/>
                      </w:tcPr>
                      <w:p>
                        <w:pPr>
                          <w:spacing w:line="254" w:lineRule="auto"/>
                          <w:jc w:val="both"/>
                          <w:rPr>
                            <w:sz w:val="22"/>
                            <w:szCs w:val="22"/>
                          </w:rPr>
                        </w:pPr>
                        <w:r>
                          <w:rPr>
                            <w:sz w:val="22"/>
                            <w:szCs w:val="22"/>
                          </w:rPr>
                          <w:t>4.</w:t>
                        </w:r>
                      </w:p>
                    </w:tc>
                    <w:tc>
                      <w:tcPr>
                        <w:tcW w:w="2977" w:type="dxa"/>
                      </w:tcPr>
                      <w:p>
                        <w:pPr>
                          <w:spacing w:line="254" w:lineRule="auto"/>
                          <w:jc w:val="both"/>
                          <w:rPr>
                            <w:sz w:val="22"/>
                            <w:szCs w:val="22"/>
                          </w:rPr>
                        </w:pPr>
                        <w:r>
                          <w:rPr>
                            <w:sz w:val="22"/>
                            <w:szCs w:val="22"/>
                          </w:rPr>
                          <w:t>Valstybės biudžetas</w:t>
                        </w:r>
                      </w:p>
                    </w:tc>
                    <w:tc>
                      <w:tcPr>
                        <w:tcW w:w="1985" w:type="dxa"/>
                      </w:tcPr>
                      <w:p>
                        <w:pPr>
                          <w:spacing w:line="254" w:lineRule="auto"/>
                          <w:jc w:val="both"/>
                          <w:rPr>
                            <w:sz w:val="22"/>
                            <w:szCs w:val="22"/>
                          </w:rPr>
                        </w:pPr>
                        <w:r>
                          <w:rPr>
                            <w:sz w:val="22"/>
                            <w:szCs w:val="22"/>
                          </w:rPr>
                          <w:t>26 997 666,85</w:t>
                        </w:r>
                      </w:p>
                    </w:tc>
                    <w:tc>
                      <w:tcPr>
                        <w:tcW w:w="2246" w:type="dxa"/>
                      </w:tcPr>
                      <w:p>
                        <w:pPr>
                          <w:spacing w:line="254" w:lineRule="auto"/>
                          <w:jc w:val="both"/>
                          <w:rPr>
                            <w:sz w:val="22"/>
                            <w:szCs w:val="22"/>
                          </w:rPr>
                        </w:pPr>
                        <w:r>
                          <w:rPr>
                            <w:sz w:val="22"/>
                            <w:szCs w:val="22"/>
                          </w:rPr>
                          <w:t>20 141 652,15</w:t>
                        </w:r>
                      </w:p>
                    </w:tc>
                  </w:tr>
                  <w:tr>
                    <w:tc>
                      <w:tcPr>
                        <w:tcW w:w="675" w:type="dxa"/>
                      </w:tcPr>
                      <w:p>
                        <w:pPr>
                          <w:spacing w:line="254" w:lineRule="auto"/>
                          <w:jc w:val="both"/>
                          <w:rPr>
                            <w:sz w:val="22"/>
                            <w:szCs w:val="22"/>
                          </w:rPr>
                        </w:pPr>
                        <w:r>
                          <w:rPr>
                            <w:sz w:val="22"/>
                            <w:szCs w:val="22"/>
                          </w:rPr>
                          <w:t>5.</w:t>
                        </w:r>
                      </w:p>
                    </w:tc>
                    <w:tc>
                      <w:tcPr>
                        <w:tcW w:w="2977" w:type="dxa"/>
                      </w:tcPr>
                      <w:p>
                        <w:pPr>
                          <w:spacing w:line="254" w:lineRule="auto"/>
                          <w:rPr>
                            <w:sz w:val="22"/>
                            <w:szCs w:val="22"/>
                          </w:rPr>
                        </w:pPr>
                        <w:r>
                          <w:rPr>
                            <w:sz w:val="22"/>
                            <w:szCs w:val="22"/>
                          </w:rPr>
                          <w:t>Aplinkos apsaugos specialioji programa</w:t>
                        </w:r>
                      </w:p>
                    </w:tc>
                    <w:tc>
                      <w:tcPr>
                        <w:tcW w:w="1985" w:type="dxa"/>
                      </w:tcPr>
                      <w:p>
                        <w:pPr>
                          <w:spacing w:line="254" w:lineRule="auto"/>
                          <w:jc w:val="both"/>
                          <w:rPr>
                            <w:sz w:val="22"/>
                            <w:szCs w:val="22"/>
                          </w:rPr>
                        </w:pPr>
                        <w:r>
                          <w:rPr>
                            <w:sz w:val="22"/>
                            <w:szCs w:val="22"/>
                          </w:rPr>
                          <w:t>220 000,00</w:t>
                        </w:r>
                      </w:p>
                    </w:tc>
                    <w:tc>
                      <w:tcPr>
                        <w:tcW w:w="2246" w:type="dxa"/>
                      </w:tcPr>
                      <w:p>
                        <w:pPr>
                          <w:spacing w:line="254" w:lineRule="auto"/>
                          <w:ind w:left="720" w:hanging="360"/>
                          <w:jc w:val="both"/>
                          <w:rPr>
                            <w:sz w:val="22"/>
                            <w:szCs w:val="22"/>
                          </w:rPr>
                        </w:pPr>
                        <w:r>
                          <w:rPr>
                            <w:sz w:val="22"/>
                            <w:szCs w:val="22"/>
                          </w:rPr>
                          <w:t>-</w:t>
                          <w:tab/>
                        </w:r>
                      </w:p>
                    </w:tc>
                  </w:tr>
                  <w:tr>
                    <w:tc>
                      <w:tcPr>
                        <w:tcW w:w="675" w:type="dxa"/>
                      </w:tcPr>
                      <w:p>
                        <w:pPr>
                          <w:spacing w:line="254" w:lineRule="auto"/>
                          <w:jc w:val="both"/>
                          <w:rPr>
                            <w:sz w:val="22"/>
                            <w:szCs w:val="22"/>
                          </w:rPr>
                        </w:pPr>
                        <w:r>
                          <w:rPr>
                            <w:sz w:val="22"/>
                            <w:szCs w:val="22"/>
                          </w:rPr>
                          <w:t>6.</w:t>
                        </w:r>
                      </w:p>
                    </w:tc>
                    <w:tc>
                      <w:tcPr>
                        <w:tcW w:w="2977" w:type="dxa"/>
                      </w:tcPr>
                      <w:p>
                        <w:pPr>
                          <w:spacing w:line="254" w:lineRule="auto"/>
                          <w:jc w:val="both"/>
                          <w:rPr>
                            <w:sz w:val="22"/>
                            <w:szCs w:val="22"/>
                          </w:rPr>
                        </w:pPr>
                        <w:r>
                          <w:rPr>
                            <w:sz w:val="22"/>
                            <w:szCs w:val="22"/>
                          </w:rPr>
                          <w:t>Europos sąjungos fondų lėšos</w:t>
                        </w:r>
                      </w:p>
                    </w:tc>
                    <w:tc>
                      <w:tcPr>
                        <w:tcW w:w="1985" w:type="dxa"/>
                      </w:tcPr>
                      <w:p>
                        <w:pPr>
                          <w:spacing w:line="254" w:lineRule="auto"/>
                          <w:jc w:val="both"/>
                          <w:rPr>
                            <w:sz w:val="22"/>
                            <w:szCs w:val="22"/>
                          </w:rPr>
                        </w:pPr>
                        <w:r>
                          <w:rPr>
                            <w:sz w:val="22"/>
                            <w:szCs w:val="22"/>
                          </w:rPr>
                          <w:t>545 931,56</w:t>
                        </w:r>
                      </w:p>
                    </w:tc>
                    <w:tc>
                      <w:tcPr>
                        <w:tcW w:w="2246" w:type="dxa"/>
                      </w:tcPr>
                      <w:p>
                        <w:pPr>
                          <w:spacing w:line="254" w:lineRule="auto"/>
                          <w:jc w:val="both"/>
                          <w:rPr>
                            <w:sz w:val="22"/>
                            <w:szCs w:val="22"/>
                          </w:rPr>
                        </w:pPr>
                        <w:r>
                          <w:rPr>
                            <w:sz w:val="22"/>
                            <w:szCs w:val="22"/>
                          </w:rPr>
                          <w:t>30 645,77</w:t>
                        </w:r>
                      </w:p>
                    </w:tc>
                  </w:tr>
                  <w:tr>
                    <w:tc>
                      <w:tcPr>
                        <w:tcW w:w="675" w:type="dxa"/>
                      </w:tcPr>
                      <w:p>
                        <w:pPr>
                          <w:spacing w:line="254" w:lineRule="auto"/>
                          <w:jc w:val="both"/>
                          <w:rPr>
                            <w:sz w:val="22"/>
                            <w:szCs w:val="22"/>
                          </w:rPr>
                        </w:pPr>
                        <w:r>
                          <w:rPr>
                            <w:sz w:val="22"/>
                            <w:szCs w:val="22"/>
                          </w:rPr>
                          <w:t>7.</w:t>
                        </w:r>
                      </w:p>
                    </w:tc>
                    <w:tc>
                      <w:tcPr>
                        <w:tcW w:w="2977" w:type="dxa"/>
                      </w:tcPr>
                      <w:p>
                        <w:pPr>
                          <w:spacing w:line="254" w:lineRule="auto"/>
                          <w:jc w:val="both"/>
                          <w:rPr>
                            <w:sz w:val="22"/>
                            <w:szCs w:val="22"/>
                          </w:rPr>
                        </w:pPr>
                        <w:r>
                          <w:rPr>
                            <w:sz w:val="22"/>
                            <w:szCs w:val="22"/>
                          </w:rPr>
                          <w:t>Vietinės rinkliavos už atliekų surinkimą</w:t>
                        </w:r>
                      </w:p>
                    </w:tc>
                    <w:tc>
                      <w:tcPr>
                        <w:tcW w:w="1985" w:type="dxa"/>
                      </w:tcPr>
                      <w:p>
                        <w:pPr>
                          <w:spacing w:line="254" w:lineRule="auto"/>
                          <w:jc w:val="both"/>
                          <w:rPr>
                            <w:sz w:val="22"/>
                            <w:szCs w:val="22"/>
                          </w:rPr>
                        </w:pPr>
                        <w:r>
                          <w:rPr>
                            <w:sz w:val="22"/>
                            <w:szCs w:val="22"/>
                          </w:rPr>
                          <w:t>1 870 000,00</w:t>
                        </w:r>
                      </w:p>
                    </w:tc>
                    <w:tc>
                      <w:tcPr>
                        <w:tcW w:w="2246" w:type="dxa"/>
                      </w:tcPr>
                      <w:p>
                        <w:pPr>
                          <w:spacing w:line="254" w:lineRule="auto"/>
                          <w:jc w:val="both"/>
                          <w:rPr>
                            <w:sz w:val="22"/>
                            <w:szCs w:val="22"/>
                          </w:rPr>
                        </w:pPr>
                        <w:r>
                          <w:rPr>
                            <w:sz w:val="22"/>
                            <w:szCs w:val="22"/>
                          </w:rPr>
                          <w:t>-</w:t>
                        </w:r>
                      </w:p>
                    </w:tc>
                  </w:tr>
                  <w:tr>
                    <w:tc>
                      <w:tcPr>
                        <w:tcW w:w="675" w:type="dxa"/>
                      </w:tcPr>
                      <w:p>
                        <w:pPr>
                          <w:spacing w:line="254" w:lineRule="auto"/>
                          <w:jc w:val="both"/>
                          <w:rPr>
                            <w:szCs w:val="24"/>
                          </w:rPr>
                        </w:pPr>
                        <w:r>
                          <w:rPr>
                            <w:szCs w:val="24"/>
                          </w:rPr>
                          <w:t>8.</w:t>
                        </w:r>
                      </w:p>
                    </w:tc>
                    <w:tc>
                      <w:tcPr>
                        <w:tcW w:w="2977" w:type="dxa"/>
                      </w:tcPr>
                      <w:p>
                        <w:pPr>
                          <w:spacing w:line="254" w:lineRule="auto"/>
                          <w:jc w:val="both"/>
                          <w:rPr>
                            <w:bCs/>
                            <w:sz w:val="22"/>
                            <w:szCs w:val="22"/>
                          </w:rPr>
                        </w:pPr>
                        <w:r>
                          <w:rPr>
                            <w:bCs/>
                            <w:sz w:val="22"/>
                            <w:szCs w:val="22"/>
                          </w:rPr>
                          <w:t>Savivaldybės biudžeto metų pradžios apyvartinių lėšų likutis</w:t>
                        </w:r>
                      </w:p>
                    </w:tc>
                    <w:tc>
                      <w:tcPr>
                        <w:tcW w:w="1985" w:type="dxa"/>
                      </w:tcPr>
                      <w:p>
                        <w:pPr>
                          <w:spacing w:line="254" w:lineRule="auto"/>
                          <w:jc w:val="both"/>
                          <w:rPr>
                            <w:bCs/>
                            <w:sz w:val="22"/>
                            <w:szCs w:val="22"/>
                          </w:rPr>
                        </w:pPr>
                        <w:r>
                          <w:rPr>
                            <w:bCs/>
                            <w:sz w:val="22"/>
                            <w:szCs w:val="22"/>
                          </w:rPr>
                          <w:t>3 996 483,22</w:t>
                        </w:r>
                      </w:p>
                    </w:tc>
                    <w:tc>
                      <w:tcPr>
                        <w:tcW w:w="2246" w:type="dxa"/>
                      </w:tcPr>
                      <w:p>
                        <w:pPr>
                          <w:spacing w:line="254" w:lineRule="auto"/>
                          <w:jc w:val="both"/>
                          <w:rPr>
                            <w:szCs w:val="24"/>
                          </w:rPr>
                        </w:pPr>
                        <w:r>
                          <w:rPr>
                            <w:szCs w:val="24"/>
                          </w:rPr>
                          <w:t>22 196,19</w:t>
                        </w:r>
                      </w:p>
                    </w:tc>
                  </w:tr>
                  <w:tr>
                    <w:tc>
                      <w:tcPr>
                        <w:tcW w:w="675" w:type="dxa"/>
                      </w:tcPr>
                      <w:p>
                        <w:pPr>
                          <w:spacing w:line="254" w:lineRule="auto"/>
                          <w:jc w:val="both"/>
                          <w:rPr>
                            <w:szCs w:val="24"/>
                          </w:rPr>
                        </w:pPr>
                      </w:p>
                    </w:tc>
                    <w:tc>
                      <w:tcPr>
                        <w:tcW w:w="2977" w:type="dxa"/>
                      </w:tcPr>
                      <w:p>
                        <w:pPr>
                          <w:spacing w:line="254" w:lineRule="auto"/>
                          <w:jc w:val="both"/>
                          <w:rPr>
                            <w:b/>
                            <w:szCs w:val="24"/>
                          </w:rPr>
                        </w:pPr>
                        <w:r>
                          <w:rPr>
                            <w:b/>
                            <w:szCs w:val="24"/>
                          </w:rPr>
                          <w:t>Iš viso</w:t>
                        </w:r>
                      </w:p>
                    </w:tc>
                    <w:tc>
                      <w:tcPr>
                        <w:tcW w:w="1985" w:type="dxa"/>
                      </w:tcPr>
                      <w:p>
                        <w:pPr>
                          <w:spacing w:line="254" w:lineRule="auto"/>
                          <w:jc w:val="both"/>
                          <w:rPr>
                            <w:b/>
                            <w:szCs w:val="24"/>
                          </w:rPr>
                        </w:pPr>
                        <w:r>
                          <w:rPr>
                            <w:b/>
                            <w:szCs w:val="24"/>
                          </w:rPr>
                          <w:t>81 175 156,63</w:t>
                        </w:r>
                      </w:p>
                    </w:tc>
                    <w:tc>
                      <w:tcPr>
                        <w:tcW w:w="2246" w:type="dxa"/>
                      </w:tcPr>
                      <w:p>
                        <w:pPr>
                          <w:spacing w:line="254" w:lineRule="auto"/>
                          <w:jc w:val="both"/>
                          <w:rPr>
                            <w:b/>
                            <w:szCs w:val="24"/>
                          </w:rPr>
                        </w:pPr>
                        <w:r>
                          <w:rPr>
                            <w:b/>
                            <w:szCs w:val="24"/>
                          </w:rPr>
                          <w:t>47 673 309,11</w:t>
                        </w:r>
                      </w:p>
                    </w:tc>
                  </w:tr>
                </w:tbl>
                <w:p>
                  <w:pPr>
                    <w:spacing w:line="254" w:lineRule="auto"/>
                    <w:jc w:val="both"/>
                    <w:rPr>
                      <w:szCs w:val="24"/>
                    </w:rPr>
                  </w:pPr>
                </w:p>
              </w:sdtContent>
            </w:sdt>
            <w:sdt>
              <w:sdtPr>
                <w:alias w:val="pastraipa"/>
                <w:tag w:val="part_12a0525dfa814dd0a639e1420a29f98a"/>
                <w:lock w:val="sdtLocked"/>
                <w:richText/>
              </w:sdtPr>
              <w:sdtContent>
                <w:p>
                  <w:pPr>
                    <w:spacing w:line="254" w:lineRule="auto"/>
                    <w:ind w:firstLine="709"/>
                    <w:jc w:val="both"/>
                    <w:rPr>
                      <w:szCs w:val="24"/>
                    </w:rPr>
                  </w:pPr>
                  <w:r>
                    <w:rPr>
                      <w:szCs w:val="24"/>
                    </w:rPr>
                    <w:t>Iš savivaldybės biudžeto Investiciniai programai skirta 3 693 761,09 Eur. Daugiausia lėšų skirta kelių, gatvių ir kiemų priežiūrai, tai</w:t>
                  </w:r>
                  <w:r>
                    <w:rPr>
                      <w:sz w:val="22"/>
                      <w:szCs w:val="22"/>
                    </w:rPr>
                    <w:t xml:space="preserve"> </w:t>
                  </w:r>
                  <w:r>
                    <w:rPr>
                      <w:szCs w:val="24"/>
                    </w:rPr>
                    <w:t>1 620 000, 00 Eur, iš jų kaimiškųjų seniūnijų kelių priežiūrai 300 000,00 Eur.</w:t>
                  </w:r>
                </w:p>
              </w:sdtContent>
            </w:sdt>
            <w:sdt>
              <w:sdtPr>
                <w:alias w:val="pastraipa"/>
                <w:tag w:val="part_ab0e543440234668b4ff835359f4c894"/>
                <w:lock w:val="sdtLocked"/>
                <w:richText/>
              </w:sdtPr>
              <w:sdtContent>
                <w:p>
                  <w:pPr>
                    <w:spacing w:line="254" w:lineRule="auto"/>
                    <w:ind w:firstLine="709"/>
                    <w:jc w:val="both"/>
                    <w:rPr>
                      <w:szCs w:val="24"/>
                    </w:rPr>
                  </w:pPr>
                  <w:r>
                    <w:rPr>
                      <w:szCs w:val="24"/>
                    </w:rPr>
                    <w:t>Vadovaujantis LR biudžeto sandaros įstatymo 16 straipsnio 1 dalimi sprendimo projekto 2 ir 3 punktais nustatoma Radviliškio rajono savivaldybės 2026 ir 2027 metų bendra planuojamų biudžeto pajamų ir asignavimų bendra suma. 2026–2027 metų pajamos suplanuotos pagal Finansų ministerijos pateiktas gyventojų pajamų mokesčio (toliau – GPM) prognozes 2026 ir 2027 metams, ministerijų pateiktas prognozes dėl dotacijų, kitos pajamos planuotos, atsižvelgiant į daugiametes pajamų pokyčio tendencijas.</w:t>
                  </w:r>
                </w:p>
              </w:sdtContent>
            </w:sdt>
            <w:sdt>
              <w:sdtPr>
                <w:alias w:val="pastraipa"/>
                <w:tag w:val="part_241f17803620456d8797890da8a985a4"/>
                <w:lock w:val="sdtLocked"/>
                <w:richText/>
              </w:sdtPr>
              <w:sdtContent>
                <w:p>
                  <w:pPr>
                    <w:spacing w:line="254" w:lineRule="auto"/>
                    <w:ind w:firstLine="709"/>
                    <w:jc w:val="both"/>
                    <w:rPr>
                      <w:szCs w:val="24"/>
                    </w:rPr>
                  </w:pPr>
                  <w:r>
                    <w:rPr>
                      <w:szCs w:val="24"/>
                    </w:rPr>
                    <w:t xml:space="preserve">Sprendimo projekto 4 punktu siūloma nustatyti mero rezervą – 124 000,00 Eur. LR biudžeto sandaros įstatymo 15 straipsnio 1 dalis nustato, kad </w:t>
                  </w:r>
                  <w:r>
                    <w:rPr>
                      <w:i/>
                      <w:szCs w:val="24"/>
                    </w:rPr>
                    <w:t xml:space="preserve">Savivaldybės sudaro mero rezervą, kuris turi būti ne mažesnis kaip 0,25 procento ir ne  didesnis kaip 1 procentas patvirtintų savivaldybės biudžeto pajamų (neįskaitant valstybės dotacijų biudžetams)</w:t>
                  </w:r>
                  <w:r>
                    <w:rPr>
                      <w:szCs w:val="24"/>
                    </w:rPr>
                    <w:t>. Siūloma nustatyti 0,25 proc. dydį.</w:t>
                  </w:r>
                </w:p>
              </w:sdtContent>
            </w:sdt>
            <w:sdt>
              <w:sdtPr>
                <w:alias w:val="12 p."/>
                <w:tag w:val="part_0c7e0905568d4a2d92e85a8c06597c08"/>
                <w:lock w:val="sdtLocked"/>
                <w:richText/>
              </w:sdtPr>
              <w:sdtContent>
                <w:p>
                  <w:pPr>
                    <w:spacing w:line="254" w:lineRule="auto"/>
                    <w:ind w:firstLine="709"/>
                    <w:jc w:val="both"/>
                    <w:rPr>
                      <w:b/>
                      <w:szCs w:val="24"/>
                    </w:rPr>
                  </w:pPr>
                  <w:sdt>
                    <w:sdtPr>
                      <w:alias w:val="Numeris"/>
                      <w:tag w:val="nr_0c7e0905568d4a2d92e85a8c06597c08"/>
                      <w:lock w:val="sdtLocked"/>
                      <w:richText/>
                    </w:sdtPr>
                    <w:sdtContent>
                      <w:r>
                        <w:rPr>
                          <w:b/>
                          <w:szCs w:val="24"/>
                        </w:rPr>
                        <w:t>12</w:t>
                      </w:r>
                    </w:sdtContent>
                  </w:sdt>
                  <w:r>
                    <w:rPr>
                      <w:b/>
                      <w:szCs w:val="24"/>
                    </w:rPr>
                    <w:t>. Pridedami dokumentai.</w:t>
                  </w:r>
                </w:p>
              </w:sdtContent>
            </w:sdt>
            <w:sdt>
              <w:sdtPr>
                <w:alias w:val="1 p."/>
                <w:tag w:val="part_5cf2dd738f544d269c366aa694cfcfe0"/>
                <w:lock w:val="sdtLocked"/>
                <w:richText/>
              </w:sdtPr>
              <w:sdtContent>
                <w:p>
                  <w:pPr>
                    <w:spacing w:line="254" w:lineRule="auto"/>
                    <w:ind w:firstLine="709"/>
                    <w:jc w:val="both"/>
                    <w:rPr>
                      <w:szCs w:val="24"/>
                    </w:rPr>
                  </w:pPr>
                  <w:sdt>
                    <w:sdtPr>
                      <w:alias w:val="Numeris"/>
                      <w:tag w:val="nr_5cf2dd738f544d269c366aa694cfcfe0"/>
                      <w:lock w:val="sdtLocked"/>
                      <w:richText/>
                    </w:sdtPr>
                    <w:sdtContent>
                      <w:r>
                        <w:rPr>
                          <w:szCs w:val="24"/>
                        </w:rPr>
                        <w:t>1</w:t>
                      </w:r>
                    </w:sdtContent>
                  </w:sdt>
                  <w:r>
                    <w:rPr>
                      <w:szCs w:val="24"/>
                    </w:rPr>
                    <w:t>. Asignavimai pagal programas, asignavimo valdytojus ir finansavimo šaltinius, išskiriant darbo užmokestį;</w:t>
                  </w:r>
                </w:p>
              </w:sdtContent>
            </w:sdt>
            <w:sdt>
              <w:sdtPr>
                <w:alias w:val="2 p."/>
                <w:tag w:val="part_79ffa2fa21dd4c0ba7b6178a6ea2ca74"/>
                <w:lock w:val="sdtLocked"/>
                <w:richText/>
              </w:sdtPr>
              <w:sdtContent>
                <w:p>
                  <w:pPr>
                    <w:spacing w:line="254" w:lineRule="auto"/>
                    <w:ind w:firstLine="709"/>
                    <w:jc w:val="both"/>
                    <w:rPr>
                      <w:szCs w:val="24"/>
                    </w:rPr>
                  </w:pPr>
                  <w:sdt>
                    <w:sdtPr>
                      <w:alias w:val="Numeris"/>
                      <w:tag w:val="nr_79ffa2fa21dd4c0ba7b6178a6ea2ca74"/>
                      <w:lock w:val="sdtLocked"/>
                      <w:richText/>
                    </w:sdtPr>
                    <w:sdtContent>
                      <w:r>
                        <w:rPr>
                          <w:szCs w:val="24"/>
                        </w:rPr>
                        <w:t>2</w:t>
                      </w:r>
                    </w:sdtContent>
                  </w:sdt>
                  <w:r>
                    <w:rPr>
                      <w:szCs w:val="24"/>
                    </w:rPr>
                    <w:t xml:space="preserve">. </w:t>
                  </w:r>
                  <w:r>
                    <w:rPr>
                      <w:sz w:val="22"/>
                      <w:szCs w:val="22"/>
                    </w:rPr>
                    <w:t xml:space="preserve">Asignavimai 2025 m. </w:t>
                  </w:r>
                  <w:r>
                    <w:rPr>
                      <w:szCs w:val="24"/>
                    </w:rPr>
                    <w:t>biudžeto valstybinėms (valstybės perduotoms savivaldybėms) funkcijoms vykdyti;</w:t>
                  </w:r>
                </w:p>
              </w:sdtContent>
            </w:sdt>
            <w:sdt>
              <w:sdtPr>
                <w:alias w:val="3 p."/>
                <w:tag w:val="part_3310fd216c9f42f588fca15b09cbdc9a"/>
                <w:lock w:val="sdtLocked"/>
                <w:richText/>
              </w:sdtPr>
              <w:sdtContent>
                <w:p>
                  <w:pPr>
                    <w:spacing w:line="254" w:lineRule="auto"/>
                    <w:ind w:firstLine="709"/>
                    <w:jc w:val="both"/>
                    <w:rPr>
                      <w:szCs w:val="24"/>
                    </w:rPr>
                  </w:pPr>
                  <w:sdt>
                    <w:sdtPr>
                      <w:alias w:val="Numeris"/>
                      <w:tag w:val="nr_3310fd216c9f42f588fca15b09cbdc9a"/>
                      <w:lock w:val="sdtLocked"/>
                      <w:richText/>
                    </w:sdtPr>
                    <w:sdtContent>
                      <w:r>
                        <w:rPr>
                          <w:szCs w:val="24"/>
                        </w:rPr>
                        <w:t>3</w:t>
                      </w:r>
                    </w:sdtContent>
                  </w:sdt>
                  <w:r>
                    <w:rPr>
                      <w:szCs w:val="24"/>
                    </w:rPr>
                    <w:t>.</w:t>
                  </w:r>
                  <w:r>
                    <w:rPr>
                      <w:sz w:val="22"/>
                      <w:szCs w:val="22"/>
                    </w:rPr>
                    <w:t xml:space="preserve"> A</w:t>
                  </w:r>
                  <w:r>
                    <w:rPr>
                      <w:szCs w:val="24"/>
                    </w:rPr>
                    <w:t>signavimai iš Radviliškio rajono savivaldybės biudžetinių įstaigų teikiamų paslaugų specialiosios programos;</w:t>
                  </w:r>
                </w:p>
              </w:sdtContent>
            </w:sdt>
            <w:sdt>
              <w:sdtPr>
                <w:alias w:val="4 p."/>
                <w:tag w:val="part_951b62ffeb724aa99dd0767b557a44e6"/>
                <w:lock w:val="sdtLocked"/>
                <w:richText/>
              </w:sdtPr>
              <w:sdtContent>
                <w:p>
                  <w:pPr>
                    <w:spacing w:line="254" w:lineRule="auto"/>
                    <w:ind w:firstLine="709"/>
                    <w:jc w:val="both"/>
                    <w:rPr>
                      <w:szCs w:val="24"/>
                    </w:rPr>
                  </w:pPr>
                  <w:sdt>
                    <w:sdtPr>
                      <w:alias w:val="Numeris"/>
                      <w:tag w:val="nr_951b62ffeb724aa99dd0767b557a44e6"/>
                      <w:lock w:val="sdtLocked"/>
                      <w:richText/>
                    </w:sdtPr>
                    <w:sdtContent>
                      <w:r>
                        <w:rPr>
                          <w:szCs w:val="24"/>
                        </w:rPr>
                        <w:t>4</w:t>
                      </w:r>
                    </w:sdtContent>
                  </w:sdt>
                  <w:r>
                    <w:rPr>
                      <w:szCs w:val="24"/>
                    </w:rPr>
                    <w:t>. Papildomų išlaidų sąrašas.</w:t>
                  </w:r>
                </w:p>
                <w:p>
                  <w:pPr>
                    <w:spacing w:line="254" w:lineRule="auto"/>
                    <w:jc w:val="both"/>
                    <w:rPr>
                      <w:szCs w:val="24"/>
                    </w:rPr>
                  </w:pPr>
                </w:p>
                <w:p>
                  <w:pPr>
                    <w:spacing w:line="254" w:lineRule="auto"/>
                    <w:jc w:val="both"/>
                    <w:rPr>
                      <w:szCs w:val="24"/>
                    </w:rPr>
                  </w:pPr>
                </w:p>
                <w:p>
                  <w:pPr>
                    <w:spacing w:line="254" w:lineRule="auto"/>
                    <w:jc w:val="both"/>
                    <w:rPr>
                      <w:szCs w:val="24"/>
                    </w:rPr>
                  </w:pPr>
                </w:p>
              </w:sdtContent>
            </w:sdt>
          </w:sdtContent>
        </w:sdt>
        <w:sdt>
          <w:sdtPr>
            <w:alias w:val="signatura"/>
            <w:tag w:val="part_12de5f9d303d414ebdb5913f3d402ce9"/>
            <w:lock w:val="sdtLocked"/>
            <w:richText/>
          </w:sdtPr>
          <w:sdtContent>
            <w:p>
              <w:pPr>
                <w:spacing w:line="254" w:lineRule="auto"/>
                <w:jc w:val="both"/>
                <w:rPr>
                  <w:szCs w:val="24"/>
                </w:rPr>
              </w:pPr>
              <w:r>
                <w:rPr>
                  <w:szCs w:val="24"/>
                </w:rPr>
                <w:t xml:space="preserve">Finansų skyriaus vedėja                                                                                              Lina Baškevičienė</w:t>
              </w:r>
            </w:p>
          </w:sdtContent>
        </w:sdt>
      </w:sdtContent>
    </w:sdt>
    <w:sectPr>
      <w:pgSz w:w="11906" w:h="16838"/>
      <w:pgMar w:top="851" w:right="567" w:bottom="1276"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C049EE-3B61-483E-B539-8DF21F7F42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1862543934">
      <w:bodyDiv w:val="1"/>
      <w:marLeft w:val="0"/>
      <w:marRight w:val="0"/>
      <w:marTop w:val="0"/>
      <w:marBottom w:val="0"/>
      <w:divBdr>
        <w:top w:val="none" w:sz="0" w:space="0" w:color="auto"/>
        <w:left w:val="none" w:sz="0" w:space="0" w:color="auto"/>
        <w:bottom w:val="none" w:sz="0" w:space="0" w:color="auto"/>
        <w:right w:val="none" w:sz="0" w:space="0" w:color="auto"/>
      </w:divBdr>
      <w:divsChild>
        <w:div w:id="137188161">
          <w:marLeft w:val="0"/>
          <w:marRight w:val="0"/>
          <w:marTop w:val="0"/>
          <w:marBottom w:val="0"/>
          <w:divBdr>
            <w:top w:val="none" w:sz="0" w:space="0" w:color="auto"/>
            <w:left w:val="none" w:sz="0" w:space="0" w:color="auto"/>
            <w:bottom w:val="none" w:sz="0" w:space="0" w:color="auto"/>
            <w:right w:val="none" w:sz="0" w:space="0" w:color="auto"/>
          </w:divBdr>
        </w:div>
        <w:div w:id="1808664700">
          <w:marLeft w:val="0"/>
          <w:marRight w:val="0"/>
          <w:marTop w:val="0"/>
          <w:marBottom w:val="0"/>
          <w:divBdr>
            <w:top w:val="none" w:sz="0" w:space="0" w:color="auto"/>
            <w:left w:val="none" w:sz="0" w:space="0" w:color="auto"/>
            <w:bottom w:val="none" w:sz="0" w:space="0" w:color="auto"/>
            <w:right w:val="none" w:sz="0" w:space="0" w:color="auto"/>
          </w:divBdr>
          <w:divsChild>
            <w:div w:id="2125684604">
              <w:marLeft w:val="0"/>
              <w:marRight w:val="0"/>
              <w:marTop w:val="0"/>
              <w:marBottom w:val="0"/>
              <w:divBdr>
                <w:top w:val="none" w:sz="0" w:space="0" w:color="auto"/>
                <w:left w:val="none" w:sz="0" w:space="0" w:color="auto"/>
                <w:bottom w:val="none" w:sz="0" w:space="0" w:color="auto"/>
                <w:right w:val="none" w:sz="0" w:space="0" w:color="auto"/>
              </w:divBdr>
            </w:div>
            <w:div w:id="1247109762">
              <w:marLeft w:val="0"/>
              <w:marRight w:val="0"/>
              <w:marTop w:val="0"/>
              <w:marBottom w:val="0"/>
              <w:divBdr>
                <w:top w:val="none" w:sz="0" w:space="0" w:color="auto"/>
                <w:left w:val="none" w:sz="0" w:space="0" w:color="auto"/>
                <w:bottom w:val="none" w:sz="0" w:space="0" w:color="auto"/>
                <w:right w:val="none" w:sz="0" w:space="0" w:color="auto"/>
              </w:divBdr>
            </w:div>
            <w:div w:id="692195505">
              <w:marLeft w:val="0"/>
              <w:marRight w:val="0"/>
              <w:marTop w:val="0"/>
              <w:marBottom w:val="0"/>
              <w:divBdr>
                <w:top w:val="none" w:sz="0" w:space="0" w:color="auto"/>
                <w:left w:val="none" w:sz="0" w:space="0" w:color="auto"/>
                <w:bottom w:val="none" w:sz="0" w:space="0" w:color="auto"/>
                <w:right w:val="none" w:sz="0" w:space="0" w:color="auto"/>
              </w:divBdr>
            </w:div>
            <w:div w:id="1397783272">
              <w:marLeft w:val="0"/>
              <w:marRight w:val="0"/>
              <w:marTop w:val="0"/>
              <w:marBottom w:val="0"/>
              <w:divBdr>
                <w:top w:val="none" w:sz="0" w:space="0" w:color="auto"/>
                <w:left w:val="none" w:sz="0" w:space="0" w:color="auto"/>
                <w:bottom w:val="none" w:sz="0" w:space="0" w:color="auto"/>
                <w:right w:val="none" w:sz="0" w:space="0" w:color="auto"/>
              </w:divBdr>
            </w:div>
            <w:div w:id="1198739247">
              <w:marLeft w:val="0"/>
              <w:marRight w:val="0"/>
              <w:marTop w:val="0"/>
              <w:marBottom w:val="0"/>
              <w:divBdr>
                <w:top w:val="none" w:sz="0" w:space="0" w:color="auto"/>
                <w:left w:val="none" w:sz="0" w:space="0" w:color="auto"/>
                <w:bottom w:val="none" w:sz="0" w:space="0" w:color="auto"/>
                <w:right w:val="none" w:sz="0" w:space="0" w:color="auto"/>
              </w:divBdr>
            </w:div>
          </w:divsChild>
        </w:div>
        <w:div w:id="9719623">
          <w:marLeft w:val="0"/>
          <w:marRight w:val="0"/>
          <w:marTop w:val="0"/>
          <w:marBottom w:val="0"/>
          <w:divBdr>
            <w:top w:val="none" w:sz="0" w:space="0" w:color="auto"/>
            <w:left w:val="none" w:sz="0" w:space="0" w:color="auto"/>
            <w:bottom w:val="none" w:sz="0" w:space="0" w:color="auto"/>
            <w:right w:val="none" w:sz="0" w:space="0" w:color="auto"/>
          </w:divBdr>
        </w:div>
        <w:div w:id="1774782338">
          <w:marLeft w:val="0"/>
          <w:marRight w:val="0"/>
          <w:marTop w:val="0"/>
          <w:marBottom w:val="0"/>
          <w:divBdr>
            <w:top w:val="none" w:sz="0" w:space="0" w:color="auto"/>
            <w:left w:val="none" w:sz="0" w:space="0" w:color="auto"/>
            <w:bottom w:val="none" w:sz="0" w:space="0" w:color="auto"/>
            <w:right w:val="none" w:sz="0" w:space="0" w:color="auto"/>
          </w:divBdr>
        </w:div>
        <w:div w:id="279455176">
          <w:marLeft w:val="0"/>
          <w:marRight w:val="0"/>
          <w:marTop w:val="0"/>
          <w:marBottom w:val="0"/>
          <w:divBdr>
            <w:top w:val="none" w:sz="0" w:space="0" w:color="auto"/>
            <w:left w:val="none" w:sz="0" w:space="0" w:color="auto"/>
            <w:bottom w:val="none" w:sz="0" w:space="0" w:color="auto"/>
            <w:right w:val="none" w:sz="0" w:space="0" w:color="auto"/>
          </w:divBdr>
        </w:div>
        <w:div w:id="228000809">
          <w:marLeft w:val="0"/>
          <w:marRight w:val="0"/>
          <w:marTop w:val="0"/>
          <w:marBottom w:val="0"/>
          <w:divBdr>
            <w:top w:val="none" w:sz="0" w:space="0" w:color="auto"/>
            <w:left w:val="none" w:sz="0" w:space="0" w:color="auto"/>
            <w:bottom w:val="none" w:sz="0" w:space="0" w:color="auto"/>
            <w:right w:val="none" w:sz="0" w:space="0" w:color="auto"/>
          </w:divBdr>
        </w:div>
        <w:div w:id="799570315">
          <w:marLeft w:val="0"/>
          <w:marRight w:val="0"/>
          <w:marTop w:val="0"/>
          <w:marBottom w:val="0"/>
          <w:divBdr>
            <w:top w:val="none" w:sz="0" w:space="0" w:color="auto"/>
            <w:left w:val="none" w:sz="0" w:space="0" w:color="auto"/>
            <w:bottom w:val="none" w:sz="0" w:space="0" w:color="auto"/>
            <w:right w:val="none" w:sz="0" w:space="0" w:color="auto"/>
          </w:divBdr>
        </w:div>
        <w:div w:id="1693453797">
          <w:marLeft w:val="0"/>
          <w:marRight w:val="0"/>
          <w:marTop w:val="0"/>
          <w:marBottom w:val="0"/>
          <w:divBdr>
            <w:top w:val="none" w:sz="0" w:space="0" w:color="auto"/>
            <w:left w:val="none" w:sz="0" w:space="0" w:color="auto"/>
            <w:bottom w:val="none" w:sz="0" w:space="0" w:color="auto"/>
            <w:right w:val="none" w:sz="0" w:space="0" w:color="auto"/>
          </w:divBdr>
        </w:div>
        <w:div w:id="370109274">
          <w:marLeft w:val="0"/>
          <w:marRight w:val="0"/>
          <w:marTop w:val="0"/>
          <w:marBottom w:val="0"/>
          <w:divBdr>
            <w:top w:val="none" w:sz="0" w:space="0" w:color="auto"/>
            <w:left w:val="none" w:sz="0" w:space="0" w:color="auto"/>
            <w:bottom w:val="none" w:sz="0" w:space="0" w:color="auto"/>
            <w:right w:val="none" w:sz="0" w:space="0" w:color="auto"/>
          </w:divBdr>
        </w:div>
        <w:div w:id="381100829">
          <w:marLeft w:val="0"/>
          <w:marRight w:val="0"/>
          <w:marTop w:val="0"/>
          <w:marBottom w:val="0"/>
          <w:divBdr>
            <w:top w:val="none" w:sz="0" w:space="0" w:color="auto"/>
            <w:left w:val="none" w:sz="0" w:space="0" w:color="auto"/>
            <w:bottom w:val="none" w:sz="0" w:space="0" w:color="auto"/>
            <w:right w:val="none" w:sz="0" w:space="0" w:color="auto"/>
          </w:divBdr>
        </w:div>
        <w:div w:id="4643479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bcdb1b8d2c94073ac7bd830bf459fed" PartId="9ac87bc2df9e4a5c8dd69f00f4696d26">
    <Part Type="preambule" DocPartId="53183521fe8e41f6a0a9f24b2838f255" PartId="802e4431103545e78653a77ea339f1e1"/>
    <Part Type="punktas" Nr="1" Abbr="1 p." DocPartId="9262dc922e7f4249a2cb949536f906dd" PartId="9c420a47baf94227915306b55f0ea6da">
      <Part Type="papunktis" Nr="1.1" Abbr="1.1 pp." DocPartId="57a165d73d33478a8b162f3f15568aaa" PartId="207232041864497a8ccde9d41952ae0a"/>
      <Part Type="papunktis" Nr="1.2" Abbr="1.2 pp." DocPartId="f8f23528657044ba819dc03efd0f294f" PartId="4e81d1c583a0428ab642ac56c3525b6a">
        <Part Type="papunktis" Nr="1.2.1" Abbr="1.2.1 pp." DocPartId="65d15680eaef4ff1b5c1be3f9c05a992" PartId="04dc8efd209b41568a0d15d49190c3ab"/>
      </Part>
    </Part>
    <Part Type="punktas" Nr="2" Abbr="2 p." DocPartId="f75372f505b848f1b30891b4fa9cd913" PartId="1bf632af25074b83a6a4feb00abacbfe"/>
    <Part Type="punktas" Nr="3" Abbr="3 p." DocPartId="b7c2d62f177a4fe18cfce92e92566afb" PartId="803aa6d7b5d44694bb36a0400c9d7ba5"/>
    <Part Type="punktas" Nr="4" Abbr="4 p." DocPartId="6f9641baf28c4f3ca7909cd364310d5f" PartId="28f7d62ddc414f40ac3b2f86caa1ac73"/>
    <Part Type="punktas" Nr="5" Abbr="5 p." DocPartId="4db3e323458e458380709b9c4867388e" PartId="240664ddc6484c428cde4bcd9d2858c1">
      <Part Type="papunktis" Nr="5.1" Abbr="5.1 pp." DocPartId="962c7707604d4fbea3d2051c2493ba6b" PartId="f9071643d1c84ce6b0c33a7ee849d3b9"/>
      <Part Type="papunktis" Nr="5.2" Abbr="5.2 pp." DocPartId="ad526bdc0e074d5cbb5b520b1b5fe412" PartId="2d06c1be56c2410ca2a9d93f4832a484"/>
      <Part Type="papunktis" Nr="5.3" Abbr="5.3 pp." DocPartId="f4a1f0f06fd44e94b4756fe1ecc1bc65" PartId="7a5ae645c76b42209e8fc5089fd2a7f9"/>
      <Part Type="papunktis" Nr="5.4" Abbr="5.4 pp." DocPartId="e65e78cffd884ba88b24f5017e4a664a" PartId="b7963eb7aeb543f3b60ae13818bb25ef"/>
    </Part>
    <Part Type="skirsnis" Title="RADVILIŠKIO RAJONO SAVIVALDYBĖS TARYBOS SPRENDIMO PROJEKTO „DĖL RADVILIŠKIO RAJONO SAVIVALDYBĖS 2025–2027 METŲ BIUDŽETO PATVIRTINIMO“ AIŠKINAMASIS RAŠTAS" DocPartId="257a65f3a3a449f285e979bd3f1298fc" PartId="57f1c6408dc840ebaa5aea94195cd98f">
      <Part Type="punktas" Nr="1" Abbr="1 p." DocPartId="c42bdd954439497a8d2b2a2b11d4a644" PartId="f323c9c4d62f45c4b685ff63ba068fe3"/>
      <Part Type="punktas" Nr="2" Abbr="2 p." DocPartId="686ac67c90b34c858cd8ad143e775b0d" PartId="6629be57e64f4136ae01b81878cd93e9"/>
      <Part Type="punktas" Nr="3" Abbr="3 p." DocPartId="5dbf077c51304e63acce3c95954543cc" PartId="a44d75c2d4754b8ba3773a351ece2f01"/>
      <Part Type="punktas" Nr="4" Abbr="4 p." DocPartId="4702e6c37ae147c387d4a596829bf430" PartId="3cea441c05304571bde8f52e4ee141c4"/>
      <Part Type="punktas" Nr="5" Abbr="5 p." DocPartId="a41b0f3f40894b2996a23c0afcb62ad1" PartId="72d1ca2f69e54361b8ff57f0f6711442"/>
      <Part Type="punktas" Nr="6" Abbr="6 p." DocPartId="e6a436d8a59c44fe9c66d249b836aa53" PartId="4683080ea74f48088ab85e83e565dd02"/>
    </Part>
    <Part Type="skirsnis" Title="pripažinti netekusiais galios priėmus sprendimo projektą." DocPartId="ed8d7c8ce6b142088dce091b6d8beee1" PartId="8c36f981f14e4938ad145c65e8d0fff5">
      <Part Type="punktas" Nr="7" Abbr="7 p." DocPartId="9532eb72ec804915b74002859ee394fe" PartId="340f3fe2d22d40eda7519c1803d56a98"/>
      <Part Type="punktas" Nr="8" Abbr="8 p." DocPartId="00a6710551644b5797e5d8419c444864" PartId="9ee52ae958d54c8ea8076f59697b6d9e"/>
      <Part Type="punktas" Nr="9" Abbr="9 p." DocPartId="13e43a2e5f524df0817a4f3e7223f48c" PartId="7c2282c705184dcfa8b4856de97d6a10"/>
      <Part Type="punktas" Nr="10" Abbr="10 p." DocPartId="d3e8af9057a941199a3a3226db0e70ea" PartId="28220bb28aef410eb05ce2fc71309f50"/>
      <Part Type="punktas" Nr="11" Abbr="11 p." DocPartId="ff13f6e6a9134eb5b476fe50b594896e" PartId="db492c46ebbb46c9a2fac7d0699a026c"/>
    </Part>
    <Part Type="skirsnis" Title="Biudžeto pajamos" DocPartId="d71c58356fa742d68f81ef89f7709e44" PartId="cfa1cbb3f2f149dc8e1785ce5bc87294">
      <Part Type="lentele" Title="Radviliškio rajono savivaldybės 2025 metų biudžeto pajamų finansavimo šaltiniai" DocPartId="05593ca6677a43a192b2ed1b5ad457fd" PartId="78d361647d4842f4848e978856eafc25"/>
      <Part Type="pastraipa" DocPartId="29e990c2e8ec4e0986c3afee6b12e089" PartId="29fc764ba1714a0183f40326791ad7be"/>
      <Part Type="pastraipa" DocPartId="4d8d81f3489945ff862f28ab11cb4d05" PartId="472be70482104397bd00f3eabba7963c"/>
      <Part Type="pastraipa" DocPartId="e7bce82f293c4a26a3c3a2e874f92756" PartId="bf2d4949e1004a8dab39f4a1d8c61e6b"/>
      <Part Type="pastraipa" DocPartId="ca65d2f9d0554705ae3f52ff1fc711b9" PartId="4974a36447f9456488535ca5527642c7"/>
      <Part Type="pastraipa" DocPartId="9cd5f2c667e04109b7767e33b953b5dd" PartId="485cb01901cd4e3ab631f560adaa027b"/>
      <Part Type="pastraipa" DocPartId="99178aa53a0e43898aad9f7f8ab7c80b" PartId="9f9285c8df654696a4bea5b4fe1cb7e6"/>
      <Part Type="pastraipa" DocPartId="9fcd0f2ac90e47c7a87a77c5c17d61ce" PartId="61573e00e0c74911bfc2757f22284ff4"/>
      <Part Type="pastraipa" DocPartId="90e75381eea845f9bb7d17522d986340" PartId="ee8b7e466ebc48f19bedb5c0a7605b77"/>
      <Part Type="pastraipa" DocPartId="2476a2f8911141ceb1c71127a38064d5" PartId="e20912484dc54a5ba431670e403c50fa"/>
      <Part Type="pastraipa" DocPartId="71969cc767ea4ee28325beabbf9c48f9" PartId="a0d1574b3cce4906b0e3f3e48c97b45b"/>
      <Part Type="pastraipa" DocPartId="7be5b93cd1a24feeb0732c4588ba33f7" PartId="54cb650e23c742a8b4f406243139e075"/>
    </Part>
    <Part Type="skirsnis" Title="Biudžeto asignavimai" DocPartId="12031abc240b40f2a42c9d0604ffba06" PartId="34be341983194c80910c337719a87288">
      <Part Type="lentele" Title="Savivaldybės biudžeto asignavimai paskirstyti 6 programų vykdymui:" DocPartId="2bf9aead26504bd9934103737d2c2d45" PartId="91f80ac7753c4da496d308af6e60f6ef"/>
      <Part Type="pastraipa" DocPartId="822c745461d54aeda507767082417544" PartId="84639242411143df8ca91f9124159a29"/>
      <Part Type="pastraipa" DocPartId="c0219704f06e4d959fc8245055c67e2b" PartId="b82b1ed7624e4f90b4c9da9c9fdd6d42"/>
      <Part Type="lentele" Title="Savivaldybės 2025 m. biudžeto asignavimai pagal finansavimo šaltinius:" DocPartId="f80ef7fa731541b0b0db74451f9a01d5" PartId="12356ffd556743f084e7ce587086d9aa"/>
      <Part Type="pastraipa" DocPartId="c7cf38eac7724c7497af69e6f9d9bd75" PartId="12a0525dfa814dd0a639e1420a29f98a"/>
      <Part Type="pastraipa" DocPartId="c7939eadfe134356b6c504b3cded273b" PartId="ab0e543440234668b4ff835359f4c894"/>
      <Part Type="pastraipa" DocPartId="6d7408a8f51a4ae49ae31fe601bd8959" PartId="241f17803620456d8797890da8a985a4"/>
      <Part Type="punktas" Nr="12" Abbr="12 p." DocPartId="3960c282a1614226bf6b857605b4d58e" PartId="0c7e0905568d4a2d92e85a8c06597c08"/>
      <Part Type="punktas" Nr="1" Abbr="1 p." Notes="Numeris ne iš eilės. Trūksta dalių? [DocDalys]" DocPartId="304c8682200249559a26d65708732616" PartId="5cf2dd738f544d269c366aa694cfcfe0"/>
      <Part Type="punktas" Nr="2" Abbr="2 p." DocPartId="71f9365405e54d35bd1f7672d56feb70" PartId="79ffa2fa21dd4c0ba7b6178a6ea2ca74"/>
      <Part Type="punktas" Nr="3" Abbr="3 p." DocPartId="758332c791ee4602ad9b61b3fe595059" PartId="3310fd216c9f42f588fca15b09cbdc9a"/>
      <Part Type="punktas" Nr="4" Abbr="4 p." DocPartId="1a4b69595e3a4dd6a64b3f53a104c9b9" PartId="951b62ffeb724aa99dd0767b557a44e6"/>
    </Part>
    <Part Type="signatura" DocPartId="b5ba956ac17b46d3b07bf9792cd305f9" PartId="12de5f9d303d414ebdb5913f3d402ce9"/>
  </Part>
</Parts>
</file>

<file path=customXml/itemProps1.xml><?xml version="1.0" encoding="utf-8"?>
<ds:datastoreItem xmlns:ds="http://schemas.openxmlformats.org/officeDocument/2006/customXml" ds:itemID="{D68AD7BB-CEE2-452A-BEF9-AA20BBD8D800}">
  <ds:schemaRefs>
    <ds:schemaRef ds:uri="http://schemas.openxmlformats.org/officeDocument/2006/bibliography"/>
  </ds:schemaRefs>
</ds:datastoreItem>
</file>

<file path=customXml/itemProps2.xml><?xml version="1.0" encoding="utf-8"?>
<ds:datastoreItem xmlns:ds="http://schemas.openxmlformats.org/officeDocument/2006/customXml" ds:itemID="{53CBBFC2-EFA7-4439-BA36-DD216689CF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2209</Words>
  <Characters>14008</Characters>
  <Application>Microsoft Office Word</Application>
  <DocSecurity>4</DocSecurity>
  <Lines>424</Lines>
  <Paragraphs>261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2025-02-04T13:26:00Z</dcterms:created>
  <dc:creator>Rita Chlebauskienė</dc:creator>
  <lastModifiedBy>adlibuser</lastModifiedBy>
  <lastPrinted>2025-02-03T13:45:00Z</lastPrinted>
  <dcterms:modified xsi:type="dcterms:W3CDTF">2025-02-04T13:26:00Z</dcterms:modified>
  <revision>2</revision>
</coreProperties>
</file>