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388cff853e14b4db8edf49dcecd83e8"/>
        <w:lock w:val="sdtLocked"/>
        <w:richText/>
      </w:sdtPr>
      <w:sdtContent>
        <w:p>
          <w:pPr>
            <w:tabs>
              <w:tab w:val="center" w:pos="4153"/>
              <w:tab w:val="right" w:pos="8306"/>
            </w:tabs>
            <w:suppressAutoHyphens/>
            <w:rPr>
              <w:sz w:val="20"/>
              <w:lang w:val="x-none" w:eastAsia="ar-SA"/>
            </w:rPr>
          </w:pPr>
        </w:p>
        <w:p>
          <w:pPr>
            <w:tabs>
              <w:tab w:val="center" w:pos="4153"/>
              <w:tab w:val="right" w:pos="8306"/>
            </w:tabs>
            <w:suppressAutoHyphens/>
            <w:jc w:val="right"/>
            <w:rPr>
              <w:b/>
              <w:szCs w:val="24"/>
              <w:lang w:eastAsia="ar-SA"/>
            </w:rPr>
          </w:pPr>
        </w:p>
        <w:p>
          <w:pPr>
            <w:tabs>
              <w:tab w:val="center" w:pos="4153"/>
              <w:tab w:val="right" w:pos="8306"/>
            </w:tabs>
            <w:suppressAutoHyphens/>
            <w:jc w:val="right"/>
            <w:rPr>
              <w:b/>
              <w:szCs w:val="24"/>
              <w:lang w:val="x-none" w:eastAsia="ar-SA"/>
            </w:rPr>
          </w:pPr>
          <w:r>
            <w:rPr>
              <w:b/>
              <w:szCs w:val="24"/>
              <w:lang w:eastAsia="ar-SA"/>
            </w:rPr>
            <w:t>P</w:t>
          </w:r>
          <w:r>
            <w:rPr>
              <w:b/>
              <w:szCs w:val="24"/>
              <w:lang w:val="x-none" w:eastAsia="ar-SA"/>
            </w:rPr>
            <w:t>rojektas</w:t>
          </w:r>
        </w:p>
        <w:p>
          <w:pPr>
            <w:tabs>
              <w:tab w:val="center" w:pos="4153"/>
              <w:tab w:val="right" w:pos="8306"/>
            </w:tabs>
            <w:suppressAutoHyphens/>
            <w:jc w:val="right"/>
            <w:rPr>
              <w:b/>
              <w:bCs/>
              <w:lang w:val="x-none" w:eastAsia="ar-SA"/>
            </w:rPr>
          </w:pPr>
        </w:p>
        <w:p>
          <w:pPr>
            <w:keepNext/>
            <w:keepLines/>
            <w:pageBreakBefore/>
            <w:tabs>
              <w:tab w:val="center" w:pos="4153"/>
              <w:tab w:val="right" w:pos="8306"/>
            </w:tabs>
            <w:suppressAutoHyphens/>
            <w:jc w:val="center"/>
            <w:rPr>
              <w:b/>
              <w:szCs w:val="24"/>
              <w:lang w:val="x-none" w:eastAsia="ar-SA"/>
            </w:rPr>
          </w:pPr>
          <w:r>
            <w:rPr>
              <w:b/>
              <w:szCs w:val="24"/>
              <w:lang w:val="x-none" w:eastAsia="ar-SA"/>
            </w:rPr>
            <w:t>ŠIAULIŲ MIESTO SAVIVALDYBĖS TARYBA</w:t>
          </w:r>
        </w:p>
        <w:p>
          <w:pPr>
            <w:suppressAutoHyphens/>
            <w:jc w:val="center"/>
            <w:rPr>
              <w:b/>
              <w:bCs/>
              <w:szCs w:val="24"/>
              <w:lang w:eastAsia="ar-SA"/>
            </w:rPr>
          </w:pPr>
        </w:p>
        <w:p>
          <w:pPr>
            <w:suppressAutoHyphens/>
            <w:jc w:val="center"/>
            <w:rPr>
              <w:b/>
              <w:bCs/>
              <w:szCs w:val="24"/>
              <w:lang w:eastAsia="ar-SA"/>
            </w:rPr>
          </w:pPr>
          <w:r>
            <w:rPr>
              <w:b/>
              <w:bCs/>
              <w:szCs w:val="24"/>
              <w:lang w:eastAsia="ar-SA"/>
            </w:rPr>
            <w:t>SPRENDIMAS</w:t>
          </w:r>
        </w:p>
        <w:p>
          <w:pPr>
            <w:suppressAutoHyphens/>
            <w:jc w:val="center"/>
            <w:rPr>
              <w:rFonts w:eastAsia="Calibri"/>
              <w:b/>
              <w:bCs/>
              <w:szCs w:val="24"/>
            </w:rPr>
          </w:pPr>
          <w:r>
            <w:rPr>
              <w:rFonts w:cs="Arial Unicode MS"/>
              <w:b/>
              <w:szCs w:val="24"/>
              <w:lang w:eastAsia="ar-SA"/>
            </w:rPr>
            <w:t>DĖL ŠIAULIŲ MIESTO SAVIVALDYBĖS TARYBOS 2018 M. SPALIO 4 D. SPRENDIMO NR. T-350 „</w:t>
          </w:r>
          <w:r>
            <w:rPr>
              <w:rFonts w:cs="Arial Unicode MS"/>
              <w:b/>
              <w:szCs w:val="24"/>
              <w:lang w:val="x-none" w:eastAsia="ar-SA"/>
            </w:rPr>
            <w:t xml:space="preserve">DĖL ŠIAULIŲ MIESTO SAVIVALDYBĖS MOKYMO LĖŠŲ PASKIRSTYMO IR PANAUDOJIMO </w:t>
          </w:r>
          <w:r>
            <w:rPr>
              <w:rFonts w:cs="Arial Unicode MS"/>
              <w:b/>
              <w:szCs w:val="24"/>
              <w:lang w:eastAsia="ar-SA"/>
            </w:rPr>
            <w:t xml:space="preserve">TVARKOS </w:t>
          </w:r>
          <w:r>
            <w:rPr>
              <w:rFonts w:eastAsia="Calibri"/>
              <w:b/>
              <w:szCs w:val="24"/>
            </w:rPr>
            <w:t xml:space="preserve">APRAŠO PATVIRTINIMO“ </w:t>
          </w:r>
          <w:r>
            <w:rPr>
              <w:rFonts w:cs="Arial Unicode MS"/>
              <w:b/>
              <w:szCs w:val="24"/>
              <w:lang w:eastAsia="ar-SA"/>
            </w:rPr>
            <w:t>PAKEITIMO</w:t>
          </w:r>
        </w:p>
        <w:p>
          <w:pPr>
            <w:tabs>
              <w:tab w:val="left" w:pos="990"/>
              <w:tab w:val="center" w:pos="4153"/>
              <w:tab w:val="right" w:pos="8306"/>
            </w:tabs>
            <w:suppressAutoHyphens/>
            <w:jc w:val="center"/>
            <w:rPr>
              <w:szCs w:val="24"/>
              <w:lang w:val="x-none" w:eastAsia="ar-SA"/>
            </w:rPr>
          </w:pPr>
        </w:p>
        <w:p>
          <w:pPr>
            <w:suppressAutoHyphens/>
            <w:jc w:val="center"/>
            <w:rPr>
              <w:szCs w:val="24"/>
              <w:lang w:eastAsia="ar-SA"/>
            </w:rPr>
          </w:pPr>
          <w:r>
            <w:rPr>
              <w:szCs w:val="24"/>
              <w:lang w:eastAsia="ar-SA"/>
            </w:rPr>
            <w:t xml:space="preserve">2023 m.                           d. Nr. T-</w:t>
          </w:r>
        </w:p>
        <w:p>
          <w:pPr>
            <w:suppressAutoHyphens/>
            <w:jc w:val="center"/>
            <w:rPr>
              <w:szCs w:val="24"/>
              <w:lang w:eastAsia="ar-SA"/>
            </w:rPr>
          </w:pPr>
          <w:r>
            <w:rPr>
              <w:szCs w:val="24"/>
              <w:lang w:eastAsia="ar-SA"/>
            </w:rPr>
            <w:t>Šiauliai</w:t>
          </w:r>
        </w:p>
        <w:p>
          <w:pPr>
            <w:suppressAutoHyphens/>
            <w:jc w:val="both"/>
            <w:rPr>
              <w:szCs w:val="22"/>
              <w:lang w:eastAsia="ar-SA"/>
            </w:rPr>
          </w:pPr>
        </w:p>
        <w:p>
          <w:pPr>
            <w:suppressAutoHyphens/>
            <w:jc w:val="both"/>
            <w:rPr>
              <w:szCs w:val="24"/>
              <w:lang w:eastAsia="ar-SA"/>
            </w:rPr>
          </w:pPr>
        </w:p>
        <w:sdt>
          <w:sdtPr>
            <w:alias w:val="preambule"/>
            <w:tag w:val="part_fd4a92997ae74da38ac8bf0e9ec23f67"/>
            <w:lock w:val="sdtLocked"/>
            <w:richText/>
          </w:sdtPr>
          <w:sdtContent>
            <w:p>
              <w:pPr>
                <w:suppressAutoHyphens/>
                <w:ind w:firstLine="851"/>
                <w:jc w:val="both"/>
                <w:rPr>
                  <w:rFonts w:cs="Arial Unicode MS"/>
                  <w:spacing w:val="20"/>
                  <w:szCs w:val="24"/>
                  <w:lang w:eastAsia="ar-SA"/>
                </w:rPr>
              </w:pPr>
              <w:r>
                <w:rPr>
                  <w:rFonts w:cs="Arial Unicode MS"/>
                  <w:szCs w:val="24"/>
                  <w:lang w:eastAsia="ar-SA"/>
                </w:rPr>
                <w:t xml:space="preserve">Vadovaudamasi Lietuvos Respublikos vietos savivaldos įstatymo 16 straipsnio 1 dalimi ir </w:t>
              </w:r>
              <w:r>
                <w:rPr>
                  <w:color w:val="000000"/>
                  <w:szCs w:val="24"/>
                  <w:lang w:eastAsia="ar-SA"/>
                </w:rPr>
                <w:t>Lietuvos Respublikos Vyriausybės 2023 m. rugpjūčio 23 d. nutarimu Nr. 675 „Dėl Lietuvos Respublikos Vyriausybės 2018 m. liepos 11 d. nutarimo Nr. 679 „Dėl mokymo lėšų apskaičiavimo, paskirstymo ir panaudojimo tvarkos aprašo patvirtinimo“ pakeitimo“</w:t>
              </w:r>
              <w:r>
                <w:rPr>
                  <w:rFonts w:cs="Arial Unicode MS"/>
                  <w:szCs w:val="24"/>
                  <w:lang w:eastAsia="ar-SA"/>
                </w:rPr>
                <w:t xml:space="preserve">, Šiaulių miesto savivaldybės taryba  </w:t>
              </w:r>
              <w:r>
                <w:rPr>
                  <w:rFonts w:cs="Arial Unicode MS"/>
                  <w:spacing w:val="40"/>
                  <w:szCs w:val="24"/>
                  <w:lang w:eastAsia="ar-SA"/>
                </w:rPr>
                <w:t>nusprendžia:</w:t>
              </w:r>
            </w:p>
          </w:sdtContent>
        </w:sdt>
        <w:sdt>
          <w:sdtPr>
            <w:alias w:val="pastraipa"/>
            <w:tag w:val="part_f3f4691fd4b24d258ef426b34be8cde0"/>
            <w:lock w:val="sdtLocked"/>
            <w:richText/>
          </w:sdtPr>
          <w:sdtContent>
            <w:p>
              <w:pPr>
                <w:suppressAutoHyphens/>
                <w:ind w:firstLine="851"/>
                <w:jc w:val="both"/>
                <w:rPr>
                  <w:rFonts w:cs="Arial Unicode MS"/>
                  <w:szCs w:val="24"/>
                  <w:lang w:eastAsia="ar-SA"/>
                </w:rPr>
              </w:pPr>
              <w:r>
                <w:rPr>
                  <w:rFonts w:cs="Arial Unicode MS"/>
                  <w:szCs w:val="24"/>
                  <w:lang w:eastAsia="ar-SA"/>
                </w:rPr>
                <w:t>Pakeisti Šiaulių miesto savivaldybės mokymo lėšų paskirstymo ir panaudojimo tvarkos aprašą, patvirtintą Šiaulių miesto savivaldybės tarybos 2018 m. spalio 4 d. sprendimo Nr. T-350 „Dėl Šiaulių miesto savivaldybės mokymo lėšų paskirstymo ir panaudojimo tvarkos aprašo patvirtinimo“ 1 punktu:</w:t>
              </w:r>
            </w:p>
          </w:sdtContent>
        </w:sdt>
        <w:sdt>
          <w:sdtPr>
            <w:alias w:val="1 p."/>
            <w:tag w:val="part_4ffdd2b983fd4ab794dc768d504e10f8"/>
            <w:lock w:val="sdtLocked"/>
            <w:richText/>
          </w:sdtPr>
          <w:sdtContent>
            <w:p>
              <w:pPr>
                <w:suppressAutoHyphens/>
                <w:ind w:firstLine="851"/>
                <w:jc w:val="both"/>
                <w:rPr>
                  <w:rFonts w:cs="Arial Unicode MS"/>
                  <w:szCs w:val="24"/>
                  <w:lang w:eastAsia="ar-SA"/>
                </w:rPr>
              </w:pPr>
              <w:sdt>
                <w:sdtPr>
                  <w:alias w:val="Numeris"/>
                  <w:tag w:val="nr_4ffdd2b983fd4ab794dc768d504e10f8"/>
                  <w:lock w:val="sdtLocked"/>
                  <w:richText/>
                </w:sdtPr>
                <w:sdtContent>
                  <w:r>
                    <w:rPr>
                      <w:rFonts w:cs="Arial Unicode MS"/>
                      <w:szCs w:val="24"/>
                      <w:lang w:eastAsia="ar-SA"/>
                    </w:rPr>
                    <w:t>1</w:t>
                  </w:r>
                </w:sdtContent>
              </w:sdt>
              <w:r>
                <w:rPr>
                  <w:rFonts w:cs="Arial Unicode MS"/>
                  <w:szCs w:val="24"/>
                  <w:lang w:eastAsia="ar-SA"/>
                </w:rPr>
                <w:t>. Papildyti nauju 4.8 papunkčiu ir jį išdėstyti taip:</w:t>
              </w:r>
            </w:p>
            <w:sdt>
              <w:sdtPr>
                <w:alias w:val="citata"/>
                <w:tag w:val="part_e43e5a4e18114534a2285fbd2e2eb1cd"/>
                <w:lock w:val="sdtLocked"/>
                <w:richText/>
              </w:sdtPr>
              <w:sdtContent>
                <w:sdt>
                  <w:sdtPr>
                    <w:alias w:val="4.8 pp."/>
                    <w:tag w:val="part_9e59519fdcee41ce92838ba2833ef554"/>
                    <w:lock w:val="sdtLocked"/>
                    <w:richText/>
                  </w:sdtPr>
                  <w:sdtContent>
                    <w:p>
                      <w:pPr>
                        <w:suppressAutoHyphens/>
                        <w:ind w:firstLine="851"/>
                        <w:jc w:val="both"/>
                        <w:rPr>
                          <w:rFonts w:cs="Arial Unicode MS"/>
                          <w:szCs w:val="24"/>
                          <w:lang w:eastAsia="ar-SA"/>
                        </w:rPr>
                      </w:pPr>
                      <w:r>
                        <w:rPr>
                          <w:rFonts w:cs="Arial Unicode MS"/>
                          <w:szCs w:val="24"/>
                          <w:lang w:eastAsia="ar-SA"/>
                        </w:rPr>
                        <w:t>„</w:t>
                      </w:r>
                      <w:sdt>
                        <w:sdtPr>
                          <w:alias w:val="Numeris"/>
                          <w:tag w:val="nr_9e59519fdcee41ce92838ba2833ef554"/>
                          <w:lock w:val="sdtLocked"/>
                          <w:richText/>
                        </w:sdtPr>
                        <w:sdtContent>
                          <w:r>
                            <w:rPr>
                              <w:rFonts w:cs="Arial Unicode MS"/>
                              <w:szCs w:val="24"/>
                              <w:lang w:eastAsia="ar-SA"/>
                            </w:rPr>
                            <w:t>4.8</w:t>
                          </w:r>
                        </w:sdtContent>
                      </w:sdt>
                      <w:r>
                        <w:rPr>
                          <w:rFonts w:cs="Arial Unicode MS"/>
                          <w:szCs w:val="24"/>
                          <w:lang w:eastAsia="ar-SA"/>
                        </w:rPr>
                        <w:t>.</w:t>
                      </w:r>
                      <w:r>
                        <w:rPr>
                          <w:spacing w:val="-2"/>
                          <w:szCs w:val="24"/>
                          <w:lang w:eastAsia="lt-LT"/>
                        </w:rPr>
                        <w:t xml:space="preserve"> </w:t>
                      </w:r>
                      <w:r>
                        <w:rPr>
                          <w:rFonts w:cs="Arial Unicode MS"/>
                          <w:szCs w:val="24"/>
                          <w:lang w:eastAsia="ar-SA"/>
                        </w:rPr>
                        <w:t>mokymosi pagalbai (mokinių, įgijusių pradinį ar pagrindinį išsilavinimą arba baigusių pagrindinio ugdymo programos pirmąją dalį ir nepasiekusių vertinto dalyko patenkinamo pasiekimų lygmens pagal nacionalinių mokinių pasiekimų patikrinimų ar pagrindinio ugdymo pasiekimų patikrinimų rezultatus, konsultacijų išlaidoms padengti: mokytojų, teikiančių konsultacijas, darbo užmokesčiui mokėti, apmokėti už konsultacijų teikimo paslaugas).“.</w:t>
                      </w:r>
                    </w:p>
                  </w:sdtContent>
                </w:sdt>
              </w:sdtContent>
            </w:sdt>
          </w:sdtContent>
        </w:sdt>
        <w:sdt>
          <w:sdtPr>
            <w:alias w:val="2 p."/>
            <w:tag w:val="part_1d5d113402204a9c999a00ef5bc9775e"/>
            <w:lock w:val="sdtLocked"/>
            <w:richText/>
          </w:sdtPr>
          <w:sdtContent>
            <w:p>
              <w:pPr>
                <w:suppressAutoHyphens/>
                <w:ind w:firstLine="851"/>
                <w:jc w:val="both"/>
                <w:rPr>
                  <w:rFonts w:cs="Arial Unicode MS"/>
                  <w:szCs w:val="24"/>
                  <w:lang w:eastAsia="ar-SA"/>
                </w:rPr>
              </w:pPr>
              <w:sdt>
                <w:sdtPr>
                  <w:alias w:val="Numeris"/>
                  <w:tag w:val="nr_1d5d113402204a9c999a00ef5bc9775e"/>
                  <w:lock w:val="sdtLocked"/>
                  <w:richText/>
                </w:sdtPr>
                <w:sdtContent>
                  <w:r>
                    <w:rPr>
                      <w:rFonts w:cs="Arial Unicode MS"/>
                      <w:szCs w:val="24"/>
                      <w:lang w:eastAsia="ar-SA"/>
                    </w:rPr>
                    <w:t>2</w:t>
                  </w:r>
                </w:sdtContent>
              </w:sdt>
              <w:r>
                <w:rPr>
                  <w:rFonts w:cs="Arial Unicode MS"/>
                  <w:szCs w:val="24"/>
                  <w:lang w:eastAsia="ar-SA"/>
                </w:rPr>
                <w:t>. Pakeisti 10 punktą ir jį išdėstyti taip:</w:t>
              </w:r>
            </w:p>
            <w:sdt>
              <w:sdtPr>
                <w:alias w:val="citata"/>
                <w:tag w:val="part_20fa9d406c8d4293a35691f266efb977"/>
                <w:lock w:val="sdtLocked"/>
                <w:richText/>
              </w:sdtPr>
              <w:sdtContent>
                <w:sdt>
                  <w:sdtPr>
                    <w:alias w:val="10 p."/>
                    <w:tag w:val="part_4564180f200941cba722cfe749ec33e0"/>
                    <w:lock w:val="sdtLocked"/>
                    <w:richText/>
                  </w:sdtPr>
                  <w:sdtContent>
                    <w:p>
                      <w:pPr>
                        <w:suppressAutoHyphens/>
                        <w:ind w:firstLine="709"/>
                        <w:jc w:val="both"/>
                        <w:rPr>
                          <w:szCs w:val="24"/>
                          <w:lang w:eastAsia="lt-LT"/>
                        </w:rPr>
                      </w:pPr>
                      <w:r>
                        <w:rPr>
                          <w:rFonts w:cs="Arial Unicode MS"/>
                          <w:szCs w:val="24"/>
                          <w:lang w:eastAsia="ar-SA"/>
                        </w:rPr>
                        <w:t>„</w:t>
                      </w:r>
                      <w:sdt>
                        <w:sdtPr>
                          <w:alias w:val="Numeris"/>
                          <w:tag w:val="nr_4564180f200941cba722cfe749ec33e0"/>
                          <w:lock w:val="sdtLocked"/>
                          <w:richText/>
                        </w:sdtPr>
                        <w:sdtContent>
                          <w:r>
                            <w:rPr>
                              <w:szCs w:val="24"/>
                              <w:lang w:eastAsia="lt-LT"/>
                            </w:rPr>
                            <w:t>10</w:t>
                          </w:r>
                        </w:sdtContent>
                      </w:sdt>
                      <w:r>
                        <w:rPr>
                          <w:szCs w:val="24"/>
                          <w:lang w:eastAsia="lt-LT"/>
                        </w:rPr>
                        <w:t>. Aprašo 4.2, 4.4, 4.6, 4.7 ir 4.8 papunkčiuose nurodytoms ugdymo reikmėms tenkinti paskirstoma ne mažiau kaip 100 procentų mokymo lėšų, apskaičiuotų pagal atitinkamų ugdymo reikmių koeficientus, nustatytus ML apraše, ir faktinį mokinių skaičių.“.</w:t>
                      </w:r>
                      <w:r>
                        <w:rPr>
                          <w:szCs w:val="24"/>
                          <w:lang w:eastAsia="ar-SA"/>
                        </w:rPr>
                        <w:t xml:space="preserve"> </w:t>
                      </w:r>
                    </w:p>
                  </w:sdtContent>
                </w:sdt>
              </w:sdtContent>
            </w:sdt>
          </w:sdtContent>
        </w:sdt>
        <w:sdt>
          <w:sdtPr>
            <w:alias w:val="3 p."/>
            <w:tag w:val="part_6898029cca994bfaa30f73ccecca6fcc"/>
            <w:lock w:val="sdtLocked"/>
            <w:richText/>
          </w:sdtPr>
          <w:sdtContent>
            <w:p>
              <w:pPr>
                <w:suppressAutoHyphens/>
                <w:ind w:firstLine="851"/>
                <w:jc w:val="both"/>
                <w:rPr>
                  <w:rFonts w:cs="Arial Unicode MS"/>
                  <w:szCs w:val="24"/>
                  <w:lang w:eastAsia="ar-SA"/>
                </w:rPr>
              </w:pPr>
              <w:sdt>
                <w:sdtPr>
                  <w:alias w:val="Numeris"/>
                  <w:tag w:val="nr_6898029cca994bfaa30f73ccecca6fcc"/>
                  <w:lock w:val="sdtLocked"/>
                  <w:richText/>
                </w:sdtPr>
                <w:sdtContent>
                  <w:r>
                    <w:rPr>
                      <w:rFonts w:cs="Arial Unicode MS"/>
                      <w:szCs w:val="24"/>
                      <w:lang w:eastAsia="ar-SA"/>
                    </w:rPr>
                    <w:t>3</w:t>
                  </w:r>
                </w:sdtContent>
              </w:sdt>
              <w:r>
                <w:rPr>
                  <w:rFonts w:cs="Arial Unicode MS"/>
                  <w:szCs w:val="24"/>
                  <w:lang w:eastAsia="ar-SA"/>
                </w:rPr>
                <w:t xml:space="preserve">. Pakeisti  17 punktą ir jį išdėstyti taip:</w:t>
              </w:r>
            </w:p>
            <w:sdt>
              <w:sdtPr>
                <w:alias w:val="citata"/>
                <w:tag w:val="part_3c1960a2b33f467bb1e84fc652eae348"/>
                <w:lock w:val="sdtLocked"/>
                <w:richText/>
              </w:sdtPr>
              <w:sdtContent>
                <w:sdt>
                  <w:sdtPr>
                    <w:alias w:val="17 p."/>
                    <w:tag w:val="part_071fac80a6ae42fb8e695bdb0fae698b"/>
                    <w:lock w:val="sdtLocked"/>
                    <w:richText/>
                  </w:sdtPr>
                  <w:sdtContent>
                    <w:p>
                      <w:pPr>
                        <w:suppressAutoHyphens/>
                        <w:ind w:firstLine="851"/>
                        <w:jc w:val="both"/>
                        <w:rPr>
                          <w:rFonts w:cs="Arial Unicode MS"/>
                          <w:szCs w:val="24"/>
                          <w:lang w:eastAsia="ar-SA"/>
                        </w:rPr>
                      </w:pPr>
                      <w:r>
                        <w:rPr>
                          <w:rFonts w:cs="Arial Unicode MS"/>
                          <w:szCs w:val="24"/>
                          <w:lang w:eastAsia="ar-SA"/>
                        </w:rPr>
                        <w:t>„</w:t>
                      </w:r>
                      <w:sdt>
                        <w:sdtPr>
                          <w:alias w:val="Numeris"/>
                          <w:tag w:val="nr_071fac80a6ae42fb8e695bdb0fae698b"/>
                          <w:lock w:val="sdtLocked"/>
                          <w:richText/>
                        </w:sdtPr>
                        <w:sdtContent>
                          <w:r>
                            <w:rPr>
                              <w:rFonts w:cs="Arial Unicode MS"/>
                              <w:szCs w:val="24"/>
                              <w:lang w:eastAsia="ar-SA"/>
                            </w:rPr>
                            <w:t>17</w:t>
                          </w:r>
                        </w:sdtContent>
                      </w:sdt>
                      <w:r>
                        <w:rPr>
                          <w:rFonts w:cs="Arial Unicode MS"/>
                          <w:szCs w:val="24"/>
                          <w:lang w:eastAsia="ar-SA"/>
                        </w:rPr>
                        <w:t>. Aprašo 4.1, 4.2, 4.6, 4.7 ir 4.8 papunkčiuose nurodytoms ugdymo reikmėms tenkinti lėšas pagal Švietimo valdymo informacinėje sistemoje apskaičiuotus duomenis, o 4.4 ir 4.5 papunkčiuose nurodytoms ugdymo reikmėms tenkinti pagal Švietimo skyriaus pateiktą informaciją mokykloms paskirsto Savivaldybės administracijos Strateginio planavimo ir finansų skyrius.“.</w:t>
                      </w:r>
                    </w:p>
                    <w:p>
                      <w:pPr>
                        <w:suppressAutoHyphens/>
                        <w:ind w:firstLine="851"/>
                        <w:jc w:val="both"/>
                        <w:rPr>
                          <w:rFonts w:cs="Arial Unicode MS"/>
                          <w:szCs w:val="24"/>
                          <w:lang w:eastAsia="ar-SA"/>
                        </w:rPr>
                      </w:pPr>
                    </w:p>
                    <w:p>
                      <w:pPr>
                        <w:rPr>
                          <w:szCs w:val="24"/>
                        </w:rPr>
                      </w:pPr>
                    </w:p>
                  </w:sdtContent>
                </w:sdt>
              </w:sdtContent>
            </w:sdt>
          </w:sdtContent>
        </w:sdt>
        <w:sdt>
          <w:sdtPr>
            <w:alias w:val="signatura"/>
            <w:tag w:val="part_83540d4f23cc40a1a8aff34f540565b4"/>
            <w:lock w:val="sdtLocked"/>
            <w:richText/>
          </w:sdtPr>
          <w:sdtContent>
            <w:p>
              <w:pPr>
                <w:suppressAutoHyphens/>
                <w:jc w:val="both"/>
                <w:rPr>
                  <w:szCs w:val="24"/>
                  <w:lang w:eastAsia="ar-SA"/>
                </w:rPr>
              </w:pPr>
              <w:r>
                <w:rPr>
                  <w:szCs w:val="24"/>
                  <w:lang w:eastAsia="ar-SA"/>
                </w:rPr>
                <w:t>Savivaldybės meras</w:t>
              </w:r>
            </w:p>
            <w:p>
              <w:pPr>
                <w:rPr>
                  <w:szCs w:val="24"/>
                </w:rPr>
              </w:pPr>
            </w:p>
            <w:p>
              <w:pPr>
                <w:suppressAutoHyphens/>
                <w:jc w:val="both"/>
                <w:rPr>
                  <w:rFonts w:cs="Arial Unicode MS"/>
                  <w:szCs w:val="24"/>
                  <w:lang w:eastAsia="ar-SA"/>
                </w:rPr>
              </w:pPr>
            </w:p>
            <w:p>
              <w:pPr>
                <w:suppressAutoHyphens/>
                <w:jc w:val="both"/>
                <w:rPr>
                  <w:rFonts w:cs="Arial Unicode MS"/>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701" w:right="567" w:bottom="1134" w:left="1701" w:header="0"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uppressAutoHyphens/>
      <w:rPr>
        <w:sz w:val="20"/>
        <w:lang w:val="x-none" w:eastAsia="ar-SA"/>
      </w:rPr>
    </w:pPr>
    <w:r>
      <w:rPr>
        <w:sz w:val="20"/>
        <w:lang w:val="x-none" w:eastAsia="ar-SA"/>
      </w:rPr>
      <w:fldChar w:fldCharType="begin"/>
    </w:r>
    <w:r>
      <w:rPr>
        <w:sz w:val="20"/>
        <w:lang w:val="x-none" w:eastAsia="ar-SA"/>
      </w:rPr>
      <w:instrText xml:space="preserve">PAGE  </w:instrText>
    </w:r>
    <w:r>
      <w:rPr>
        <w:sz w:val="20"/>
        <w:lang w:val="x-none" w:eastAsia="ar-SA"/>
      </w:rPr>
      <w:fldChar w:fldCharType="end"/>
    </w:r>
  </w:p>
  <w:p>
    <w:pPr>
      <w:tabs>
        <w:tab w:val="center" w:pos="4153"/>
        <w:tab w:val="right" w:pos="8306"/>
      </w:tabs>
      <w:suppressAutoHyphens/>
      <w:rPr>
        <w:sz w:val="20"/>
        <w:lang w:val="x-none"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jc w:val="center"/>
      <w:rPr>
        <w:sz w:val="20"/>
        <w:lang w:val="x-none" w:eastAsia="ar-SA"/>
      </w:rPr>
    </w:pPr>
    <w:r>
      <w:rPr>
        <w:sz w:val="20"/>
        <w:lang w:val="x-none" w:eastAsia="ar-SA"/>
      </w:rPr>
      <w:fldChar w:fldCharType="begin"/>
    </w:r>
    <w:r>
      <w:rPr>
        <w:sz w:val="20"/>
        <w:lang w:val="x-none" w:eastAsia="ar-SA"/>
      </w:rPr>
      <w:instrText xml:space="preserve"> PAGE   \* MERGEFORMAT </w:instrText>
    </w:r>
    <w:r>
      <w:rPr>
        <w:sz w:val="20"/>
        <w:lang w:val="x-none" w:eastAsia="ar-SA"/>
      </w:rPr>
      <w:fldChar w:fldCharType="separate"/>
    </w:r>
    <w:r>
      <w:rPr>
        <w:sz w:val="20"/>
        <w:lang w:val="x-none" w:eastAsia="ar-SA"/>
      </w:rPr>
      <w:t>2</w:t>
    </w:r>
    <w:r>
      <w:rPr>
        <w:sz w:val="20"/>
        <w:lang w:val="x-none" w:eastAsia="ar-SA"/>
      </w:rPr>
      <w:fldChar w:fldCharType="end"/>
    </w:r>
  </w:p>
  <w:p>
    <w:pPr>
      <w:tabs>
        <w:tab w:val="center" w:pos="4153"/>
        <w:tab w:val="right" w:pos="8306"/>
      </w:tabs>
      <w:suppressAutoHyphens/>
      <w:jc w:val="right"/>
      <w:rPr>
        <w:sz w:val="20"/>
        <w:lang w:val="x-none"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sz w:val="20"/>
        <w:lang w:val="x-none"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5F1"/>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6473DC7-A1BA-4857-AF60-F081AB4A44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64166">
      <w:bodyDiv w:val="1"/>
      <w:marLeft w:val="0"/>
      <w:marRight w:val="0"/>
      <w:marTop w:val="0"/>
      <w:marBottom w:val="0"/>
      <w:divBdr>
        <w:top w:val="none" w:sz="0" w:space="0" w:color="auto"/>
        <w:left w:val="none" w:sz="0" w:space="0" w:color="auto"/>
        <w:bottom w:val="none" w:sz="0" w:space="0" w:color="auto"/>
        <w:right w:val="none" w:sz="0" w:space="0" w:color="auto"/>
      </w:divBdr>
    </w:div>
    <w:div w:id="451949082">
      <w:bodyDiv w:val="1"/>
      <w:marLeft w:val="0"/>
      <w:marRight w:val="0"/>
      <w:marTop w:val="0"/>
      <w:marBottom w:val="0"/>
      <w:divBdr>
        <w:top w:val="none" w:sz="0" w:space="0" w:color="auto"/>
        <w:left w:val="none" w:sz="0" w:space="0" w:color="auto"/>
        <w:bottom w:val="none" w:sz="0" w:space="0" w:color="auto"/>
        <w:right w:val="none" w:sz="0" w:space="0" w:color="auto"/>
      </w:divBdr>
    </w:div>
    <w:div w:id="473255838">
      <w:bodyDiv w:val="1"/>
      <w:marLeft w:val="0"/>
      <w:marRight w:val="0"/>
      <w:marTop w:val="0"/>
      <w:marBottom w:val="0"/>
      <w:divBdr>
        <w:top w:val="none" w:sz="0" w:space="0" w:color="auto"/>
        <w:left w:val="none" w:sz="0" w:space="0" w:color="auto"/>
        <w:bottom w:val="none" w:sz="0" w:space="0" w:color="auto"/>
        <w:right w:val="none" w:sz="0" w:space="0" w:color="auto"/>
      </w:divBdr>
    </w:div>
    <w:div w:id="526061682">
      <w:bodyDiv w:val="1"/>
      <w:marLeft w:val="0"/>
      <w:marRight w:val="0"/>
      <w:marTop w:val="0"/>
      <w:marBottom w:val="0"/>
      <w:divBdr>
        <w:top w:val="none" w:sz="0" w:space="0" w:color="auto"/>
        <w:left w:val="none" w:sz="0" w:space="0" w:color="auto"/>
        <w:bottom w:val="none" w:sz="0" w:space="0" w:color="auto"/>
        <w:right w:val="none" w:sz="0" w:space="0" w:color="auto"/>
      </w:divBdr>
    </w:div>
    <w:div w:id="719744614">
      <w:bodyDiv w:val="1"/>
      <w:marLeft w:val="0"/>
      <w:marRight w:val="0"/>
      <w:marTop w:val="0"/>
      <w:marBottom w:val="0"/>
      <w:divBdr>
        <w:top w:val="none" w:sz="0" w:space="0" w:color="auto"/>
        <w:left w:val="none" w:sz="0" w:space="0" w:color="auto"/>
        <w:bottom w:val="none" w:sz="0" w:space="0" w:color="auto"/>
        <w:right w:val="none" w:sz="0" w:space="0" w:color="auto"/>
      </w:divBdr>
    </w:div>
    <w:div w:id="753936496">
      <w:bodyDiv w:val="1"/>
      <w:marLeft w:val="0"/>
      <w:marRight w:val="0"/>
      <w:marTop w:val="0"/>
      <w:marBottom w:val="0"/>
      <w:divBdr>
        <w:top w:val="none" w:sz="0" w:space="0" w:color="auto"/>
        <w:left w:val="none" w:sz="0" w:space="0" w:color="auto"/>
        <w:bottom w:val="none" w:sz="0" w:space="0" w:color="auto"/>
        <w:right w:val="none" w:sz="0" w:space="0" w:color="auto"/>
      </w:divBdr>
    </w:div>
    <w:div w:id="1066295211">
      <w:bodyDiv w:val="1"/>
      <w:marLeft w:val="0"/>
      <w:marRight w:val="0"/>
      <w:marTop w:val="0"/>
      <w:marBottom w:val="0"/>
      <w:divBdr>
        <w:top w:val="none" w:sz="0" w:space="0" w:color="auto"/>
        <w:left w:val="none" w:sz="0" w:space="0" w:color="auto"/>
        <w:bottom w:val="none" w:sz="0" w:space="0" w:color="auto"/>
        <w:right w:val="none" w:sz="0" w:space="0" w:color="auto"/>
      </w:divBdr>
    </w:div>
    <w:div w:id="1454900833">
      <w:bodyDiv w:val="1"/>
      <w:marLeft w:val="0"/>
      <w:marRight w:val="0"/>
      <w:marTop w:val="0"/>
      <w:marBottom w:val="0"/>
      <w:divBdr>
        <w:top w:val="none" w:sz="0" w:space="0" w:color="auto"/>
        <w:left w:val="none" w:sz="0" w:space="0" w:color="auto"/>
        <w:bottom w:val="none" w:sz="0" w:space="0" w:color="auto"/>
        <w:right w:val="none" w:sz="0" w:space="0" w:color="auto"/>
      </w:divBdr>
    </w:div>
    <w:div w:id="1625038931">
      <w:bodyDiv w:val="1"/>
      <w:marLeft w:val="0"/>
      <w:marRight w:val="0"/>
      <w:marTop w:val="0"/>
      <w:marBottom w:val="0"/>
      <w:divBdr>
        <w:top w:val="none" w:sz="0" w:space="0" w:color="auto"/>
        <w:left w:val="none" w:sz="0" w:space="0" w:color="auto"/>
        <w:bottom w:val="none" w:sz="0" w:space="0" w:color="auto"/>
        <w:right w:val="none" w:sz="0" w:space="0" w:color="auto"/>
      </w:divBdr>
    </w:div>
    <w:div w:id="1893926732">
      <w:bodyDiv w:val="1"/>
      <w:marLeft w:val="0"/>
      <w:marRight w:val="0"/>
      <w:marTop w:val="0"/>
      <w:marBottom w:val="0"/>
      <w:divBdr>
        <w:top w:val="none" w:sz="0" w:space="0" w:color="auto"/>
        <w:left w:val="none" w:sz="0" w:space="0" w:color="auto"/>
        <w:bottom w:val="none" w:sz="0" w:space="0" w:color="auto"/>
        <w:right w:val="none" w:sz="0" w:space="0" w:color="auto"/>
      </w:divBdr>
    </w:div>
    <w:div w:id="2035695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77250c088e7b43719ece94401f680db2" PartId="2388cff853e14b4db8edf49dcecd83e8">
    <Part Type="preambule" DocPartId="c4d5b8987d514ad697f0712ed88ba3ce" PartId="fd4a92997ae74da38ac8bf0e9ec23f67"/>
    <Part Type="pastraipa" DocPartId="adac925e353347d3aa66f4bf6e849351" PartId="f3f4691fd4b24d258ef426b34be8cde0"/>
    <Part Type="punktas" Nr="1" Abbr="1 p." DocPartId="889ee5b229b3462692e5dfbc78bf05c2" PartId="4ffdd2b983fd4ab794dc768d504e10f8">
      <Part Type="citata" DocPartId="686118f6698641aebb133efc0af5ccf6" PartId="e43e5a4e18114534a2285fbd2e2eb1cd">
        <Part Type="papunktis" Nr="4.8" Abbr="4.8 pp." DocPartId="5b0e81ae7bdc45409d2992eed8653e00" PartId="9e59519fdcee41ce92838ba2833ef554"/>
      </Part>
    </Part>
    <Part Type="punktas" Nr="2" Abbr="2 p." DocPartId="0cd53d1901164ec39c364f6145ba2bc1" PartId="1d5d113402204a9c999a00ef5bc9775e">
      <Part Type="citata" DocPartId="c8554a90838045448332826d05a93857" PartId="20fa9d406c8d4293a35691f266efb977">
        <Part Type="punktas" Nr="10" Abbr="10 p." DocPartId="5b3430c6bd6e4d32a3691bbf0420396f" PartId="4564180f200941cba722cfe749ec33e0"/>
      </Part>
    </Part>
    <Part Type="punktas" Nr="3" Abbr="3 p." DocPartId="1d59d42420f243fcad574d5fb9aeafa8" PartId="6898029cca994bfaa30f73ccecca6fcc">
      <Part Type="citata" DocPartId="d5c235bd691241e5a241a8c60147f365" PartId="3c1960a2b33f467bb1e84fc652eae348">
        <Part Type="punktas" Nr="17" Abbr="17 p." DocPartId="db70e280a23a412ea2974e9defcba5dc" PartId="071fac80a6ae42fb8e695bdb0fae698b"/>
      </Part>
    </Part>
    <Part Type="signatura" DocPartId="3ffe56a453014472b43edce8b98f35d6" PartId="83540d4f23cc40a1a8aff34f540565b4"/>
  </Part>
</Parts>
</file>

<file path=customXml/itemProps1.xml><?xml version="1.0" encoding="utf-8"?>
<ds:datastoreItem xmlns:ds="http://schemas.openxmlformats.org/officeDocument/2006/customXml" ds:itemID="{3A92E7F0-2CF3-4033-B36E-86509E9C668D}">
  <ds:schemaRefs>
    <ds:schemaRef ds:uri="http://schemas.openxmlformats.org/officeDocument/2006/bibliography"/>
  </ds:schemaRefs>
</ds:datastoreItem>
</file>

<file path=customXml/itemProps2.xml><?xml version="1.0" encoding="utf-8"?>
<ds:datastoreItem xmlns:ds="http://schemas.openxmlformats.org/officeDocument/2006/customXml" ds:itemID="{AE993582-F312-4BDD-9BD8-576FF664B0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284</Words>
  <Characters>1928</Characters>
  <Application>Microsoft Office Word</Application>
  <DocSecurity>4</DocSecurity>
  <Lines>39</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TARYBA</vt:lpstr>
      <vt:lpstr>ŠIAULIŲ MIESTO SAVIVALDYBĖS TARYBA</vt:lpstr>
    </vt:vector>
  </TitlesOfParts>
  <Company>Šiaulių miesto švietimo skyrius</Company>
  <LinksUpToDate>false</LinksUpToDate>
  <CharactersWithSpaces>2196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2023-10-13T13:09:00Z</dcterms:created>
  <dc:creator>Svietimo ir Mokslo</dc:creator>
  <lastModifiedBy>adlibuser</lastModifiedBy>
  <lastPrinted>2014-09-04T13:54:00Z</lastPrinted>
  <dcterms:modified xsi:type="dcterms:W3CDTF">2023-10-13T13:09:00Z</dcterms:modified>
  <revision>2</revision>
  <dc:title>ŠIAULIŲ MIESTO SAVIVALDYBĖS TARYBA</dc:title>
</coreProperties>
</file>