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commentsExtensible.xml" ContentType="application/vnd.openxmlformats-officedocument.wordprocessingml.commentsExtensible+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e7a623cbdcbe42c899c8087d70ceda2a"/>
        <w:lock w:val="sdtLocked"/>
        <w:richText/>
      </w:sdtPr>
      <w:sdtContent>
        <w:p>
          <w:pPr>
            <w:tabs>
              <w:tab w:val="center" w:pos="4819"/>
              <w:tab w:val="right" w:pos="9638"/>
            </w:tabs>
            <w:rPr>
              <w:rFonts w:ascii="Arial" w:eastAsia="Arial" w:hAnsi="Arial" w:cs="Arial"/>
              <w:sz w:val="22"/>
              <w:szCs w:val="22"/>
              <w:lang w:eastAsia="lt-LT"/>
            </w:rPr>
          </w:pPr>
        </w:p>
        <w:p>
          <w:pPr>
            <w:rPr>
              <w:szCs w:val="24"/>
              <w:lang w:val="en-US" w:eastAsia="lt-LT"/>
            </w:rPr>
          </w:pPr>
        </w:p>
        <w:p>
          <w:pPr>
            <w:jc w:val="center"/>
            <w:rPr>
              <w:b/>
              <w:szCs w:val="24"/>
            </w:rPr>
          </w:pPr>
        </w:p>
        <w:p>
          <w:pPr>
            <w:jc w:val="right"/>
            <w:rPr>
              <w:b/>
              <w:szCs w:val="24"/>
            </w:rPr>
          </w:pPr>
          <w:r>
            <w:rPr>
              <w:b/>
              <w:szCs w:val="24"/>
            </w:rPr>
            <w:t>Projektas</w:t>
          </w:r>
        </w:p>
        <w:p>
          <w:pPr>
            <w:jc w:val="center"/>
            <w:rPr>
              <w:b/>
              <w:szCs w:val="24"/>
            </w:rPr>
          </w:pPr>
        </w:p>
        <w:p>
          <w:pPr>
            <w:jc w:val="center"/>
            <w:rPr>
              <w:b/>
              <w:szCs w:val="24"/>
            </w:rPr>
          </w:pPr>
          <w:r>
            <w:rPr>
              <w:b/>
              <w:szCs w:val="24"/>
            </w:rPr>
            <w:t>VALSTYBINĖS MAISTO IR VETERINARIJOS TARNYBOS</w:t>
          </w:r>
        </w:p>
        <w:p>
          <w:pPr>
            <w:jc w:val="center"/>
            <w:rPr>
              <w:b/>
              <w:szCs w:val="24"/>
            </w:rPr>
          </w:pPr>
          <w:r>
            <w:rPr>
              <w:b/>
              <w:szCs w:val="24"/>
            </w:rPr>
            <w:t>DIREKTORIUS</w:t>
          </w:r>
        </w:p>
        <w:p>
          <w:pPr>
            <w:jc w:val="center"/>
            <w:rPr>
              <w:b/>
              <w:szCs w:val="24"/>
            </w:rPr>
          </w:pPr>
        </w:p>
        <w:p>
          <w:pPr>
            <w:jc w:val="center"/>
            <w:rPr>
              <w:b/>
              <w:szCs w:val="24"/>
            </w:rPr>
          </w:pPr>
          <w:r>
            <w:rPr>
              <w:b/>
              <w:szCs w:val="24"/>
            </w:rPr>
            <w:t>ĮSAKYMAS</w:t>
          </w:r>
        </w:p>
        <w:p>
          <w:pPr>
            <w:widowControl w:val="0"/>
            <w:jc w:val="center"/>
            <w:rPr>
              <w:b/>
              <w:bCs/>
              <w:caps/>
              <w:szCs w:val="24"/>
              <w:lang w:eastAsia="lt-LT"/>
            </w:rPr>
          </w:pPr>
          <w:r>
            <w:rPr>
              <w:b/>
              <w:bCs/>
              <w:caps/>
              <w:szCs w:val="24"/>
              <w:lang w:eastAsia="lt-LT"/>
            </w:rPr>
            <w:t>DĖL GYVŪNŲ AUGINTINIŲ VEISĖJŲ IR GYVŪNŲ AUGINTINIŲ</w:t>
          </w:r>
          <w:r>
            <w:rPr>
              <w:b/>
              <w:bCs/>
              <w:szCs w:val="24"/>
              <w:lang w:eastAsia="lt-LT"/>
            </w:rPr>
            <w:t xml:space="preserve"> LAIKINO APGYVENDINIMO PASLAUGOS TEIKĖJŲ </w:t>
          </w:r>
          <w:r>
            <w:rPr>
              <w:b/>
              <w:bCs/>
              <w:caps/>
              <w:szCs w:val="24"/>
              <w:lang w:eastAsia="lt-LT"/>
            </w:rPr>
            <w:t>VEIKLOS ATITIKTIES GYVŪNŲ GEROVĖS KRITERIJAMS VERTINIMO TVARKOS APRAŠO PATVIRTINIMO</w:t>
          </w:r>
        </w:p>
        <w:p>
          <w:pPr>
            <w:widowControl w:val="0"/>
            <w:ind w:firstLine="567"/>
            <w:jc w:val="both"/>
            <w:rPr>
              <w:szCs w:val="24"/>
              <w:lang w:eastAsia="lt-LT"/>
            </w:rPr>
          </w:pPr>
        </w:p>
        <w:p>
          <w:pPr>
            <w:widowControl w:val="0"/>
            <w:jc w:val="center"/>
            <w:rPr>
              <w:szCs w:val="24"/>
              <w:lang w:eastAsia="lt-LT"/>
            </w:rPr>
          </w:pPr>
          <w:r>
            <w:rPr>
              <w:szCs w:val="24"/>
              <w:lang w:eastAsia="lt-LT"/>
            </w:rPr>
            <w:t xml:space="preserve">2022 m.                d. Nr.</w:t>
          </w:r>
        </w:p>
        <w:p>
          <w:pPr>
            <w:widowControl w:val="0"/>
            <w:jc w:val="center"/>
            <w:rPr>
              <w:szCs w:val="24"/>
              <w:lang w:eastAsia="lt-LT"/>
            </w:rPr>
          </w:pPr>
          <w:r>
            <w:rPr>
              <w:szCs w:val="24"/>
              <w:lang w:eastAsia="lt-LT"/>
            </w:rPr>
            <w:t>Vilnius</w:t>
          </w:r>
        </w:p>
        <w:p>
          <w:pPr>
            <w:widowControl w:val="0"/>
            <w:ind w:firstLine="567"/>
            <w:jc w:val="both"/>
            <w:rPr>
              <w:szCs w:val="24"/>
              <w:lang w:eastAsia="lt-LT"/>
            </w:rPr>
          </w:pPr>
        </w:p>
        <w:sdt>
          <w:sdtPr>
            <w:alias w:val="preambule"/>
            <w:tag w:val="part_ef57b090a5804da69d9cfe9dcf1c2f97"/>
            <w:lock w:val="sdtLocked"/>
            <w:richText/>
          </w:sdtPr>
          <w:sdtContent>
            <w:p>
              <w:pPr>
                <w:ind w:firstLine="567"/>
                <w:jc w:val="both"/>
                <w:rPr>
                  <w:szCs w:val="24"/>
                </w:rPr>
              </w:pPr>
              <w:r>
                <w:rPr>
                  <w:szCs w:val="24"/>
                </w:rPr>
                <w:t xml:space="preserve">Vadovaudamasis Lietuvos Respublikos veterinarijos įstatymo 6 straipsnio 3 dalimi, Valstybinės maisto ir veterinarijos tarnybos nuostatų, patvirtintų Lietuvos Respublikos Vyriausybės 2000 m. birželio 28 d. nutarimu Nr. 744 „Dėl Valstybinės maisto ir veterinarijos tarnybos nuostatų patvirtinimo“, 21.2 papunkčiu, </w:t>
              </w:r>
              <w:r>
                <w:rPr>
                  <w:rFonts w:eastAsia="Arial"/>
                  <w:color w:val="000000"/>
                  <w:szCs w:val="24"/>
                  <w:shd w:val="clear" w:color="auto" w:fill="FFFFFF"/>
                  <w:lang w:val="lt" w:eastAsia="lt-LT"/>
                </w:rPr>
                <w:t>Institucijų atliekamų priežiūros funkcijų optimizavimo gairių aprašo, patvirtinto Lietuvos Respublikos Vyriausybės 2010 m. gegužės 4 d. nutarimu Nr. 511 „Dėl institucijų atliekamų priežiūros funkcijų optimizavimo“, 7.12 papunkčiu</w:t>
              </w:r>
              <w:r>
                <w:rPr>
                  <w:szCs w:val="24"/>
                </w:rPr>
                <w:t xml:space="preserve"> ir siekdamas</w:t>
              </w:r>
              <w:r>
                <w:rPr>
                  <w:szCs w:val="24"/>
                  <w:lang w:eastAsia="lt-LT"/>
                </w:rPr>
                <w:t xml:space="preserve"> skatinti gyvūnų augintinių veisėjus ir gyvūnų augintinių laikino apgyvendinimo paslaugų teikėjus taikyti aukštus gyvūnų gerovės standartus</w:t>
              </w:r>
              <w:r>
                <w:rPr>
                  <w:szCs w:val="24"/>
                </w:rPr>
                <w:t>:</w:t>
              </w:r>
            </w:p>
          </w:sdtContent>
        </w:sdt>
        <w:sdt>
          <w:sdtPr>
            <w:alias w:val="1 p."/>
            <w:tag w:val="part_70b4d2552e9a4106a70048fe7515da3e"/>
            <w:lock w:val="sdtLocked"/>
            <w:richText/>
          </w:sdtPr>
          <w:sdtContent>
            <w:p>
              <w:pPr>
                <w:ind w:firstLine="567"/>
                <w:jc w:val="both"/>
                <w:rPr>
                  <w:rFonts w:eastAsia="Arial"/>
                  <w:szCs w:val="24"/>
                  <w:lang w:eastAsia="lt-LT"/>
                </w:rPr>
              </w:pPr>
              <w:sdt>
                <w:sdtPr>
                  <w:alias w:val="Numeris"/>
                  <w:tag w:val="nr_70b4d2552e9a4106a70048fe7515da3e"/>
                  <w:lock w:val="sdtLocked"/>
                  <w:richText/>
                </w:sdtPr>
                <w:sdtContent>
                  <w:r>
                    <w:rPr>
                      <w:szCs w:val="24"/>
                      <w:lang w:eastAsia="lt-LT"/>
                    </w:rPr>
                    <w:t>1</w:t>
                  </w:r>
                </w:sdtContent>
              </w:sdt>
              <w:r>
                <w:rPr>
                  <w:szCs w:val="24"/>
                  <w:lang w:eastAsia="lt-LT"/>
                </w:rPr>
                <w:t>. T v i r t i n u Gyvūnų augintinių veisėjų ir gyvūnų augintinių laikino apgyvendinimo paslaugos teikėjų veiklos atitikties gyvūnų gerovės kriterijams vertinimo tvarkos aprašą (pridedama).</w:t>
              </w:r>
            </w:p>
          </w:sdtContent>
        </w:sdt>
        <w:sdt>
          <w:sdtPr>
            <w:alias w:val="2 p."/>
            <w:tag w:val="part_dfb2c22ef50e48da912acfe7a45204b8"/>
            <w:lock w:val="sdtLocked"/>
            <w:richText/>
          </w:sdtPr>
          <w:sdtContent>
            <w:p>
              <w:pPr>
                <w:widowControl w:val="0"/>
                <w:ind w:firstLine="567"/>
                <w:jc w:val="both"/>
                <w:rPr>
                  <w:szCs w:val="24"/>
                  <w:lang w:eastAsia="lt-LT"/>
                </w:rPr>
              </w:pPr>
              <w:sdt>
                <w:sdtPr>
                  <w:alias w:val="Numeris"/>
                  <w:tag w:val="nr_dfb2c22ef50e48da912acfe7a45204b8"/>
                  <w:lock w:val="sdtLocked"/>
                  <w:richText/>
                </w:sdtPr>
                <w:sdtContent>
                  <w:r>
                    <w:rPr>
                      <w:szCs w:val="24"/>
                      <w:lang w:eastAsia="lt-LT"/>
                    </w:rPr>
                    <w:t>2</w:t>
                  </w:r>
                </w:sdtContent>
              </w:sdt>
              <w:r>
                <w:rPr>
                  <w:szCs w:val="24"/>
                  <w:lang w:eastAsia="lt-LT"/>
                </w:rPr>
                <w:t>. P a v e d u:</w:t>
              </w:r>
            </w:p>
            <w:sdt>
              <w:sdtPr>
                <w:alias w:val="2.1 pp."/>
                <w:tag w:val="part_2ada960ca6a74028801c2fecb83889a4"/>
                <w:lock w:val="sdtLocked"/>
                <w:richText/>
              </w:sdtPr>
              <w:sdtContent>
                <w:p>
                  <w:pPr>
                    <w:widowControl w:val="0"/>
                    <w:ind w:firstLine="567"/>
                    <w:jc w:val="both"/>
                    <w:rPr>
                      <w:szCs w:val="24"/>
                      <w:lang w:eastAsia="lt-LT"/>
                    </w:rPr>
                  </w:pPr>
                  <w:sdt>
                    <w:sdtPr>
                      <w:alias w:val="Numeris"/>
                      <w:tag w:val="nr_2ada960ca6a74028801c2fecb83889a4"/>
                      <w:lock w:val="sdtLocked"/>
                      <w:richText/>
                    </w:sdtPr>
                    <w:sdtContent>
                      <w:r>
                        <w:rPr>
                          <w:szCs w:val="24"/>
                          <w:lang w:eastAsia="lt-LT"/>
                        </w:rPr>
                        <w:t>2.1</w:t>
                      </w:r>
                    </w:sdtContent>
                  </w:sdt>
                  <w:r>
                    <w:rPr>
                      <w:szCs w:val="24"/>
                      <w:lang w:eastAsia="lt-LT"/>
                    </w:rPr>
                    <w:t>. įsakymo vykdymą Valstybinės maisto ir veterinarijos tarnybos teritoriniams padaliniams;</w:t>
                  </w:r>
                </w:p>
              </w:sdtContent>
            </w:sdt>
            <w:sdt>
              <w:sdtPr>
                <w:alias w:val="2.2 pp."/>
                <w:tag w:val="part_d8d49d91041f4f63951d5dc0f66a4bf0"/>
                <w:lock w:val="sdtLocked"/>
                <w:richText/>
              </w:sdtPr>
              <w:sdtContent>
                <w:p>
                  <w:pPr>
                    <w:widowControl w:val="0"/>
                    <w:ind w:firstLine="567"/>
                    <w:jc w:val="both"/>
                    <w:rPr>
                      <w:szCs w:val="24"/>
                      <w:lang w:eastAsia="lt-LT"/>
                    </w:rPr>
                  </w:pPr>
                  <w:sdt>
                    <w:sdtPr>
                      <w:alias w:val="Numeris"/>
                      <w:tag w:val="nr_d8d49d91041f4f63951d5dc0f66a4bf0"/>
                      <w:lock w:val="sdtLocked"/>
                      <w:richText/>
                    </w:sdtPr>
                    <w:sdtContent>
                      <w:r>
                        <w:rPr>
                          <w:szCs w:val="24"/>
                          <w:lang w:eastAsia="lt-LT"/>
                        </w:rPr>
                        <w:t>2.2</w:t>
                      </w:r>
                    </w:sdtContent>
                  </w:sdt>
                  <w:r>
                    <w:rPr>
                      <w:szCs w:val="24"/>
                      <w:lang w:eastAsia="lt-LT"/>
                    </w:rPr>
                    <w:t>. įsakymo vykdymo kontrolę Valstybinės maisto ir veterinarijos tarnybos direktoriaus pavaduotojui pagal administruojamą sritį ir Gyvūnų sveikatingumo ir gerovės skyriui.</w:t>
                  </w:r>
                </w:p>
              </w:sdtContent>
            </w:sdt>
          </w:sdtContent>
        </w:sdt>
        <w:sdt>
          <w:sdtPr>
            <w:alias w:val="3 p."/>
            <w:tag w:val="part_0cfa8f9f4ff144ad8dac9e046f4887dd"/>
            <w:lock w:val="sdtLocked"/>
            <w:richText/>
          </w:sdtPr>
          <w:sdtContent>
            <w:p>
              <w:pPr>
                <w:widowControl w:val="0"/>
                <w:ind w:firstLine="567"/>
                <w:jc w:val="both"/>
                <w:rPr>
                  <w:szCs w:val="24"/>
                  <w:lang w:eastAsia="lt-LT"/>
                </w:rPr>
              </w:pPr>
              <w:sdt>
                <w:sdtPr>
                  <w:alias w:val="Numeris"/>
                  <w:tag w:val="nr_0cfa8f9f4ff144ad8dac9e046f4887dd"/>
                  <w:lock w:val="sdtLocked"/>
                  <w:richText/>
                </w:sdtPr>
                <w:sdtContent>
                  <w:r>
                    <w:rPr>
                      <w:szCs w:val="24"/>
                      <w:lang w:eastAsia="lt-LT"/>
                    </w:rPr>
                    <w:t>3</w:t>
                  </w:r>
                </w:sdtContent>
              </w:sdt>
              <w:r>
                <w:rPr>
                  <w:szCs w:val="24"/>
                  <w:lang w:eastAsia="lt-LT"/>
                </w:rPr>
                <w:t xml:space="preserve">. N u s t a t a u, kad šis įsakymas įsigalioja 2022 m.                            d.</w:t>
              </w:r>
            </w:p>
            <w:p>
              <w:pPr>
                <w:widowControl w:val="0"/>
                <w:ind w:firstLine="567"/>
                <w:jc w:val="both"/>
                <w:rPr>
                  <w:szCs w:val="24"/>
                  <w:lang w:eastAsia="lt-LT"/>
                </w:rPr>
              </w:pPr>
            </w:p>
            <w:p>
              <w:pPr>
                <w:widowControl w:val="0"/>
                <w:ind w:firstLine="567"/>
                <w:jc w:val="both"/>
                <w:rPr>
                  <w:szCs w:val="24"/>
                  <w:lang w:eastAsia="lt-LT"/>
                </w:rPr>
              </w:pPr>
            </w:p>
          </w:sdtContent>
        </w:sdt>
        <w:sdt>
          <w:sdtPr>
            <w:alias w:val="signatura"/>
            <w:tag w:val="part_11318dfe13284c849f8a89ef18f50939"/>
            <w:lock w:val="sdtLocked"/>
            <w:richText/>
          </w:sdtPr>
          <w:sdtContent>
            <w:p>
              <w:pPr>
                <w:widowControl w:val="0"/>
                <w:jc w:val="both"/>
                <w:rPr>
                  <w:szCs w:val="24"/>
                </w:rPr>
              </w:pPr>
              <w:r>
                <w:rPr>
                  <w:szCs w:val="24"/>
                  <w:lang w:eastAsia="lt-LT"/>
                </w:rPr>
                <w:t xml:space="preserve">Direktorius                                                                                                               </w:t>
              </w:r>
            </w:p>
            <w:p>
              <w:pPr>
                <w:jc w:val="center"/>
                <w:rPr>
                  <w:b/>
                  <w:szCs w:val="24"/>
                  <w:lang w:eastAsia="lt-LT"/>
                </w:rPr>
              </w:pPr>
            </w:p>
            <w:p>
              <w:pPr>
                <w:jc w:val="center"/>
                <w:rPr>
                  <w:b/>
                  <w:szCs w:val="24"/>
                  <w:lang w:eastAsia="lt-LT"/>
                </w:rPr>
              </w:pPr>
            </w:p>
            <w:p>
              <w:pPr>
                <w:jc w:val="center"/>
                <w:rPr>
                  <w:b/>
                  <w:szCs w:val="24"/>
                  <w:lang w:val="en-US" w:eastAsia="lt-LT"/>
                </w:rPr>
              </w:pPr>
            </w:p>
            <w:p>
              <w:pPr>
                <w:jc w:val="center"/>
                <w:rPr>
                  <w:b/>
                  <w:szCs w:val="24"/>
                  <w:lang w:eastAsia="lt-LT"/>
                </w:rPr>
              </w:pPr>
            </w:p>
            <w:p>
              <w:pPr>
                <w:jc w:val="center"/>
                <w:rPr>
                  <w:b/>
                  <w:szCs w:val="24"/>
                  <w:lang w:eastAsia="lt-LT"/>
                </w:rPr>
              </w:pPr>
            </w:p>
            <w:p>
              <w:pPr>
                <w:jc w:val="center"/>
                <w:rPr>
                  <w:b/>
                  <w:szCs w:val="24"/>
                  <w:lang w:eastAsia="lt-LT"/>
                </w:rPr>
              </w:pPr>
            </w:p>
            <w:p>
              <w:pPr>
                <w:jc w:val="center"/>
                <w:rPr>
                  <w:b/>
                  <w:szCs w:val="24"/>
                  <w:lang w:eastAsia="lt-LT"/>
                </w:rPr>
              </w:pPr>
            </w:p>
            <w:p>
              <w:pPr>
                <w:jc w:val="center"/>
                <w:rPr>
                  <w:b/>
                  <w:szCs w:val="24"/>
                  <w:lang w:eastAsia="lt-LT"/>
                </w:rPr>
              </w:pPr>
            </w:p>
            <w:p>
              <w:pPr>
                <w:rPr>
                  <w:b/>
                  <w:szCs w:val="24"/>
                  <w:lang w:eastAsia="lt-LT"/>
                </w:rPr>
                <w:sectPr>
                  <w:headerReference w:type="even" r:id="rId7"/>
                  <w:headerReference w:type="default" r:id="rId8"/>
                  <w:footerReference w:type="even" r:id="rId9"/>
                  <w:footerReference w:type="default" r:id="rId10"/>
                  <w:headerReference w:type="first" r:id="rId11"/>
                  <w:footerReference w:type="first" r:id="rId12"/>
                  <w:pgSz w:w="11909" w:h="16834"/>
                  <w:pgMar w:top="1134" w:right="567" w:bottom="1134" w:left="1701" w:header="720" w:footer="720" w:gutter="0"/>
                  <w:pgNumType w:start="1"/>
                  <w:cols w:space="1296"/>
                  <w:titlePg/>
                  <w:docGrid w:linePitch="299"/>
                </w:sectPr>
              </w:pPr>
            </w:p>
            <w:p>
              <w:pPr>
                <w:tabs>
                  <w:tab w:val="center" w:pos="4819"/>
                  <w:tab w:val="right" w:pos="9638"/>
                </w:tabs>
                <w:rPr>
                  <w:rFonts w:ascii="Arial" w:eastAsia="Arial" w:hAnsi="Arial" w:cs="Arial"/>
                  <w:sz w:val="22"/>
                  <w:szCs w:val="22"/>
                  <w:lang w:val="lt" w:eastAsia="lt-LT"/>
                </w:rPr>
              </w:pPr>
            </w:p>
            <w:p>
              <w:pPr>
                <w:spacing w:line="276" w:lineRule="auto"/>
                <w:rPr>
                  <w:b/>
                  <w:szCs w:val="24"/>
                  <w:lang w:eastAsia="lt-LT"/>
                </w:rPr>
              </w:pPr>
            </w:p>
          </w:sdtContent>
        </w:sdt>
      </w:sdtContent>
    </w:sdt>
    <w:sdt>
      <w:sdtPr>
        <w:alias w:val="patvirtinta"/>
        <w:tag w:val="part_0841680f3f234b47b005101685d2025c"/>
        <w:lock w:val="sdtLocked"/>
        <w:richText/>
      </w:sdtPr>
      <w:sdtContent>
        <w:p>
          <w:pPr>
            <w:suppressAutoHyphens/>
            <w:ind w:left="5040"/>
            <w:textAlignment w:val="center"/>
            <w:rPr>
              <w:szCs w:val="24"/>
              <w:lang w:val="en-US" w:eastAsia="lt-LT"/>
            </w:rPr>
          </w:pPr>
          <w:r>
            <w:rPr>
              <w:szCs w:val="24"/>
              <w:lang w:eastAsia="lt-LT"/>
            </w:rPr>
            <w:t>PATVIRTINTA</w:t>
          </w:r>
        </w:p>
        <w:p>
          <w:pPr>
            <w:keepLines/>
            <w:tabs>
              <w:tab w:val="left" w:pos="1304"/>
              <w:tab w:val="left" w:pos="1457"/>
              <w:tab w:val="left" w:pos="1604"/>
              <w:tab w:val="left" w:pos="1757"/>
            </w:tabs>
            <w:suppressAutoHyphens/>
            <w:ind w:left="5040"/>
            <w:textAlignment w:val="center"/>
            <w:rPr>
              <w:szCs w:val="24"/>
              <w:lang w:eastAsia="lt-LT"/>
            </w:rPr>
          </w:pPr>
          <w:r>
            <w:rPr>
              <w:szCs w:val="24"/>
              <w:lang w:eastAsia="lt-LT"/>
            </w:rPr>
            <w:t xml:space="preserve">Valstybinės maisto ir veterinarijos tarnybos </w:t>
          </w:r>
        </w:p>
        <w:p>
          <w:pPr>
            <w:keepLines/>
            <w:tabs>
              <w:tab w:val="left" w:pos="1304"/>
              <w:tab w:val="left" w:pos="1457"/>
              <w:tab w:val="left" w:pos="1604"/>
              <w:tab w:val="left" w:pos="1757"/>
            </w:tabs>
            <w:suppressAutoHyphens/>
            <w:ind w:left="5040"/>
            <w:textAlignment w:val="center"/>
            <w:rPr>
              <w:szCs w:val="24"/>
              <w:lang w:eastAsia="lt-LT"/>
            </w:rPr>
          </w:pPr>
          <w:r>
            <w:rPr>
              <w:szCs w:val="24"/>
              <w:lang w:eastAsia="lt-LT"/>
            </w:rPr>
            <w:t xml:space="preserve">direktoriaus 2022 m.                   d. </w:t>
          </w:r>
        </w:p>
        <w:p>
          <w:pPr>
            <w:keepLines/>
            <w:tabs>
              <w:tab w:val="left" w:pos="1304"/>
              <w:tab w:val="left" w:pos="1457"/>
              <w:tab w:val="left" w:pos="1604"/>
              <w:tab w:val="left" w:pos="1757"/>
            </w:tabs>
            <w:suppressAutoHyphens/>
            <w:ind w:left="5040"/>
            <w:textAlignment w:val="center"/>
            <w:rPr>
              <w:b/>
              <w:szCs w:val="24"/>
              <w:lang w:eastAsia="lt-LT"/>
            </w:rPr>
          </w:pPr>
          <w:r>
            <w:rPr>
              <w:szCs w:val="24"/>
              <w:lang w:eastAsia="lt-LT"/>
            </w:rPr>
            <w:t xml:space="preserve">įsakymu Nr. </w:t>
          </w:r>
        </w:p>
        <w:p>
          <w:pPr>
            <w:jc w:val="center"/>
            <w:rPr>
              <w:b/>
              <w:szCs w:val="24"/>
              <w:lang w:eastAsia="lt-LT"/>
            </w:rPr>
          </w:pPr>
        </w:p>
        <w:p>
          <w:pPr>
            <w:jc w:val="center"/>
            <w:rPr>
              <w:b/>
              <w:szCs w:val="24"/>
              <w:lang w:eastAsia="lt-LT"/>
            </w:rPr>
          </w:pPr>
          <w:sdt>
            <w:sdtPr>
              <w:alias w:val="Pavadinimas"/>
              <w:tag w:val="title_0841680f3f234b47b005101685d2025c"/>
              <w:lock w:val="sdtLocked"/>
              <w:richText/>
            </w:sdtPr>
            <w:sdtContent>
              <w:r>
                <w:rPr>
                  <w:b/>
                  <w:szCs w:val="24"/>
                  <w:lang w:eastAsia="lt-LT"/>
                </w:rPr>
                <w:t>GYVŪNŲ AUGINTINIŲ VEISĖJŲ IR GYVŪNŲ AUGINTINIŲ</w:t>
              </w:r>
              <w:r>
                <w:rPr>
                  <w:b/>
                  <w:bCs/>
                  <w:szCs w:val="24"/>
                  <w:lang w:eastAsia="lt-LT"/>
                </w:rPr>
                <w:t xml:space="preserve"> LAIKINO APGYVENDINIMO PASLAUGOS TEIKĖJŲ </w:t>
              </w:r>
              <w:r>
                <w:rPr>
                  <w:b/>
                  <w:szCs w:val="24"/>
                  <w:lang w:eastAsia="lt-LT"/>
                </w:rPr>
                <w:t>VEIKLOS ATITIKTIES GYVŪNŲ GEROVĖS</w:t>
              </w:r>
              <w:r>
                <w:rPr>
                  <w:b/>
                  <w:bCs/>
                  <w:caps/>
                  <w:szCs w:val="24"/>
                  <w:lang w:eastAsia="lt-LT"/>
                </w:rPr>
                <w:t xml:space="preserve"> </w:t>
              </w:r>
              <w:r>
                <w:rPr>
                  <w:b/>
                  <w:szCs w:val="24"/>
                  <w:lang w:eastAsia="lt-LT"/>
                </w:rPr>
                <w:t>KRITERIJAMS VERTINIMO TVARKOS APRAŠAS</w:t>
              </w:r>
            </w:sdtContent>
          </w:sdt>
        </w:p>
        <w:p>
          <w:pPr>
            <w:jc w:val="center"/>
            <w:rPr>
              <w:b/>
              <w:szCs w:val="24"/>
              <w:lang w:eastAsia="lt-LT"/>
            </w:rPr>
          </w:pPr>
        </w:p>
        <w:sdt>
          <w:sdtPr>
            <w:alias w:val="skyrius"/>
            <w:tag w:val="part_da1bc6a56c3948fd9b7ce07e5a2753c7"/>
            <w:lock w:val="sdtLocked"/>
            <w:richText/>
          </w:sdtPr>
          <w:sdtContent>
            <w:p>
              <w:pPr>
                <w:jc w:val="center"/>
                <w:rPr>
                  <w:b/>
                  <w:szCs w:val="24"/>
                  <w:lang w:eastAsia="lt-LT"/>
                </w:rPr>
              </w:pPr>
              <w:sdt>
                <w:sdtPr>
                  <w:alias w:val="Numeris"/>
                  <w:tag w:val="nr_da1bc6a56c3948fd9b7ce07e5a2753c7"/>
                  <w:lock w:val="sdtLocked"/>
                  <w:richText/>
                </w:sdtPr>
                <w:sdtContent>
                  <w:r>
                    <w:rPr>
                      <w:b/>
                      <w:szCs w:val="24"/>
                      <w:lang w:eastAsia="lt-LT"/>
                    </w:rPr>
                    <w:t>I</w:t>
                  </w:r>
                </w:sdtContent>
              </w:sdt>
              <w:r>
                <w:rPr>
                  <w:b/>
                  <w:szCs w:val="24"/>
                  <w:lang w:eastAsia="lt-LT"/>
                </w:rPr>
                <w:t xml:space="preserve"> SKYRIUS </w:t>
              </w:r>
            </w:p>
            <w:p>
              <w:pPr>
                <w:jc w:val="center"/>
                <w:rPr>
                  <w:b/>
                  <w:szCs w:val="24"/>
                  <w:lang w:eastAsia="lt-LT"/>
                </w:rPr>
              </w:pPr>
              <w:sdt>
                <w:sdtPr>
                  <w:alias w:val="Pavadinimas"/>
                  <w:tag w:val="title_da1bc6a56c3948fd9b7ce07e5a2753c7"/>
                  <w:lock w:val="sdtLocked"/>
                  <w:richText/>
                </w:sdtPr>
                <w:sdtContent>
                  <w:r>
                    <w:rPr>
                      <w:b/>
                      <w:szCs w:val="24"/>
                      <w:lang w:eastAsia="lt-LT"/>
                    </w:rPr>
                    <w:t>BENDROSIOS NUOSTATOS</w:t>
                  </w:r>
                </w:sdtContent>
              </w:sdt>
            </w:p>
            <w:p>
              <w:pPr>
                <w:ind w:firstLine="709"/>
                <w:jc w:val="center"/>
                <w:rPr>
                  <w:b/>
                  <w:szCs w:val="24"/>
                  <w:lang w:eastAsia="lt-LT"/>
                </w:rPr>
              </w:pPr>
            </w:p>
            <w:sdt>
              <w:sdtPr>
                <w:alias w:val="1 p."/>
                <w:tag w:val="part_c1cb63fc6cef4f1b8573ed612dbf5c7a"/>
                <w:lock w:val="sdtLocked"/>
                <w:richText/>
              </w:sdtPr>
              <w:sdtContent>
                <w:p>
                  <w:pPr>
                    <w:tabs>
                      <w:tab w:val="left" w:pos="851"/>
                    </w:tabs>
                    <w:ind w:firstLine="709"/>
                    <w:jc w:val="both"/>
                    <w:rPr>
                      <w:szCs w:val="24"/>
                      <w:lang w:eastAsia="lt-LT"/>
                    </w:rPr>
                  </w:pPr>
                  <w:sdt>
                    <w:sdtPr>
                      <w:alias w:val="Numeris"/>
                      <w:tag w:val="nr_c1cb63fc6cef4f1b8573ed612dbf5c7a"/>
                      <w:lock w:val="sdtLocked"/>
                      <w:richText/>
                    </w:sdtPr>
                    <w:sdtContent>
                      <w:r>
                        <w:rPr>
                          <w:szCs w:val="24"/>
                          <w:lang w:eastAsia="lt-LT"/>
                        </w:rPr>
                        <w:t>1</w:t>
                      </w:r>
                    </w:sdtContent>
                  </w:sdt>
                  <w:r>
                    <w:rPr>
                      <w:szCs w:val="24"/>
                      <w:lang w:eastAsia="lt-LT"/>
                    </w:rPr>
                    <w:t>. Gyvūnų augintinių veisėjų ir gyvūnų augintinių laikino apgyvendinimo paslaugos teikėjų veiklos atitikties gyvūnų gerovės</w:t>
                  </w:r>
                  <w:r>
                    <w:rPr>
                      <w:b/>
                      <w:bCs/>
                      <w:caps/>
                      <w:szCs w:val="24"/>
                      <w:lang w:eastAsia="lt-LT"/>
                    </w:rPr>
                    <w:t xml:space="preserve"> </w:t>
                  </w:r>
                  <w:r>
                    <w:rPr>
                      <w:szCs w:val="24"/>
                      <w:lang w:eastAsia="lt-LT"/>
                    </w:rPr>
                    <w:t>kriterijams vertinimo tvarkos aprašas (toliau – Aprašas) nustato gyvūnų augintinių veisėjų ir gyvūnų laikino apgyvendinimo paslaugos teikėjų veiklos atitikties gyvūnų gerovės kriterijams vertinimo tvarką.</w:t>
                  </w:r>
                </w:p>
              </w:sdtContent>
            </w:sdt>
            <w:sdt>
              <w:sdtPr>
                <w:alias w:val="2 p."/>
                <w:tag w:val="part_ed0e1e1d95be40069c48d1478d480ead"/>
                <w:lock w:val="sdtLocked"/>
                <w:richText/>
              </w:sdtPr>
              <w:sdtContent>
                <w:p>
                  <w:pPr>
                    <w:tabs>
                      <w:tab w:val="left" w:pos="851"/>
                    </w:tabs>
                    <w:ind w:firstLine="709"/>
                    <w:jc w:val="both"/>
                    <w:rPr>
                      <w:szCs w:val="24"/>
                      <w:lang w:eastAsia="lt-LT"/>
                    </w:rPr>
                  </w:pPr>
                  <w:sdt>
                    <w:sdtPr>
                      <w:alias w:val="Numeris"/>
                      <w:tag w:val="nr_ed0e1e1d95be40069c48d1478d480ead"/>
                      <w:lock w:val="sdtLocked"/>
                      <w:richText/>
                    </w:sdtPr>
                    <w:sdtContent>
                      <w:r>
                        <w:rPr>
                          <w:szCs w:val="24"/>
                          <w:lang w:eastAsia="lt-LT"/>
                        </w:rPr>
                        <w:t>2</w:t>
                      </w:r>
                    </w:sdtContent>
                  </w:sdt>
                  <w:r>
                    <w:rPr>
                      <w:szCs w:val="24"/>
                      <w:lang w:eastAsia="lt-LT"/>
                    </w:rPr>
                    <w:t xml:space="preserve">. Apraše vartojamos sąvokos atitinka Lietuvos Respublikos gyvūnų gerovės ir apsaugos įstatyme, Veterinarijos reikalavimuose gyvūnų augintinių viešbučiams, patvirtintuose Valstybinės maisto ir veterinarijos tarnybos direktoriaus 2016 m. birželio 10 d. įsakymu Nr. B1-445 „Dėl Veterinarijos reikalavimų gyvūnų augintinių viešbučiams patvirtinimo“ (toliau – Veterinarijos reikalavimai gyvūnų augintinių viešbučiams), Veterinarijos reikalavimuose gyvūnų augintinių veisėjams, patvirtintuose Valstybinės maisto ir veterinarijos tarnybos direktoriaus 2013 m. liepos 30 d. įsakymu Nr. B1-508 „Dėl Veterinarijos reikalavimų gyvūnų augintinių veisėjams patvirtinimo“ (toliau – Veterinarijos reikalavimai gyvūnų augintinių veisėjams), ir kituose teisės aktuose, reglamentuojančiuose gyvūnų gerovę ir apsaugą, vartojamas sąvokas.  </w:t>
                  </w:r>
                </w:p>
              </w:sdtContent>
            </w:sdt>
            <w:sdt>
              <w:sdtPr>
                <w:alias w:val="3 p."/>
                <w:tag w:val="part_bcf61361df734a81b93413588ad36721"/>
                <w:lock w:val="sdtLocked"/>
                <w:richText/>
              </w:sdtPr>
              <w:sdtContent>
                <w:p>
                  <w:pPr>
                    <w:ind w:firstLine="709"/>
                    <w:jc w:val="both"/>
                    <w:rPr>
                      <w:rFonts w:eastAsia="Calibri"/>
                      <w:szCs w:val="24"/>
                      <w:shd w:val="clear" w:color="auto" w:fill="FFFFFF"/>
                    </w:rPr>
                  </w:pPr>
                  <w:sdt>
                    <w:sdtPr>
                      <w:alias w:val="Numeris"/>
                      <w:tag w:val="nr_bcf61361df734a81b93413588ad36721"/>
                      <w:lock w:val="sdtLocked"/>
                      <w:richText/>
                    </w:sdtPr>
                    <w:sdtContent>
                      <w:r>
                        <w:rPr>
                          <w:szCs w:val="24"/>
                          <w:lang w:eastAsia="lt-LT"/>
                        </w:rPr>
                        <w:t>3</w:t>
                      </w:r>
                    </w:sdtContent>
                  </w:sdt>
                  <w:r>
                    <w:rPr>
                      <w:szCs w:val="24"/>
                      <w:lang w:eastAsia="lt-LT"/>
                    </w:rPr>
                    <w:t>.</w:t>
                  </w:r>
                  <w:r>
                    <w:rPr>
                      <w:rFonts w:eastAsia="Calibri"/>
                      <w:szCs w:val="24"/>
                      <w:shd w:val="clear" w:color="auto" w:fill="FFFFFF"/>
                    </w:rPr>
                    <w:t xml:space="preserve"> Aprašas taikomas Veterinarijos reikalavimų gyvūnų augintinių veisėjams nustatyta tvarka registruotiems gyvūnų augintinių veisėjams, veisiantiems šunis ir (ar) kates (toliau – gyvūnų veisėjai), ir gyvūnų augintinių laikino apgyvendinimo paslaugos teikėjams, turintiems Veterinarijos reikalavimų gyvūnų augintinių viešbučiams nustatyta tvarka patvirtintus gyvūnų augintinių viešbučius, kuriuose teikia šunų ir (ar) kačių laikino apgyvendinimo paslaugą (toliau – gyvūnų laikino apgyvendinimo paslaugos teikėjai). Gyvūnų veisėjai ir gyvūnų laikino apgyvendinimo paslaugos teikėjai, atitinkantys Aprašo 4 punktą, Aprašo II skyriuje nustatyta tvarka ir 17 punkte nurodytais būdais gali kreiptis į </w:t>
                  </w:r>
                  <w:r>
                    <w:rPr>
                      <w:szCs w:val="24"/>
                      <w:lang w:eastAsia="lt-LT"/>
                    </w:rPr>
                    <w:t xml:space="preserve">Valstybinės maisto ir veterinarijos tarnybos (toliau – VMVT) </w:t>
                  </w:r>
                  <w:r>
                    <w:rPr>
                      <w:rFonts w:eastAsia="Calibri"/>
                      <w:szCs w:val="24"/>
                      <w:shd w:val="clear" w:color="auto" w:fill="FFFFFF"/>
                    </w:rPr>
                    <w:t>teritorinį padalinį dėl jų veiklos atitikties gyvūnų gerovės kriterijams, nustatytiems Aprašo 1 ar 2 prieduose, įvertinimo. Aprašo 3 priede nustatyti gyvūnų gerovės įvertinimo ženklai naudojami Aprašo 14 punkte nustatyta tvarka.</w:t>
                  </w:r>
                </w:p>
              </w:sdtContent>
            </w:sdt>
            <w:sdt>
              <w:sdtPr>
                <w:alias w:val="4 p."/>
                <w:tag w:val="part_b9436845683e49febb35c9d90517bd2e"/>
                <w:lock w:val="sdtLocked"/>
                <w:richText/>
              </w:sdtPr>
              <w:sdtContent>
                <w:p>
                  <w:pPr>
                    <w:tabs>
                      <w:tab w:val="left" w:pos="851"/>
                    </w:tabs>
                    <w:ind w:firstLine="709"/>
                    <w:jc w:val="both"/>
                    <w:rPr>
                      <w:szCs w:val="24"/>
                      <w:lang w:eastAsia="lt-LT"/>
                    </w:rPr>
                  </w:pPr>
                  <w:sdt>
                    <w:sdtPr>
                      <w:alias w:val="Numeris"/>
                      <w:tag w:val="nr_b9436845683e49febb35c9d90517bd2e"/>
                      <w:lock w:val="sdtLocked"/>
                      <w:richText/>
                    </w:sdtPr>
                    <w:sdtContent>
                      <w:r>
                        <w:rPr>
                          <w:szCs w:val="24"/>
                          <w:lang w:eastAsia="lt-LT"/>
                        </w:rPr>
                        <w:t>4</w:t>
                      </w:r>
                    </w:sdtContent>
                  </w:sdt>
                  <w:r>
                    <w:rPr>
                      <w:szCs w:val="24"/>
                      <w:lang w:eastAsia="lt-LT"/>
                    </w:rPr>
                    <w:t>. Gyvūnų veisėjai ir gyvūnų laikino apgyvendinimo paslaugos teikėjai, kurių veiklos patikrinimo metu VMVT pareigūnai nustatė gyvūnų gerovės reikalavimų pažeidimų, gali kreiptis dėl jų veiklos atitikties gyvūnų gerovės kriterijams įvertinimo ne anksčiau kaip po 12 mėnesių nuo gyvūnų gerovės reikalavimų pažeidimų nustatymo dienos.</w:t>
                  </w:r>
                  <w:r>
                    <w:rPr>
                      <w:rFonts w:eastAsia="Arial"/>
                      <w:szCs w:val="24"/>
                      <w:lang w:val="lt" w:eastAsia="lt-LT"/>
                    </w:rPr>
                    <w:t xml:space="preserve"> </w:t>
                  </w:r>
                  <w:r>
                    <w:rPr>
                      <w:szCs w:val="24"/>
                      <w:lang w:eastAsia="lt-LT"/>
                    </w:rPr>
                    <w:t>Naujai veiklą pradedančių gyvūnų veisėjų ir gyvūnų laikino apgyvendinimo paslaugos teikėjų veiklos atitikties gyvūnų gerovės kriterijams įvertinimas atliekamas ne anksčiau kaip po 24 mėnesių nuo veiklos pradžios.</w:t>
                  </w:r>
                </w:p>
                <w:p>
                  <w:pPr>
                    <w:jc w:val="both"/>
                    <w:rPr>
                      <w:szCs w:val="24"/>
                      <w:lang w:eastAsia="lt-LT"/>
                    </w:rPr>
                  </w:pPr>
                </w:p>
              </w:sdtContent>
            </w:sdt>
          </w:sdtContent>
        </w:sdt>
        <w:sdt>
          <w:sdtPr>
            <w:alias w:val="skyrius"/>
            <w:tag w:val="part_fb8c4b706c484dc2a4103ec46c3dc4fc"/>
            <w:lock w:val="sdtLocked"/>
            <w:richText/>
          </w:sdtPr>
          <w:sdtContent>
            <w:p>
              <w:pPr>
                <w:jc w:val="center"/>
                <w:rPr>
                  <w:b/>
                  <w:szCs w:val="24"/>
                  <w:lang w:eastAsia="lt-LT"/>
                </w:rPr>
              </w:pPr>
              <w:sdt>
                <w:sdtPr>
                  <w:alias w:val="Numeris"/>
                  <w:tag w:val="nr_fb8c4b706c484dc2a4103ec46c3dc4fc"/>
                  <w:lock w:val="sdtLocked"/>
                  <w:richText/>
                </w:sdtPr>
                <w:sdtContent>
                  <w:r>
                    <w:rPr>
                      <w:b/>
                      <w:szCs w:val="24"/>
                      <w:lang w:eastAsia="lt-LT"/>
                    </w:rPr>
                    <w:t>II</w:t>
                  </w:r>
                </w:sdtContent>
              </w:sdt>
              <w:r>
                <w:rPr>
                  <w:b/>
                  <w:szCs w:val="24"/>
                  <w:lang w:eastAsia="lt-LT"/>
                </w:rPr>
                <w:t xml:space="preserve"> SKYRIUS</w:t>
              </w:r>
            </w:p>
            <w:p>
              <w:pPr>
                <w:ind w:firstLine="62"/>
                <w:jc w:val="center"/>
                <w:rPr>
                  <w:b/>
                  <w:szCs w:val="24"/>
                  <w:lang w:eastAsia="lt-LT"/>
                </w:rPr>
              </w:pPr>
              <w:sdt>
                <w:sdtPr>
                  <w:alias w:val="Pavadinimas"/>
                  <w:tag w:val="title_fb8c4b706c484dc2a4103ec46c3dc4fc"/>
                  <w:lock w:val="sdtLocked"/>
                  <w:richText/>
                </w:sdtPr>
                <w:sdtContent>
                  <w:r>
                    <w:rPr>
                      <w:b/>
                      <w:szCs w:val="24"/>
                      <w:lang w:eastAsia="lt-LT"/>
                    </w:rPr>
                    <w:t xml:space="preserve">GYVŪNŲ VEISĖJŲ IR </w:t>
                  </w:r>
                  <w:r>
                    <w:rPr>
                      <w:b/>
                      <w:bCs/>
                      <w:szCs w:val="24"/>
                      <w:lang w:eastAsia="lt-LT"/>
                    </w:rPr>
                    <w:t xml:space="preserve">GYVŪNŲ LAIKINO APGYVENDINIMO PASLAUGOS TEIKĖJŲ </w:t>
                  </w:r>
                  <w:r>
                    <w:rPr>
                      <w:b/>
                      <w:szCs w:val="24"/>
                      <w:lang w:eastAsia="lt-LT"/>
                    </w:rPr>
                    <w:t>VEIKLOS ATITIKTIES GYVŪNŲ GEROVĖS KRITERIJAMS VERTINIMO TVARKA</w:t>
                  </w:r>
                </w:sdtContent>
              </w:sdt>
            </w:p>
            <w:p>
              <w:pPr>
                <w:ind w:firstLine="709"/>
                <w:jc w:val="both"/>
                <w:rPr>
                  <w:b/>
                  <w:szCs w:val="24"/>
                  <w:lang w:eastAsia="lt-LT"/>
                </w:rPr>
              </w:pPr>
            </w:p>
            <w:sdt>
              <w:sdtPr>
                <w:alias w:val="5 p."/>
                <w:tag w:val="part_97d56d9ad1ae463896f15d4add67cbd8"/>
                <w:lock w:val="sdtLocked"/>
                <w:richText/>
              </w:sdtPr>
              <w:sdtContent>
                <w:p>
                  <w:pPr>
                    <w:ind w:firstLine="709"/>
                    <w:jc w:val="both"/>
                    <w:rPr>
                      <w:szCs w:val="24"/>
                      <w:lang w:eastAsia="lt-LT"/>
                    </w:rPr>
                  </w:pPr>
                  <w:sdt>
                    <w:sdtPr>
                      <w:alias w:val="Numeris"/>
                      <w:tag w:val="nr_97d56d9ad1ae463896f15d4add67cbd8"/>
                      <w:lock w:val="sdtLocked"/>
                      <w:richText/>
                    </w:sdtPr>
                    <w:sdtContent>
                      <w:r>
                        <w:rPr>
                          <w:szCs w:val="24"/>
                          <w:lang w:eastAsia="lt-LT"/>
                        </w:rPr>
                        <w:t>5</w:t>
                      </w:r>
                    </w:sdtContent>
                  </w:sdt>
                  <w:r>
                    <w:rPr>
                      <w:szCs w:val="24"/>
                      <w:lang w:eastAsia="lt-LT"/>
                    </w:rPr>
                    <w:t xml:space="preserve">. Gyvūnų veisėjai ir gyvūnų laikino apgyvendinimo paslaugos teikėjai, siekiantys, kad jų vykdoma veikla būtų įvertinta dėl atitikties gyvūnų gerovės kriterijams, turi kreiptis į VMVT teritorinį padalinį, kurio administruojamojoje teritorijoje vykdo veiklą, ir jam pateikti laisvos formos prašymą dėl veiklos atitikties gyvūnų gerovės kriterijams įvertinimo. </w:t>
                  </w:r>
                </w:p>
              </w:sdtContent>
            </w:sdt>
            <w:sdt>
              <w:sdtPr>
                <w:alias w:val="6 p."/>
                <w:tag w:val="part_52ded99024fd4cf58c6ddbe7c732cba8"/>
                <w:lock w:val="sdtLocked"/>
                <w:richText/>
              </w:sdtPr>
              <w:sdtContent>
                <w:p>
                  <w:pPr>
                    <w:ind w:firstLine="709"/>
                    <w:jc w:val="both"/>
                    <w:rPr>
                      <w:szCs w:val="24"/>
                      <w:lang w:eastAsia="lt-LT"/>
                    </w:rPr>
                  </w:pPr>
                  <w:sdt>
                    <w:sdtPr>
                      <w:alias w:val="Numeris"/>
                      <w:tag w:val="nr_52ded99024fd4cf58c6ddbe7c732cba8"/>
                      <w:lock w:val="sdtLocked"/>
                      <w:richText/>
                    </w:sdtPr>
                    <w:sdtContent>
                      <w:r>
                        <w:rPr>
                          <w:szCs w:val="24"/>
                          <w:lang w:eastAsia="lt-LT"/>
                        </w:rPr>
                        <w:t>6</w:t>
                      </w:r>
                    </w:sdtContent>
                  </w:sdt>
                  <w:r>
                    <w:rPr>
                      <w:szCs w:val="24"/>
                      <w:lang w:eastAsia="lt-LT"/>
                    </w:rPr>
                    <w:t xml:space="preserve">. VMVT teritorinių padalinių pareigūnai, gavę Aprašo 5 punkte nurodytą gyvūnų veisėjo ar gyvūnų laikino apgyvendinimo paslaugos teikėjo prašymą ir nustatę, kad nėra Aprašo 4 punkte nustatytų aplinkybių, gyvūnų veisėjo ar gyvūnų laikino apgyvendinimo paslaugos teikėjo veiklos atitiktį gyvūnų gerovės kriterijams vertina artimiausio jo veiklos planinio ar neplaninio patikrinimo, atliekamo vadovaujantis Ūkio subjektų veiklos patikrinimų taisyklėmis, patvirtintomis Valstybinės maisto ir veterinarijos tarnybos direktoriaus 2015 m. sausio 28 d. įsakymu Nr. B1-59 „Dėl Ūkio subjektų veiklos patikrinimų taisyklių patvirtinimo“, metu. </w:t>
                  </w:r>
                </w:p>
              </w:sdtContent>
            </w:sdt>
            <w:sdt>
              <w:sdtPr>
                <w:alias w:val="7 p."/>
                <w:tag w:val="part_143193aebaf848469a3869469b8e7d89"/>
                <w:lock w:val="sdtLocked"/>
                <w:richText/>
              </w:sdtPr>
              <w:sdtContent>
                <w:p>
                  <w:pPr>
                    <w:ind w:firstLine="709"/>
                    <w:jc w:val="both"/>
                    <w:rPr>
                      <w:szCs w:val="24"/>
                      <w:lang w:eastAsia="lt-LT"/>
                    </w:rPr>
                  </w:pPr>
                  <w:sdt>
                    <w:sdtPr>
                      <w:alias w:val="Numeris"/>
                      <w:tag w:val="nr_143193aebaf848469a3869469b8e7d89"/>
                      <w:lock w:val="sdtLocked"/>
                      <w:richText/>
                    </w:sdtPr>
                    <w:sdtContent>
                      <w:r>
                        <w:rPr>
                          <w:szCs w:val="24"/>
                          <w:lang w:eastAsia="lt-LT"/>
                        </w:rPr>
                        <w:t>7</w:t>
                      </w:r>
                    </w:sdtContent>
                  </w:sdt>
                  <w:r>
                    <w:rPr>
                      <w:szCs w:val="24"/>
                      <w:lang w:eastAsia="lt-LT"/>
                    </w:rPr>
                    <w:t>. Jei VMVT teritorinių padalinių pareigūnai, atlikdami Aprašo 6 punkte nurodytų ūkio subjektų veiklos patikrinimą, nustato, kad gyvūnų veisėjo veikla atitinka Veterinarijos reikalavimus gyvūnų augintinių veisėjams arba kad gyvūnų laikino apgyvendinimo paslaugos teikėjo veikla atitinka Veterinarijos reikalavimus gyvūnų augintinių viešbučiams, įvertina gyvūnų veisėjo arba gyvūnų laikino apgyvendinimo paslaugos teikėjo veiklos atitiktį atitinkamai Aprašo 1 ar 2 priede nurodytiems gyvūnų gerovės kriterijams ir užpildo VMVT direktoriaus įsakymu patvirtintos ar nustatytos formos gyvūnų veisėjo / gyvūnų laikino apgyvendinimo paslaugos teikėjo veiklos atitikties gyvūnų gerovės kriterijams vertinimo aktą, kuris yra neatskiriama ūkio subjekto veiklos patikrinimo akto dalis ir su kuriuo pasirašytinai supažindinamas atitikties gyvūnų gerovės kriterijams vertinime dalyvavęs gyvūnų veisėjo arba gyvūnų laikino apgyvendinimo paslaugos teikėjo atstovas bei kurio skiltyje „Papildoma informacija“ nurodomas vertinimo metu nustatytas gyvūnų gerovės lygis. Jeigu šiame punkte nurodytų ūkio subjektų veiklos patikrinimo metu atitinkamai nustatoma neatitikčių Veterinarijos reikalavimams gyvūnų augintinių veisėjams arba Veterinarijos reikalavimams gyvūnų augintinių viešbučiams, gyvūnų veisėjo ir gyvūnų laikino apgyvendinimo paslaugos teikėjo veiklos atitikties atitinkamai Aprašo 1 ar 2 priede nurodytiems gyvūnų gerovės kriterijams vertinimas nėra atliekamas.</w:t>
                  </w:r>
                </w:p>
              </w:sdtContent>
            </w:sdt>
            <w:sdt>
              <w:sdtPr>
                <w:alias w:val="8 p."/>
                <w:tag w:val="part_87ceb823f8c54d129b6b40f6c5d3119b"/>
                <w:lock w:val="sdtLocked"/>
                <w:richText/>
              </w:sdtPr>
              <w:sdtContent>
                <w:p>
                  <w:pPr>
                    <w:ind w:firstLine="709"/>
                    <w:jc w:val="both"/>
                    <w:rPr>
                      <w:szCs w:val="24"/>
                      <w:lang w:eastAsia="lt-LT"/>
                    </w:rPr>
                  </w:pPr>
                  <w:sdt>
                    <w:sdtPr>
                      <w:alias w:val="Numeris"/>
                      <w:tag w:val="nr_87ceb823f8c54d129b6b40f6c5d3119b"/>
                      <w:lock w:val="sdtLocked"/>
                      <w:richText/>
                    </w:sdtPr>
                    <w:sdtContent>
                      <w:r>
                        <w:rPr>
                          <w:szCs w:val="24"/>
                          <w:lang w:eastAsia="lt-LT"/>
                        </w:rPr>
                        <w:t>8</w:t>
                      </w:r>
                    </w:sdtContent>
                  </w:sdt>
                  <w:r>
                    <w:rPr>
                      <w:szCs w:val="24"/>
                      <w:lang w:eastAsia="lt-LT"/>
                    </w:rPr>
                    <w:t>. Atliekant gyvūnų veisėjo ir gyvūnų laikino apgyvendinimo paslaugos teikėjo veiklos atitikties gyvūnų gerovės kriterijams vertinimą, naudojama dviejų gyvūnų gerovės lygių – aukštesniojo ir aukščiausiojo vertinimo skalė. Nustatytas aukštesnysis gyvūnų gerovės lygis žymimas viena žvaigždute, o aukščiausiasis – dviem žvaigždutėmis (Aprašo 3 priedas).</w:t>
                  </w:r>
                </w:p>
              </w:sdtContent>
            </w:sdt>
            <w:sdt>
              <w:sdtPr>
                <w:alias w:val="9 p."/>
                <w:tag w:val="part_afef65dd7218423cb2e3aedfc1784a89"/>
                <w:lock w:val="sdtLocked"/>
                <w:richText/>
              </w:sdtPr>
              <w:sdtContent>
                <w:p>
                  <w:pPr>
                    <w:ind w:firstLine="709"/>
                    <w:jc w:val="both"/>
                    <w:rPr>
                      <w:szCs w:val="24"/>
                      <w:lang w:eastAsia="lt-LT"/>
                    </w:rPr>
                  </w:pPr>
                  <w:sdt>
                    <w:sdtPr>
                      <w:alias w:val="Numeris"/>
                      <w:tag w:val="nr_afef65dd7218423cb2e3aedfc1784a89"/>
                      <w:lock w:val="sdtLocked"/>
                      <w:richText/>
                    </w:sdtPr>
                    <w:sdtContent>
                      <w:r>
                        <w:rPr>
                          <w:szCs w:val="24"/>
                          <w:lang w:eastAsia="lt-LT"/>
                        </w:rPr>
                        <w:t>9</w:t>
                      </w:r>
                    </w:sdtContent>
                  </w:sdt>
                  <w:r>
                    <w:rPr>
                      <w:szCs w:val="24"/>
                      <w:lang w:eastAsia="lt-LT"/>
                    </w:rPr>
                    <w:t xml:space="preserve">. Atitinkamas gyvūnų gerovės lygis gyvūnų veisėjui ar gyvūnų laikino apgyvendinimo paslaugos teikėjui  patvirtinamas VMVT teritorinio padalinio vadovo įsakymu, jeigu Aprašo 7 punkte nustatyto patikrinimo metu gyvūnų veisėjo arba gyvūnų laikino apgyvendinimo paslaugos teikėjo veikla atitinka atitinkamai visus Aprašo 1 ar 2 priede nurodytus gyvūnų gerovės kriterijus. Jeigu gyvūnų veisėjo arba gyvūnų laikino apgyvendinimo paslaugos teikėjo veikla atitinka tik dalį aukštesniojo gyvūnų gerovės lygio kriterijų, gyvūnų gerovės lygis gyvūnų veisėjui ar gyvūnų laikino apgyvendinimo paslaugos teikėjui nėra patvirtinamas. </w:t>
                  </w:r>
                </w:p>
              </w:sdtContent>
            </w:sdt>
            <w:sdt>
              <w:sdtPr>
                <w:alias w:val="10 p."/>
                <w:tag w:val="part_a3195902d2db440d8ad34c55f11be9eb"/>
                <w:lock w:val="sdtLocked"/>
                <w:richText/>
              </w:sdtPr>
              <w:sdtContent>
                <w:p>
                  <w:pPr>
                    <w:ind w:firstLine="709"/>
                    <w:jc w:val="both"/>
                    <w:rPr>
                      <w:szCs w:val="24"/>
                      <w:lang w:eastAsia="lt-LT"/>
                    </w:rPr>
                  </w:pPr>
                  <w:sdt>
                    <w:sdtPr>
                      <w:alias w:val="Numeris"/>
                      <w:tag w:val="nr_a3195902d2db440d8ad34c55f11be9eb"/>
                      <w:lock w:val="sdtLocked"/>
                      <w:richText/>
                    </w:sdtPr>
                    <w:sdtContent>
                      <w:r>
                        <w:rPr>
                          <w:szCs w:val="24"/>
                          <w:lang w:eastAsia="lt-LT"/>
                        </w:rPr>
                        <w:t>10</w:t>
                      </w:r>
                    </w:sdtContent>
                  </w:sdt>
                  <w:r>
                    <w:rPr>
                      <w:szCs w:val="24"/>
                      <w:lang w:eastAsia="lt-LT"/>
                    </w:rPr>
                    <w:t xml:space="preserve">. VMVT teritorinio padalinio gyvūnų veisėjui ar gyvūnų laikino apgyvendinimo paslaugos teikėjui patvirtintas aukščiausiasis gyvūnų gerovės lygis pakeičiamas į aukštesnįjį, atlikus kitą gyvūnų veisėjo ar gyvūnų laikino apgyvendinimo paslaugos teikėjo veiklos patikrinimą ir atitikties gyvūnų gerovės kriterijams vertinimą ir nustačius, kad gyvūnų veisėjo ar gyvūnų laikino apgyvendinimo paslaugos teikėjo veikla atitinka atitinkamai Veterinarijos reikalavimus gyvūnų augintinių veisėjams ar Veterinarijos reikalavimus gyvūnų augintinių viešbučiams, tačiau neatitinka patvirtinto aukščiausiojo gyvūnų gerovės lygio. </w:t>
                  </w:r>
                </w:p>
              </w:sdtContent>
            </w:sdt>
            <w:sdt>
              <w:sdtPr>
                <w:alias w:val="11 p."/>
                <w:tag w:val="part_b23c31a76ef24e89ac5e3c15d0098407"/>
                <w:lock w:val="sdtLocked"/>
                <w:richText/>
              </w:sdtPr>
              <w:sdtContent>
                <w:p>
                  <w:pPr>
                    <w:ind w:firstLine="709"/>
                    <w:jc w:val="both"/>
                    <w:rPr>
                      <w:szCs w:val="24"/>
                      <w:lang w:eastAsia="lt-LT"/>
                    </w:rPr>
                  </w:pPr>
                  <w:sdt>
                    <w:sdtPr>
                      <w:alias w:val="Numeris"/>
                      <w:tag w:val="nr_b23c31a76ef24e89ac5e3c15d0098407"/>
                      <w:lock w:val="sdtLocked"/>
                      <w:richText/>
                    </w:sdtPr>
                    <w:sdtContent>
                      <w:r>
                        <w:rPr>
                          <w:szCs w:val="24"/>
                          <w:lang w:eastAsia="lt-LT"/>
                        </w:rPr>
                        <w:t>11</w:t>
                      </w:r>
                    </w:sdtContent>
                  </w:sdt>
                  <w:r>
                    <w:rPr>
                      <w:szCs w:val="24"/>
                      <w:lang w:eastAsia="lt-LT"/>
                    </w:rPr>
                    <w:t>. VMVT teritorinio padalinio vadovo įsakymu gyvūnų veisėjui ar gyvūnų laikino apgyvendinimo paslaugos teikėjui patvirtintas aukščiausiasis arba aukštesnysis gyvūnų gerovės lygis panaikinamas, jeigu atlikus gyvūnų veisėjo ar gyvūnų laikino apgyvendinimo paslaugos teikėjo veiklos patikrinimą nustatoma, kad gyvūnų veisėjo ar gyvūnų laikino apgyvendinimo paslaugos teikėjo veikla neatitinka atitinkamai Veterinarijos reikalavimų gyvūnų augintinių veisėjams ar Veterinarijos reikalavimų gyvūnų augintinių viešbučiams.</w:t>
                  </w:r>
                </w:p>
              </w:sdtContent>
            </w:sdt>
            <w:sdt>
              <w:sdtPr>
                <w:alias w:val="12 p."/>
                <w:tag w:val="part_4c54459d665b4697b8348c657f156238"/>
                <w:lock w:val="sdtLocked"/>
                <w:richText/>
              </w:sdtPr>
              <w:sdtContent>
                <w:p>
                  <w:pPr>
                    <w:ind w:firstLine="709"/>
                    <w:jc w:val="both"/>
                    <w:rPr>
                      <w:szCs w:val="24"/>
                      <w:lang w:eastAsia="lt-LT"/>
                    </w:rPr>
                  </w:pPr>
                  <w:sdt>
                    <w:sdtPr>
                      <w:alias w:val="Numeris"/>
                      <w:tag w:val="nr_4c54459d665b4697b8348c657f156238"/>
                      <w:lock w:val="sdtLocked"/>
                      <w:richText/>
                    </w:sdtPr>
                    <w:sdtContent>
                      <w:r>
                        <w:rPr>
                          <w:szCs w:val="24"/>
                          <w:lang w:eastAsia="lt-LT"/>
                        </w:rPr>
                        <w:t>12</w:t>
                      </w:r>
                    </w:sdtContent>
                  </w:sdt>
                  <w:r>
                    <w:rPr>
                      <w:szCs w:val="24"/>
                      <w:lang w:eastAsia="lt-LT"/>
                    </w:rPr>
                    <w:t>. VMVT teritorinio padalinio gyvūnų veisėjui ar gyvūnų laikino apgyvendinimo paslaugos teikėjui patvirtintas aukštesnysis gyvūnų gerovės lygis pakeičiamas į aukščiausiąjį, atlikus kitą gyvūnų veisėjo ar gyvūnų laikino apgyvendinimo paslaugos teikėjo veiklos patikrinimą ir atitikties gyvūnų gerovės kriterijams vertinimą ir nustačius, kad gyvūnų veisėjo ar gyvūnų laikino apgyvendinimo paslaugos teikėjo vykdoma veikla atitinka atitinkamai Veterinarijos reikalavimus gyvūnų augintinių veisėjams ar Veterinarijos reikalavimus gyvūnų augintinių viešbučiams ir aukščiausiojo gyvūnų gerovės lygio kriterijus.</w:t>
                  </w:r>
                </w:p>
              </w:sdtContent>
            </w:sdt>
            <w:sdt>
              <w:sdtPr>
                <w:alias w:val="13 p."/>
                <w:tag w:val="part_d6897eadb3df464dad5f08289d1898f7"/>
                <w:lock w:val="sdtLocked"/>
                <w:richText/>
              </w:sdtPr>
              <w:sdtContent>
                <w:p>
                  <w:pPr>
                    <w:ind w:firstLine="709"/>
                    <w:jc w:val="both"/>
                    <w:rPr>
                      <w:szCs w:val="24"/>
                      <w:lang w:eastAsia="lt-LT"/>
                    </w:rPr>
                  </w:pPr>
                  <w:sdt>
                    <w:sdtPr>
                      <w:alias w:val="Numeris"/>
                      <w:tag w:val="nr_d6897eadb3df464dad5f08289d1898f7"/>
                      <w:lock w:val="sdtLocked"/>
                      <w:richText/>
                    </w:sdtPr>
                    <w:sdtContent>
                      <w:r>
                        <w:rPr>
                          <w:szCs w:val="24"/>
                          <w:lang w:eastAsia="lt-LT"/>
                        </w:rPr>
                        <w:t>13</w:t>
                      </w:r>
                    </w:sdtContent>
                  </w:sdt>
                  <w:r>
                    <w:rPr>
                      <w:szCs w:val="24"/>
                      <w:lang w:eastAsia="lt-LT"/>
                    </w:rPr>
                    <w:t>. Jeigu gyvūnų veisėjas ar gyvūnų laikino apgyvendinimo paslaugos teikėjas vykdo veiklą ne vienoje veiklos vietoje, gyvūnų veisėjo ar gyvūnų laikino apgyvendinimo paslaugos teikėjo kiekvienos veiklos vietos atitikties gyvūnų gerovės kriterijams vertinimas atliekamas ir kiekvienai veiklos vietai gyvūnų gerovės lygis patvirtinamas atskirai.</w:t>
                  </w:r>
                </w:p>
              </w:sdtContent>
            </w:sdt>
            <w:sdt>
              <w:sdtPr>
                <w:alias w:val="14 p."/>
                <w:tag w:val="part_27a814e3d88d4a089d496bf2a6f197c9"/>
                <w:lock w:val="sdtLocked"/>
                <w:richText/>
              </w:sdtPr>
              <w:sdtContent>
                <w:p>
                  <w:pPr>
                    <w:ind w:firstLine="709"/>
                    <w:jc w:val="both"/>
                    <w:rPr>
                      <w:szCs w:val="24"/>
                      <w:lang w:eastAsia="lt-LT"/>
                    </w:rPr>
                  </w:pPr>
                  <w:sdt>
                    <w:sdtPr>
                      <w:alias w:val="Numeris"/>
                      <w:tag w:val="nr_27a814e3d88d4a089d496bf2a6f197c9"/>
                      <w:lock w:val="sdtLocked"/>
                      <w:richText/>
                    </w:sdtPr>
                    <w:sdtContent>
                      <w:r>
                        <w:rPr>
                          <w:szCs w:val="24"/>
                          <w:lang w:eastAsia="lt-LT"/>
                        </w:rPr>
                        <w:t>14</w:t>
                      </w:r>
                    </w:sdtContent>
                  </w:sdt>
                  <w:r>
                    <w:rPr>
                      <w:szCs w:val="24"/>
                      <w:lang w:eastAsia="lt-LT"/>
                    </w:rPr>
                    <w:t xml:space="preserve">. VMVT teritoriniai padaliniai, priėmę VMVT teritorinio padalinio vadovo įsakymą dėl gyvūnų veisėjo ar gyvūnų laikino apgyvendinimo paslaugos teikėjo veiklos atitikties gyvūnų gerovės kriterijams, gyvūnų veisėjui ar gyvūnų laikino apgyvendinimo paslaugos teikėjui išduoda </w:t>
                  </w:r>
                  <w:r>
                    <w:rPr>
                      <w:bCs/>
                      <w:szCs w:val="24"/>
                      <w:lang w:eastAsia="lt-LT"/>
                    </w:rPr>
                    <w:t>Gyvūnų gerovės įvertinimo ženklą</w:t>
                  </w:r>
                  <w:r>
                    <w:rPr>
                      <w:szCs w:val="24"/>
                      <w:lang w:eastAsia="lt-LT"/>
                    </w:rPr>
                    <w:t xml:space="preserve"> (atitinkamą lipduką), kurio formos pavyzdys nustatytas Aprašo 3 priede. Gyvūnų gerovės įvertinimo ženklas gali būti naudojamas gyvūnų veisėjo ar gyvūnų laikino apgyvendinimo paslaugos teikėjo veiklos vietoje, kurios atitiktis gyvūnų gerovės kriterijams buvo įvertinta. Jeigu gyvūnų veisėjas ar gyvūnų laikino apgyvendinimo paslaugos teikėjas Gyvūnų gerovės įvertinimo ženklą naudoja skelbdamas informaciją internete ar kitoje viešojoje erdvėje, jis privalo skelbime nurodyti tą savo veiklos vietą, kuri įvertinta kaip atitinkanti Aprašo 1 ar 2 priede nurodytus atitinkamus gyvūnų gerovės kriterijus.</w:t>
                  </w:r>
                </w:p>
              </w:sdtContent>
            </w:sdt>
            <w:sdt>
              <w:sdtPr>
                <w:alias w:val="15 p."/>
                <w:tag w:val="part_1246ef7574c34b369791ff69d9496ea1"/>
                <w:lock w:val="sdtLocked"/>
                <w:richText/>
              </w:sdtPr>
              <w:sdtContent>
                <w:p>
                  <w:pPr>
                    <w:ind w:firstLine="709"/>
                    <w:jc w:val="both"/>
                    <w:rPr>
                      <w:szCs w:val="24"/>
                      <w:lang w:eastAsia="lt-LT"/>
                    </w:rPr>
                  </w:pPr>
                  <w:sdt>
                    <w:sdtPr>
                      <w:alias w:val="Numeris"/>
                      <w:tag w:val="nr_1246ef7574c34b369791ff69d9496ea1"/>
                      <w:lock w:val="sdtLocked"/>
                      <w:richText/>
                    </w:sdtPr>
                    <w:sdtContent>
                      <w:r>
                        <w:rPr>
                          <w:szCs w:val="24"/>
                          <w:lang w:eastAsia="lt-LT"/>
                        </w:rPr>
                        <w:t>15</w:t>
                      </w:r>
                    </w:sdtContent>
                  </w:sdt>
                  <w:r>
                    <w:rPr>
                      <w:szCs w:val="24"/>
                      <w:lang w:eastAsia="lt-LT"/>
                    </w:rPr>
                    <w:t>. Gyvūnų veisėjas ar gyvūnų laikino apgyvendinimo paslaugos teikėjas gali kreiptis į VMVT teritorinį padalinį su prašymu panaikinti patvirtintą gyvūnų gerovės lygį.</w:t>
                  </w:r>
                </w:p>
              </w:sdtContent>
            </w:sdt>
            <w:sdt>
              <w:sdtPr>
                <w:alias w:val="16 p."/>
                <w:tag w:val="part_6dde343e407843568a941e89793d79b2"/>
                <w:lock w:val="sdtLocked"/>
                <w:richText/>
              </w:sdtPr>
              <w:sdtContent>
                <w:p>
                  <w:pPr>
                    <w:ind w:firstLine="709"/>
                    <w:jc w:val="both"/>
                    <w:rPr>
                      <w:szCs w:val="24"/>
                      <w:lang w:eastAsia="lt-LT"/>
                    </w:rPr>
                  </w:pPr>
                  <w:sdt>
                    <w:sdtPr>
                      <w:alias w:val="Numeris"/>
                      <w:tag w:val="nr_6dde343e407843568a941e89793d79b2"/>
                      <w:lock w:val="sdtLocked"/>
                      <w:richText/>
                    </w:sdtPr>
                    <w:sdtContent>
                      <w:r>
                        <w:rPr>
                          <w:szCs w:val="24"/>
                          <w:lang w:eastAsia="lt-LT"/>
                        </w:rPr>
                        <w:t>16</w:t>
                      </w:r>
                    </w:sdtContent>
                  </w:sdt>
                  <w:r>
                    <w:rPr>
                      <w:szCs w:val="24"/>
                      <w:lang w:eastAsia="lt-LT"/>
                    </w:rPr>
                    <w:t>.</w:t>
                  </w:r>
                  <w:r>
                    <w:rPr>
                      <w:rFonts w:eastAsia="Arial"/>
                      <w:szCs w:val="24"/>
                      <w:lang w:val="lt" w:eastAsia="lt-LT"/>
                    </w:rPr>
                    <w:t xml:space="preserve"> </w:t>
                  </w:r>
                  <w:r>
                    <w:rPr>
                      <w:szCs w:val="24"/>
                      <w:lang w:eastAsia="lt-LT"/>
                    </w:rPr>
                    <w:t>Jeigu gyvūnų veisėjas ar gyvūnų laikino apgyvendinimo paslaugos teikėjas nesutinka su jo veiklos atitikties gyvūnų gerovės kriterijams vertinimo metu nustatytu gyvūnų gerovės lygiu, jis ne vėliau kaip per 14 kalendorinių dienų nuo atlikto vertinimo pateikia vertinimą atlikusiam VMVT teritoriniam padaliniui pretenziją dėl nustatyto gyvūnų gerovės lygio, nurodydamas nesutikimo su sprendimu motyvus. VMVT teritorinis padalinys gautą iš gyvūnų veisėjo ar gyvūnų laikino apgyvendinimo paslaugos teikėjo pretenziją nagrinėja Lietuvos Respublikos viešojo administravimo įstatymo nustatyta bendrąja prašymų nagrinėjimo tvarka.</w:t>
                  </w:r>
                </w:p>
                <w:p>
                  <w:pPr>
                    <w:ind w:firstLine="709"/>
                    <w:jc w:val="both"/>
                    <w:rPr>
                      <w:color w:val="000000"/>
                      <w:szCs w:val="24"/>
                      <w:lang w:eastAsia="lt-LT"/>
                    </w:rPr>
                  </w:pPr>
                </w:p>
              </w:sdtContent>
            </w:sdt>
          </w:sdtContent>
        </w:sdt>
        <w:sdt>
          <w:sdtPr>
            <w:alias w:val="skyrius"/>
            <w:tag w:val="part_721d8aadd4344d42a1f173e8f7473bab"/>
            <w:lock w:val="sdtLocked"/>
            <w:richText/>
          </w:sdtPr>
          <w:sdtContent>
            <w:p>
              <w:pPr>
                <w:ind w:firstLine="709"/>
                <w:jc w:val="center"/>
                <w:rPr>
                  <w:b/>
                  <w:szCs w:val="24"/>
                  <w:lang w:eastAsia="lt-LT"/>
                </w:rPr>
              </w:pPr>
              <w:sdt>
                <w:sdtPr>
                  <w:alias w:val="Numeris"/>
                  <w:tag w:val="nr_721d8aadd4344d42a1f173e8f7473bab"/>
                  <w:lock w:val="sdtLocked"/>
                  <w:richText/>
                </w:sdtPr>
                <w:sdtContent>
                  <w:r>
                    <w:rPr>
                      <w:b/>
                      <w:szCs w:val="24"/>
                      <w:lang w:eastAsia="lt-LT"/>
                    </w:rPr>
                    <w:t>III</w:t>
                  </w:r>
                </w:sdtContent>
              </w:sdt>
              <w:r>
                <w:rPr>
                  <w:b/>
                  <w:szCs w:val="24"/>
                  <w:lang w:eastAsia="lt-LT"/>
                </w:rPr>
                <w:t xml:space="preserve"> SKYRIUS</w:t>
              </w:r>
            </w:p>
            <w:p>
              <w:pPr>
                <w:ind w:firstLine="771"/>
                <w:jc w:val="center"/>
                <w:rPr>
                  <w:b/>
                  <w:szCs w:val="24"/>
                  <w:lang w:eastAsia="lt-LT"/>
                </w:rPr>
              </w:pPr>
              <w:sdt>
                <w:sdtPr>
                  <w:alias w:val="Pavadinimas"/>
                  <w:tag w:val="title_721d8aadd4344d42a1f173e8f7473bab"/>
                  <w:lock w:val="sdtLocked"/>
                  <w:richText/>
                </w:sdtPr>
                <w:sdtContent>
                  <w:r>
                    <w:rPr>
                      <w:b/>
                      <w:szCs w:val="24"/>
                      <w:lang w:eastAsia="lt-LT"/>
                    </w:rPr>
                    <w:t>BAIGIAMOSIOS NUOSTATOS</w:t>
                  </w:r>
                </w:sdtContent>
              </w:sdt>
            </w:p>
            <w:p>
              <w:pPr>
                <w:ind w:firstLine="709"/>
                <w:jc w:val="both"/>
                <w:rPr>
                  <w:b/>
                  <w:szCs w:val="24"/>
                  <w:lang w:eastAsia="lt-LT"/>
                </w:rPr>
              </w:pPr>
            </w:p>
            <w:sdt>
              <w:sdtPr>
                <w:alias w:val="17 p."/>
                <w:tag w:val="part_66f23182735d40f7a2d05b1635f09219"/>
                <w:lock w:val="sdtLocked"/>
                <w:richText/>
              </w:sdtPr>
              <w:sdtContent>
                <w:p>
                  <w:pPr>
                    <w:ind w:firstLine="709"/>
                    <w:jc w:val="both"/>
                    <w:rPr>
                      <w:szCs w:val="24"/>
                      <w:lang w:eastAsia="lt-LT"/>
                    </w:rPr>
                  </w:pPr>
                  <w:sdt>
                    <w:sdtPr>
                      <w:alias w:val="Numeris"/>
                      <w:tag w:val="nr_66f23182735d40f7a2d05b1635f09219"/>
                      <w:lock w:val="sdtLocked"/>
                      <w:richText/>
                    </w:sdtPr>
                    <w:sdtContent>
                      <w:r>
                        <w:rPr>
                          <w:szCs w:val="24"/>
                          <w:lang w:eastAsia="lt-LT"/>
                        </w:rPr>
                        <w:t>17</w:t>
                      </w:r>
                    </w:sdtContent>
                  </w:sdt>
                  <w:r>
                    <w:rPr>
                      <w:szCs w:val="24"/>
                      <w:lang w:eastAsia="lt-LT"/>
                    </w:rPr>
                    <w:t xml:space="preserve">. Gyvūnų veisėjai ir gyvūnų laikino apgyvendinimo paslaugos teikėjai į VMVT teritorinį padalinį </w:t>
                  </w:r>
                  <w:r>
                    <w:rPr>
                      <w:rFonts w:eastAsia="Arial"/>
                      <w:szCs w:val="24"/>
                      <w:lang w:val="lt" w:eastAsia="lt-LT"/>
                    </w:rPr>
                    <w:t xml:space="preserve">gali kreiptis tiesiogiai, per atstumą arba per Paslaugų ir gaminių kontaktinį centrą ir atitinkamame prašyme nurodyti, kokiu būdu jie norėtų gauti atsakymą. </w:t>
                  </w:r>
                </w:p>
              </w:sdtContent>
            </w:sdt>
            <w:sdt>
              <w:sdtPr>
                <w:alias w:val="18 p."/>
                <w:tag w:val="part_453e1886963e4be487019f5b55337cd1"/>
                <w:lock w:val="sdtLocked"/>
                <w:richText/>
              </w:sdtPr>
              <w:sdtContent>
                <w:p>
                  <w:pPr>
                    <w:ind w:firstLine="709"/>
                    <w:jc w:val="both"/>
                    <w:rPr>
                      <w:szCs w:val="24"/>
                      <w:lang w:eastAsia="lt-LT"/>
                    </w:rPr>
                  </w:pPr>
                  <w:sdt>
                    <w:sdtPr>
                      <w:alias w:val="Numeris"/>
                      <w:tag w:val="nr_453e1886963e4be487019f5b55337cd1"/>
                      <w:lock w:val="sdtLocked"/>
                      <w:richText/>
                    </w:sdtPr>
                    <w:sdtContent>
                      <w:r>
                        <w:rPr>
                          <w:szCs w:val="24"/>
                          <w:lang w:eastAsia="lt-LT"/>
                        </w:rPr>
                        <w:t>18</w:t>
                      </w:r>
                    </w:sdtContent>
                  </w:sdt>
                  <w:r>
                    <w:rPr>
                      <w:szCs w:val="24"/>
                      <w:lang w:eastAsia="lt-LT"/>
                    </w:rPr>
                    <w:t>. VMVT teritorinių padalinių priimti sprendimai dėl gyvūnų gerovės lygio gali būti skundžiami Viešojo administravimo įstatymo nustatyta tvarka.</w:t>
                  </w:r>
                </w:p>
                <w:p>
                  <w:pPr>
                    <w:ind w:firstLine="709"/>
                    <w:jc w:val="both"/>
                    <w:rPr>
                      <w:szCs w:val="24"/>
                      <w:lang w:eastAsia="lt-LT"/>
                    </w:rPr>
                  </w:pPr>
                </w:p>
                <w:p>
                  <w:pPr>
                    <w:ind w:firstLine="709"/>
                    <w:jc w:val="center"/>
                    <w:rPr>
                      <w:szCs w:val="24"/>
                      <w:lang w:eastAsia="lt-LT"/>
                    </w:rPr>
                  </w:pPr>
                  <w:r>
                    <w:rPr>
                      <w:szCs w:val="24"/>
                      <w:lang w:eastAsia="lt-LT"/>
                    </w:rPr>
                    <w:t>_____________________</w:t>
                  </w:r>
                </w:p>
                <w:p>
                  <w:pPr>
                    <w:jc w:val="both"/>
                    <w:rPr>
                      <w:szCs w:val="24"/>
                      <w:lang w:eastAsia="lt-LT"/>
                    </w:rPr>
                  </w:pPr>
                </w:p>
                <w:p>
                  <w:pPr>
                    <w:spacing w:line="276" w:lineRule="auto"/>
                    <w:jc w:val="both"/>
                    <w:rPr>
                      <w:szCs w:val="24"/>
                      <w:lang w:eastAsia="lt-LT"/>
                    </w:rPr>
                    <w:sectPr>
                      <w:pgSz w:w="11909" w:h="16834"/>
                      <w:pgMar w:top="1134" w:right="567" w:bottom="1134" w:left="1701" w:header="720" w:footer="720" w:gutter="0"/>
                      <w:pgNumType w:start="1"/>
                      <w:cols w:space="1296"/>
                      <w:titlePg/>
                      <w:docGrid w:linePitch="299"/>
                    </w:sectPr>
                  </w:pPr>
                </w:p>
                <w:p>
                  <w:pPr>
                    <w:tabs>
                      <w:tab w:val="center" w:pos="4819"/>
                      <w:tab w:val="right" w:pos="9638"/>
                    </w:tabs>
                    <w:rPr>
                      <w:rFonts w:ascii="Arial" w:eastAsia="Arial" w:hAnsi="Arial" w:cs="Arial"/>
                      <w:sz w:val="22"/>
                      <w:szCs w:val="22"/>
                      <w:lang w:val="lt" w:eastAsia="lt-LT"/>
                    </w:rPr>
                  </w:pPr>
                </w:p>
                <w:p>
                  <w:pPr>
                    <w:rPr>
                      <w:szCs w:val="24"/>
                      <w:lang w:eastAsia="lt-LT"/>
                    </w:rPr>
                  </w:pPr>
                </w:p>
              </w:sdtContent>
            </w:sdt>
          </w:sdtContent>
        </w:sdt>
      </w:sdtContent>
    </w:sdt>
    <w:sdt>
      <w:sdtPr>
        <w:alias w:val="1 pr."/>
        <w:tag w:val="part_f2578092bc4d4c4794d616a1e457242e"/>
        <w:lock w:val="sdtLocked"/>
        <w:richText/>
      </w:sdtPr>
      <w:sdtContent>
        <w:p>
          <w:pPr>
            <w:ind w:left="8640"/>
            <w:rPr>
              <w:szCs w:val="24"/>
              <w:lang w:eastAsia="lt-LT"/>
            </w:rPr>
          </w:pPr>
          <w:r>
            <w:rPr>
              <w:szCs w:val="24"/>
              <w:lang w:eastAsia="lt-LT"/>
            </w:rPr>
            <w:t>Gyvūnų augintinių veisėjų ir gyvūnų augintinių laikino apgyvendinimo paslaugos teikėjų veiklos atitikties gyvūnų gerovės kriterijams vertinimo tvarkos aprašo</w:t>
          </w:r>
        </w:p>
        <w:p>
          <w:pPr>
            <w:ind w:left="8640"/>
            <w:rPr>
              <w:szCs w:val="24"/>
              <w:lang w:eastAsia="lt-LT"/>
            </w:rPr>
          </w:pPr>
          <w:sdt>
            <w:sdtPr>
              <w:alias w:val="Numeris"/>
              <w:tag w:val="nr_f2578092bc4d4c4794d616a1e457242e"/>
              <w:lock w:val="sdtLocked"/>
              <w:richText/>
            </w:sdtPr>
            <w:sdtContent>
              <w:r>
                <w:rPr>
                  <w:szCs w:val="24"/>
                  <w:lang w:eastAsia="lt-LT"/>
                </w:rPr>
                <w:t>1</w:t>
              </w:r>
            </w:sdtContent>
          </w:sdt>
          <w:r>
            <w:rPr>
              <w:szCs w:val="24"/>
              <w:lang w:eastAsia="lt-LT"/>
            </w:rPr>
            <w:t xml:space="preserve"> priedas</w:t>
          </w:r>
        </w:p>
        <w:p>
          <w:pPr>
            <w:rPr>
              <w:szCs w:val="24"/>
              <w:lang w:eastAsia="lt-LT"/>
            </w:rPr>
          </w:pPr>
        </w:p>
        <w:p>
          <w:pPr>
            <w:rPr>
              <w:sz w:val="14"/>
              <w:szCs w:val="14"/>
            </w:rPr>
          </w:pPr>
        </w:p>
        <w:p>
          <w:pPr>
            <w:ind w:left="1134"/>
            <w:jc w:val="center"/>
            <w:rPr>
              <w:b/>
              <w:szCs w:val="24"/>
              <w:lang w:eastAsia="lt-LT"/>
            </w:rPr>
          </w:pPr>
          <w:sdt>
            <w:sdtPr>
              <w:alias w:val="Pavadinimas"/>
              <w:tag w:val="title_f2578092bc4d4c4794d616a1e457242e"/>
              <w:lock w:val="sdtLocked"/>
              <w:richText/>
            </w:sdtPr>
            <w:sdtContent>
              <w:r>
                <w:rPr>
                  <w:b/>
                  <w:szCs w:val="24"/>
                  <w:lang w:eastAsia="lt-LT"/>
                </w:rPr>
                <w:t>GYVŪNŲ AUGINTINIŲ VEISĖJŲ VEIKLOS ATITIKTIES GYVŪNŲ GEROVĖS KRITERIJAMS VERTINIMAS</w:t>
              </w:r>
            </w:sdtContent>
          </w:sdt>
        </w:p>
        <w:p>
          <w:pPr>
            <w:rPr>
              <w:sz w:val="14"/>
              <w:szCs w:val="14"/>
            </w:rPr>
          </w:pPr>
        </w:p>
        <w:p>
          <w:pPr>
            <w:ind w:left="1134"/>
            <w:jc w:val="center"/>
            <w:rPr>
              <w:b/>
              <w:szCs w:val="24"/>
              <w:lang w:eastAsia="lt-LT"/>
            </w:rPr>
          </w:pPr>
        </w:p>
        <w:p>
          <w:pPr>
            <w:rPr>
              <w:sz w:val="14"/>
              <w:szCs w:val="14"/>
            </w:rPr>
          </w:pPr>
        </w:p>
        <w:p>
          <w:pPr>
            <w:jc w:val="right"/>
            <w:rPr>
              <w:rFonts w:eastAsia="Arial"/>
              <w:szCs w:val="24"/>
              <w:lang w:eastAsia="lt-LT"/>
            </w:rPr>
          </w:pPr>
        </w:p>
        <w:p>
          <w:pPr>
            <w:rPr>
              <w:sz w:val="14"/>
              <w:szCs w:val="14"/>
            </w:rPr>
          </w:pPr>
        </w:p>
        <w:tbl>
          <w:tblPr>
            <w:tblW w:w="151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38"/>
            <w:gridCol w:w="2700"/>
            <w:gridCol w:w="5850"/>
            <w:gridCol w:w="5850"/>
          </w:tblGrid>
          <w:tr>
            <w:trPr>
              <w:trHeight w:val="255"/>
            </w:trPr>
            <w:tc>
              <w:tcPr>
                <w:tcW w:w="738" w:type="dxa"/>
                <w:vMerge w:val="restart"/>
                <w:tcBorders>
                  <w:top w:val="single" w:sz="4" w:space="0" w:color="auto"/>
                  <w:left w:val="single" w:sz="4" w:space="0" w:color="auto"/>
                  <w:right w:val="single" w:sz="4" w:space="0" w:color="auto"/>
                </w:tcBorders>
              </w:tcPr>
              <w:p>
                <w:pPr>
                  <w:jc w:val="center"/>
                  <w:rPr>
                    <w:rFonts w:eastAsia="Arial"/>
                    <w:b/>
                    <w:bCs/>
                    <w:szCs w:val="24"/>
                  </w:rPr>
                </w:pPr>
                <w:r>
                  <w:rPr>
                    <w:rFonts w:eastAsia="Arial"/>
                    <w:b/>
                    <w:bCs/>
                    <w:szCs w:val="24"/>
                  </w:rPr>
                  <w:t>NR.</w:t>
                </w:r>
              </w:p>
            </w:tc>
            <w:tc>
              <w:tcPr>
                <w:tcW w:w="2700" w:type="dxa"/>
                <w:vMerge w:val="restart"/>
                <w:tcBorders>
                  <w:top w:val="single" w:sz="4" w:space="0" w:color="auto"/>
                  <w:left w:val="single" w:sz="4" w:space="0" w:color="auto"/>
                  <w:bottom w:val="single" w:sz="4" w:space="0" w:color="auto"/>
                  <w:right w:val="single" w:sz="4" w:space="0" w:color="auto"/>
                </w:tcBorders>
              </w:tcPr>
              <w:p>
                <w:pPr>
                  <w:jc w:val="center"/>
                  <w:rPr>
                    <w:rFonts w:eastAsia="Arial"/>
                    <w:b/>
                    <w:bCs/>
                    <w:szCs w:val="24"/>
                  </w:rPr>
                </w:pPr>
                <w:r>
                  <w:rPr>
                    <w:rFonts w:eastAsia="Arial"/>
                    <w:b/>
                    <w:bCs/>
                    <w:szCs w:val="24"/>
                  </w:rPr>
                  <w:t>GYVŪNŲ GEROVĖS KRITERIJUS</w:t>
                </w:r>
              </w:p>
            </w:tc>
            <w:tc>
              <w:tcPr>
                <w:tcW w:w="11700" w:type="dxa"/>
                <w:gridSpan w:val="2"/>
                <w:tcBorders>
                  <w:top w:val="single" w:sz="4" w:space="0" w:color="auto"/>
                  <w:left w:val="single" w:sz="4" w:space="0" w:color="auto"/>
                  <w:bottom w:val="single" w:sz="4" w:space="0" w:color="auto"/>
                  <w:right w:val="single" w:sz="4" w:space="0" w:color="auto"/>
                </w:tcBorders>
              </w:tcPr>
              <w:p>
                <w:pPr>
                  <w:jc w:val="center"/>
                  <w:rPr>
                    <w:rFonts w:eastAsia="Arial"/>
                    <w:b/>
                    <w:bCs/>
                    <w:szCs w:val="24"/>
                  </w:rPr>
                </w:pPr>
                <w:r>
                  <w:rPr>
                    <w:rFonts w:eastAsia="Arial"/>
                    <w:b/>
                    <w:bCs/>
                    <w:szCs w:val="24"/>
                  </w:rPr>
                  <w:t>ĮVERTINIMAS (LYGIS)</w:t>
                </w:r>
              </w:p>
            </w:tc>
          </w:tr>
          <w:tr>
            <w:trPr>
              <w:trHeight w:val="375"/>
            </w:trPr>
            <w:tc>
              <w:tcPr>
                <w:tcW w:w="738" w:type="dxa"/>
                <w:vMerge/>
                <w:tcBorders>
                  <w:left w:val="single" w:sz="4" w:space="0" w:color="auto"/>
                  <w:bottom w:val="single" w:sz="4" w:space="0" w:color="auto"/>
                  <w:right w:val="single" w:sz="4" w:space="0" w:color="auto"/>
                </w:tcBorders>
              </w:tcPr>
              <w:p>
                <w:pPr>
                  <w:jc w:val="center"/>
                  <w:rPr>
                    <w:rFonts w:eastAsia="Arial"/>
                    <w:szCs w:val="24"/>
                  </w:rPr>
                </w:pPr>
              </w:p>
            </w:tc>
            <w:tc>
              <w:tcPr>
                <w:tcW w:w="2700" w:type="dxa"/>
                <w:vMerge/>
                <w:tcBorders>
                  <w:top w:val="single" w:sz="4" w:space="0" w:color="auto"/>
                  <w:left w:val="single" w:sz="4" w:space="0" w:color="auto"/>
                  <w:bottom w:val="single" w:sz="4" w:space="0" w:color="auto"/>
                  <w:right w:val="single" w:sz="4" w:space="0" w:color="auto"/>
                </w:tcBorders>
                <w:vAlign w:val="center"/>
              </w:tcPr>
              <w:p>
                <w:pPr>
                  <w:rPr>
                    <w:rFonts w:eastAsia="Arial"/>
                    <w:szCs w:val="24"/>
                  </w:rPr>
                </w:pPr>
              </w:p>
            </w:tc>
            <w:tc>
              <w:tcPr>
                <w:tcW w:w="5850" w:type="dxa"/>
                <w:tcBorders>
                  <w:top w:val="single" w:sz="4" w:space="0" w:color="auto"/>
                  <w:left w:val="single" w:sz="4" w:space="0" w:color="auto"/>
                  <w:bottom w:val="single" w:sz="4" w:space="0" w:color="auto"/>
                  <w:right w:val="single" w:sz="4" w:space="0" w:color="auto"/>
                </w:tcBorders>
              </w:tcPr>
              <w:p>
                <w:pPr>
                  <w:jc w:val="center"/>
                  <w:rPr>
                    <w:rFonts w:eastAsia="Arial"/>
                    <w:b/>
                    <w:bCs/>
                    <w:szCs w:val="24"/>
                  </w:rPr>
                </w:pPr>
                <w:r>
                  <w:rPr>
                    <w:rFonts w:eastAsia="Arial"/>
                    <w:b/>
                    <w:bCs/>
                    <w:szCs w:val="24"/>
                  </w:rPr>
                  <w:t>1</w:t>
                </w:r>
              </w:p>
            </w:tc>
            <w:tc>
              <w:tcPr>
                <w:tcW w:w="5850" w:type="dxa"/>
                <w:tcBorders>
                  <w:top w:val="single" w:sz="4" w:space="0" w:color="auto"/>
                  <w:left w:val="single" w:sz="4" w:space="0" w:color="auto"/>
                  <w:bottom w:val="single" w:sz="4" w:space="0" w:color="auto"/>
                  <w:right w:val="single" w:sz="4" w:space="0" w:color="auto"/>
                </w:tcBorders>
              </w:tcPr>
              <w:p>
                <w:pPr>
                  <w:jc w:val="center"/>
                  <w:rPr>
                    <w:rFonts w:eastAsia="Arial"/>
                    <w:b/>
                    <w:bCs/>
                    <w:szCs w:val="24"/>
                  </w:rPr>
                </w:pPr>
                <w:r>
                  <w:rPr>
                    <w:rFonts w:eastAsia="Arial"/>
                    <w:b/>
                    <w:bCs/>
                    <w:szCs w:val="24"/>
                  </w:rPr>
                  <w:t>2</w:t>
                </w:r>
              </w:p>
            </w:tc>
          </w:tr>
          <w:tr>
            <w:trPr>
              <w:trHeight w:val="1115"/>
            </w:trPr>
            <w:tc>
              <w:tcPr>
                <w:tcW w:w="738" w:type="dxa"/>
                <w:tcBorders>
                  <w:top w:val="single" w:sz="4" w:space="0" w:color="auto"/>
                  <w:left w:val="single" w:sz="4" w:space="0" w:color="auto"/>
                  <w:bottom w:val="single" w:sz="4" w:space="0" w:color="auto"/>
                  <w:right w:val="single" w:sz="4" w:space="0" w:color="auto"/>
                </w:tcBorders>
              </w:tcPr>
              <w:p>
                <w:pPr>
                  <w:jc w:val="center"/>
                  <w:rPr>
                    <w:rFonts w:eastAsia="Arial"/>
                    <w:szCs w:val="24"/>
                  </w:rPr>
                </w:pPr>
                <w:r>
                  <w:rPr>
                    <w:rFonts w:eastAsia="Arial"/>
                    <w:b/>
                    <w:szCs w:val="24"/>
                  </w:rPr>
                  <w:t>1</w:t>
                </w:r>
                <w:r>
                  <w:rPr>
                    <w:rFonts w:eastAsia="Arial"/>
                    <w:szCs w:val="24"/>
                  </w:rPr>
                  <w:t>.</w:t>
                </w:r>
              </w:p>
            </w:tc>
            <w:tc>
              <w:tcPr>
                <w:tcW w:w="2700" w:type="dxa"/>
                <w:tcBorders>
                  <w:top w:val="single" w:sz="4" w:space="0" w:color="auto"/>
                  <w:left w:val="single" w:sz="4" w:space="0" w:color="auto"/>
                  <w:bottom w:val="single" w:sz="4" w:space="0" w:color="auto"/>
                  <w:right w:val="single" w:sz="4" w:space="0" w:color="auto"/>
                </w:tcBorders>
              </w:tcPr>
              <w:p>
                <w:pPr>
                  <w:rPr>
                    <w:rFonts w:eastAsia="Arial"/>
                    <w:b/>
                    <w:szCs w:val="24"/>
                  </w:rPr>
                </w:pPr>
                <w:r>
                  <w:rPr>
                    <w:rFonts w:eastAsia="Arial"/>
                    <w:b/>
                    <w:szCs w:val="24"/>
                  </w:rPr>
                  <w:t>Veislinių gyvūnų augintinių veisimas</w:t>
                </w:r>
              </w:p>
              <w:p>
                <w:pPr>
                  <w:rPr>
                    <w:sz w:val="14"/>
                    <w:szCs w:val="14"/>
                  </w:rPr>
                </w:pPr>
              </w:p>
              <w:p>
                <w:pPr>
                  <w:rPr>
                    <w:rFonts w:eastAsia="Arial"/>
                    <w:szCs w:val="24"/>
                  </w:rPr>
                </w:pPr>
              </w:p>
            </w:tc>
            <w:tc>
              <w:tcPr>
                <w:tcW w:w="5850" w:type="dxa"/>
                <w:tcBorders>
                  <w:top w:val="single" w:sz="4" w:space="0" w:color="auto"/>
                  <w:left w:val="single" w:sz="4" w:space="0" w:color="auto"/>
                  <w:bottom w:val="single" w:sz="4" w:space="0" w:color="auto"/>
                  <w:right w:val="single" w:sz="4" w:space="0" w:color="auto"/>
                </w:tcBorders>
              </w:tcPr>
              <w:p>
                <w:pPr>
                  <w:rPr>
                    <w:rFonts w:eastAsia="Arial"/>
                    <w:szCs w:val="24"/>
                    <w:lang w:val="lt"/>
                  </w:rPr>
                </w:pPr>
                <w:r>
                  <w:rPr>
                    <w:rFonts w:eastAsia="Arial"/>
                    <w:szCs w:val="24"/>
                  </w:rPr>
                  <w:t xml:space="preserve">Gyvūnų augintinių veisėjas (toliau – veisėjas) veisimui naudoja gyvūnus augintinius, kuriems yra išduoti kilmę patvirtinantys dokumentai tokią teisę turinčio Lietuvoje ar kitoje šalyje registruoto ūkio subjekto. </w:t>
                </w:r>
              </w:p>
            </w:tc>
            <w:tc>
              <w:tcPr>
                <w:tcW w:w="5850" w:type="dxa"/>
                <w:tcBorders>
                  <w:top w:val="single" w:sz="4" w:space="0" w:color="auto"/>
                  <w:left w:val="single" w:sz="4" w:space="0" w:color="auto"/>
                  <w:bottom w:val="single" w:sz="4" w:space="0" w:color="auto"/>
                  <w:right w:val="single" w:sz="4" w:space="0" w:color="auto"/>
                </w:tcBorders>
              </w:tcPr>
              <w:p>
                <w:pPr>
                  <w:rPr>
                    <w:rFonts w:eastAsia="Arial"/>
                    <w:szCs w:val="24"/>
                  </w:rPr>
                </w:pPr>
                <w:r>
                  <w:rPr>
                    <w:rFonts w:eastAsia="Arial"/>
                    <w:szCs w:val="24"/>
                  </w:rPr>
                  <w:t xml:space="preserve">Veisėjas veisimui naudoja gyvūnus augintinius, kuriems yra išduoti kilmę patvirtinantys dokumentai tokią teisę turinčio Lietuvoje ar kitoje šalyje registruoto ūkio subjekto. </w:t>
                </w:r>
              </w:p>
            </w:tc>
          </w:tr>
          <w:tr>
            <w:tc>
              <w:tcPr>
                <w:tcW w:w="738" w:type="dxa"/>
                <w:tcBorders>
                  <w:top w:val="single" w:sz="4" w:space="0" w:color="auto"/>
                  <w:left w:val="single" w:sz="4" w:space="0" w:color="auto"/>
                  <w:bottom w:val="single" w:sz="4" w:space="0" w:color="auto"/>
                  <w:right w:val="single" w:sz="4" w:space="0" w:color="auto"/>
                </w:tcBorders>
              </w:tcPr>
              <w:p>
                <w:pPr>
                  <w:jc w:val="center"/>
                  <w:rPr>
                    <w:rFonts w:eastAsia="Arial"/>
                    <w:b/>
                    <w:szCs w:val="24"/>
                  </w:rPr>
                </w:pPr>
                <w:r>
                  <w:rPr>
                    <w:rFonts w:eastAsia="Arial"/>
                    <w:b/>
                    <w:szCs w:val="24"/>
                  </w:rPr>
                  <w:t>2.</w:t>
                </w:r>
              </w:p>
            </w:tc>
            <w:tc>
              <w:tcPr>
                <w:tcW w:w="2700" w:type="dxa"/>
                <w:tcBorders>
                  <w:top w:val="single" w:sz="4" w:space="0" w:color="auto"/>
                  <w:left w:val="single" w:sz="4" w:space="0" w:color="auto"/>
                  <w:bottom w:val="single" w:sz="4" w:space="0" w:color="auto"/>
                  <w:right w:val="single" w:sz="4" w:space="0" w:color="auto"/>
                </w:tcBorders>
              </w:tcPr>
              <w:p>
                <w:pPr>
                  <w:rPr>
                    <w:rFonts w:eastAsia="Arial"/>
                    <w:b/>
                    <w:szCs w:val="24"/>
                  </w:rPr>
                </w:pPr>
                <w:r>
                  <w:rPr>
                    <w:rFonts w:eastAsia="Arial"/>
                    <w:b/>
                    <w:szCs w:val="24"/>
                  </w:rPr>
                  <w:t>Papildoma vakcinacija</w:t>
                </w:r>
              </w:p>
            </w:tc>
            <w:tc>
              <w:tcPr>
                <w:tcW w:w="5850" w:type="dxa"/>
                <w:tcBorders>
                  <w:top w:val="single" w:sz="4" w:space="0" w:color="auto"/>
                  <w:left w:val="single" w:sz="4" w:space="0" w:color="auto"/>
                  <w:bottom w:val="single" w:sz="4" w:space="0" w:color="auto"/>
                  <w:right w:val="single" w:sz="4" w:space="0" w:color="auto"/>
                </w:tcBorders>
              </w:tcPr>
              <w:p>
                <w:pPr>
                  <w:rPr>
                    <w:rFonts w:eastAsia="Arial"/>
                    <w:szCs w:val="24"/>
                  </w:rPr>
                </w:pPr>
                <w:r>
                  <w:rPr>
                    <w:rFonts w:eastAsia="Arial"/>
                    <w:szCs w:val="24"/>
                  </w:rPr>
                  <w:t>Veisimui naudojami šunys reguliariai pagal veterinarinės vakcinos pakuotės lapelio nurodymus vakcinuojami nuo mėsėdžių maro, mėsėdžių virusinio enterito ir infekcinio hepatito. Veisimui naudojamos katės reguliariai pagal veterinarinės vakcinos pakuotės lapelio nurodymus vakcinuojamos nuo kalicivirozės, infekcinio rinotracheito, panleukopenijos. Veisėjas turi veterinarijos gydytojo išduotus dokumentus, patvirtinančius galiojančią vakcinaciją.</w:t>
                </w:r>
              </w:p>
            </w:tc>
            <w:tc>
              <w:tcPr>
                <w:tcW w:w="5850" w:type="dxa"/>
                <w:tcBorders>
                  <w:top w:val="single" w:sz="4" w:space="0" w:color="auto"/>
                  <w:left w:val="single" w:sz="4" w:space="0" w:color="auto"/>
                  <w:bottom w:val="single" w:sz="4" w:space="0" w:color="auto"/>
                  <w:right w:val="single" w:sz="4" w:space="0" w:color="auto"/>
                </w:tcBorders>
              </w:tcPr>
              <w:p>
                <w:pPr>
                  <w:rPr>
                    <w:rFonts w:eastAsia="Arial"/>
                    <w:szCs w:val="24"/>
                  </w:rPr>
                </w:pPr>
                <w:r>
                  <w:rPr>
                    <w:rFonts w:eastAsia="Arial"/>
                    <w:szCs w:val="24"/>
                  </w:rPr>
                  <w:t>Veisimui naudojami šunys reguliariai pagal veterinarinės vakcinos pakuotės lapelio nurodymus vakcinuojami nuo mėsėdžių maro, mėsėdžių virusinio enterito ir infekcinio hepatito. Veisimui naudojamos katės reguliariai pagal veterinarinės vakcinos pakuotės lapelio nurodymus vakcinuojamos nuo kalicivirozės, infekcinio rinotracheito, panleukopenijos. Veisėjas turi veterinarijos gydytojo išduotus dokumentus, patvirtinančius galiojančią vakcinaciją.</w:t>
                </w:r>
              </w:p>
            </w:tc>
          </w:tr>
          <w:tr>
            <w:trPr>
              <w:trHeight w:val="1970"/>
            </w:trPr>
            <w:tc>
              <w:tcPr>
                <w:tcW w:w="738" w:type="dxa"/>
                <w:tcBorders>
                  <w:top w:val="single" w:sz="4" w:space="0" w:color="auto"/>
                  <w:left w:val="single" w:sz="4" w:space="0" w:color="auto"/>
                  <w:bottom w:val="single" w:sz="4" w:space="0" w:color="auto"/>
                  <w:right w:val="single" w:sz="4" w:space="0" w:color="auto"/>
                </w:tcBorders>
              </w:tcPr>
              <w:p>
                <w:pPr>
                  <w:jc w:val="center"/>
                  <w:rPr>
                    <w:rFonts w:eastAsia="Arial"/>
                    <w:b/>
                    <w:szCs w:val="24"/>
                  </w:rPr>
                </w:pPr>
                <w:r>
                  <w:rPr>
                    <w:rFonts w:eastAsia="Arial"/>
                    <w:b/>
                    <w:szCs w:val="24"/>
                  </w:rPr>
                  <w:t>3.</w:t>
                </w:r>
              </w:p>
            </w:tc>
            <w:tc>
              <w:tcPr>
                <w:tcW w:w="2700" w:type="dxa"/>
                <w:tcBorders>
                  <w:top w:val="single" w:sz="4" w:space="0" w:color="auto"/>
                  <w:left w:val="single" w:sz="4" w:space="0" w:color="auto"/>
                  <w:bottom w:val="single" w:sz="4" w:space="0" w:color="auto"/>
                  <w:right w:val="single" w:sz="4" w:space="0" w:color="auto"/>
                </w:tcBorders>
              </w:tcPr>
              <w:p>
                <w:pPr>
                  <w:rPr>
                    <w:rFonts w:eastAsia="Arial"/>
                    <w:b/>
                    <w:szCs w:val="24"/>
                  </w:rPr>
                </w:pPr>
                <w:r>
                  <w:rPr>
                    <w:rFonts w:eastAsia="Arial"/>
                    <w:b/>
                    <w:szCs w:val="24"/>
                  </w:rPr>
                  <w:t>Parazitų profilaktika</w:t>
                </w:r>
              </w:p>
            </w:tc>
            <w:tc>
              <w:tcPr>
                <w:tcW w:w="5850" w:type="dxa"/>
                <w:tcBorders>
                  <w:top w:val="single" w:sz="4" w:space="0" w:color="auto"/>
                  <w:left w:val="single" w:sz="4" w:space="0" w:color="auto"/>
                  <w:bottom w:val="single" w:sz="4" w:space="0" w:color="auto"/>
                  <w:right w:val="single" w:sz="4" w:space="0" w:color="auto"/>
                </w:tcBorders>
              </w:tcPr>
              <w:p>
                <w:pPr>
                  <w:rPr>
                    <w:rFonts w:eastAsia="Arial"/>
                    <w:szCs w:val="24"/>
                  </w:rPr>
                </w:pPr>
                <w:r>
                  <w:rPr>
                    <w:rFonts w:eastAsia="Arial"/>
                    <w:szCs w:val="24"/>
                  </w:rPr>
                  <w:t xml:space="preserve">Suaugusiems šunims ir katėms veterinariniai vaistai nuo endoparazitų suduodami reguliariai, vadovaujantis veterinarinio vaisto pakuotės lapelio nurodymais. Veterinariniai vaistai nuo blusų ir veterinariniai vaistai nuo erkių profilaktiškai šunims ir katėms, išeinančioms į lauką, naudojami reguliariai, vadovaujantis veterinarinio vaisto pakuotės lapelio nurodymais. </w:t>
                </w:r>
              </w:p>
            </w:tc>
            <w:tc>
              <w:tcPr>
                <w:tcW w:w="5850" w:type="dxa"/>
                <w:tcBorders>
                  <w:top w:val="single" w:sz="4" w:space="0" w:color="auto"/>
                  <w:left w:val="single" w:sz="4" w:space="0" w:color="auto"/>
                  <w:bottom w:val="single" w:sz="4" w:space="0" w:color="auto"/>
                  <w:right w:val="single" w:sz="4" w:space="0" w:color="auto"/>
                </w:tcBorders>
              </w:tcPr>
              <w:p>
                <w:pPr>
                  <w:rPr>
                    <w:rFonts w:eastAsia="Arial"/>
                    <w:szCs w:val="24"/>
                  </w:rPr>
                </w:pPr>
                <w:r>
                  <w:rPr>
                    <w:rFonts w:eastAsia="Arial"/>
                    <w:szCs w:val="24"/>
                  </w:rPr>
                  <w:t xml:space="preserve">Suaugusiems šunims ir katėms veterinariniai vaistai nuo endoparazitų suduodami reguliariai, vadovaujantis veterinarinio vaisto pakuotės lapelio nurodymais. Veterinariniai vaistai nuo blusų ir veterinariniai vaistai nuo erkių profilaktiškai šunims ir katėms, išeinančioms į lauką, naudojami reguliariai, vadovaujantis veterinarinio vaisto pakuotės lapelio nurodymais. </w:t>
                </w:r>
              </w:p>
            </w:tc>
          </w:tr>
          <w:tr>
            <w:trPr>
              <w:trHeight w:val="58"/>
            </w:trPr>
            <w:tc>
              <w:tcPr>
                <w:tcW w:w="738" w:type="dxa"/>
                <w:tcBorders>
                  <w:top w:val="single" w:sz="4" w:space="0" w:color="auto"/>
                  <w:left w:val="single" w:sz="4" w:space="0" w:color="auto"/>
                  <w:bottom w:val="single" w:sz="4" w:space="0" w:color="auto"/>
                  <w:right w:val="single" w:sz="4" w:space="0" w:color="auto"/>
                </w:tcBorders>
              </w:tcPr>
              <w:p>
                <w:pPr>
                  <w:jc w:val="center"/>
                  <w:rPr>
                    <w:rFonts w:eastAsia="Arial"/>
                    <w:b/>
                    <w:szCs w:val="24"/>
                  </w:rPr>
                </w:pPr>
                <w:r>
                  <w:rPr>
                    <w:rFonts w:eastAsia="Arial"/>
                    <w:b/>
                    <w:szCs w:val="24"/>
                  </w:rPr>
                  <w:t>4.</w:t>
                </w:r>
              </w:p>
            </w:tc>
            <w:tc>
              <w:tcPr>
                <w:tcW w:w="2700" w:type="dxa"/>
                <w:tcBorders>
                  <w:top w:val="single" w:sz="4" w:space="0" w:color="auto"/>
                  <w:left w:val="single" w:sz="4" w:space="0" w:color="auto"/>
                  <w:bottom w:val="single" w:sz="4" w:space="0" w:color="auto"/>
                  <w:right w:val="single" w:sz="4" w:space="0" w:color="auto"/>
                </w:tcBorders>
              </w:tcPr>
              <w:p>
                <w:pPr>
                  <w:rPr>
                    <w:rFonts w:eastAsia="Arial"/>
                    <w:b/>
                    <w:szCs w:val="24"/>
                  </w:rPr>
                </w:pPr>
                <w:r>
                  <w:rPr>
                    <w:rFonts w:eastAsia="Arial"/>
                    <w:b/>
                    <w:szCs w:val="24"/>
                  </w:rPr>
                  <w:t>Minimalus gyvūnų augintinių veisimo amžius</w:t>
                </w:r>
              </w:p>
              <w:p>
                <w:pPr>
                  <w:rPr>
                    <w:sz w:val="14"/>
                    <w:szCs w:val="14"/>
                  </w:rPr>
                </w:pPr>
              </w:p>
              <w:p>
                <w:pPr>
                  <w:rPr>
                    <w:rFonts w:eastAsia="Arial"/>
                    <w:b/>
                    <w:szCs w:val="24"/>
                    <w:lang w:val="lt"/>
                  </w:rPr>
                </w:pPr>
              </w:p>
            </w:tc>
            <w:tc>
              <w:tcPr>
                <w:tcW w:w="5850" w:type="dxa"/>
                <w:tcBorders>
                  <w:top w:val="single" w:sz="4" w:space="0" w:color="auto"/>
                  <w:left w:val="single" w:sz="4" w:space="0" w:color="auto"/>
                  <w:bottom w:val="single" w:sz="4" w:space="0" w:color="auto"/>
                  <w:right w:val="single" w:sz="4" w:space="0" w:color="auto"/>
                </w:tcBorders>
              </w:tcPr>
              <w:p>
                <w:pPr>
                  <w:rPr>
                    <w:rFonts w:eastAsia="Arial"/>
                    <w:szCs w:val="24"/>
                  </w:rPr>
                </w:pPr>
                <w:r>
                  <w:rPr>
                    <w:rFonts w:eastAsia="Arial"/>
                    <w:szCs w:val="24"/>
                  </w:rPr>
                  <w:t>Mažų veislių šunų patelės (2–8 kg) veisimui naudojamos ne jaunesnės kaip 14 mėnesių amžiaus, kitų veislių – ne jaunesnės kaip 18 mėn., mažų veislių šunų patinai (2–8 kg) pradedami kergti ne jaunesni kaip 12 mėn., kitų veislių – ne jaunesni kaip 14 mėn., kačių patelės – ne jaunesnės kaip 10 mėnesių amžiaus.</w:t>
                </w:r>
              </w:p>
            </w:tc>
            <w:tc>
              <w:tcPr>
                <w:tcW w:w="5850" w:type="dxa"/>
                <w:tcBorders>
                  <w:top w:val="single" w:sz="4" w:space="0" w:color="auto"/>
                  <w:left w:val="single" w:sz="4" w:space="0" w:color="auto"/>
                  <w:bottom w:val="single" w:sz="4" w:space="0" w:color="auto"/>
                  <w:right w:val="single" w:sz="4" w:space="0" w:color="auto"/>
                </w:tcBorders>
              </w:tcPr>
              <w:p>
                <w:pPr>
                  <w:rPr>
                    <w:rFonts w:eastAsia="Arial"/>
                    <w:szCs w:val="24"/>
                  </w:rPr>
                </w:pPr>
                <w:r>
                  <w:rPr>
                    <w:rFonts w:eastAsia="Arial"/>
                    <w:szCs w:val="24"/>
                  </w:rPr>
                  <w:t>Mažų veislių šunų patelės (2–8 kg) veisimui naudojamos ne jaunesnės kaip 14 mėnesių amžiaus, kitų veislių – ne jaunesnės kaip 18 mėn., mažų veislių šunų patinai (2–8 kg) pradedami kergti ne jaunesni kaip 12 mėn., kitų veislių – ne jaunesni kaip 14 mėn., kačių patelės – ne jaunesnės kaip 10 mėnesių amžiaus.</w:t>
                </w:r>
              </w:p>
            </w:tc>
          </w:tr>
          <w:tr>
            <w:trPr>
              <w:trHeight w:val="836"/>
            </w:trPr>
            <w:tc>
              <w:tcPr>
                <w:tcW w:w="738" w:type="dxa"/>
                <w:tcBorders>
                  <w:top w:val="single" w:sz="4" w:space="0" w:color="auto"/>
                  <w:left w:val="single" w:sz="4" w:space="0" w:color="auto"/>
                  <w:bottom w:val="single" w:sz="4" w:space="0" w:color="auto"/>
                  <w:right w:val="single" w:sz="4" w:space="0" w:color="auto"/>
                </w:tcBorders>
              </w:tcPr>
              <w:p>
                <w:pPr>
                  <w:jc w:val="center"/>
                  <w:rPr>
                    <w:rFonts w:eastAsia="Arial"/>
                    <w:b/>
                    <w:szCs w:val="24"/>
                  </w:rPr>
                </w:pPr>
                <w:r>
                  <w:rPr>
                    <w:rFonts w:eastAsia="Arial"/>
                    <w:b/>
                    <w:szCs w:val="24"/>
                  </w:rPr>
                  <w:t>5.</w:t>
                </w:r>
              </w:p>
            </w:tc>
            <w:tc>
              <w:tcPr>
                <w:tcW w:w="2700" w:type="dxa"/>
                <w:tcBorders>
                  <w:top w:val="single" w:sz="4" w:space="0" w:color="auto"/>
                  <w:left w:val="single" w:sz="4" w:space="0" w:color="auto"/>
                  <w:bottom w:val="single" w:sz="4" w:space="0" w:color="auto"/>
                  <w:right w:val="single" w:sz="4" w:space="0" w:color="auto"/>
                </w:tcBorders>
              </w:tcPr>
              <w:p>
                <w:pPr>
                  <w:rPr>
                    <w:rFonts w:eastAsia="Arial"/>
                    <w:b/>
                    <w:szCs w:val="24"/>
                  </w:rPr>
                </w:pPr>
                <w:r>
                  <w:rPr>
                    <w:rFonts w:eastAsia="Arial"/>
                    <w:b/>
                    <w:szCs w:val="24"/>
                  </w:rPr>
                  <w:t>Maksimalus gyvūnų augintinių veisimo amžius</w:t>
                </w:r>
              </w:p>
            </w:tc>
            <w:tc>
              <w:tcPr>
                <w:tcW w:w="5850" w:type="dxa"/>
                <w:tcBorders>
                  <w:top w:val="single" w:sz="4" w:space="0" w:color="auto"/>
                  <w:left w:val="single" w:sz="4" w:space="0" w:color="auto"/>
                  <w:bottom w:val="single" w:sz="4" w:space="0" w:color="auto"/>
                  <w:right w:val="single" w:sz="4" w:space="0" w:color="auto"/>
                </w:tcBorders>
              </w:tcPr>
              <w:p>
                <w:pPr>
                  <w:rPr>
                    <w:color w:val="000000"/>
                    <w:spacing w:val="-2"/>
                    <w:szCs w:val="24"/>
                  </w:rPr>
                </w:pPr>
                <w:r>
                  <w:rPr>
                    <w:rFonts w:eastAsia="Arial"/>
                    <w:szCs w:val="24"/>
                  </w:rPr>
                  <w:t>Vyresnės kaip 8 metų šunų ir kačių patelės nenaudojamos veisimui.</w:t>
                </w:r>
              </w:p>
            </w:tc>
            <w:tc>
              <w:tcPr>
                <w:tcW w:w="5850" w:type="dxa"/>
                <w:tcBorders>
                  <w:top w:val="single" w:sz="4" w:space="0" w:color="auto"/>
                  <w:left w:val="single" w:sz="4" w:space="0" w:color="auto"/>
                  <w:bottom w:val="single" w:sz="4" w:space="0" w:color="auto"/>
                  <w:right w:val="single" w:sz="4" w:space="0" w:color="auto"/>
                </w:tcBorders>
              </w:tcPr>
              <w:p>
                <w:pPr>
                  <w:rPr>
                    <w:rFonts w:eastAsia="Arial"/>
                    <w:szCs w:val="24"/>
                  </w:rPr>
                </w:pPr>
                <w:r>
                  <w:rPr>
                    <w:rFonts w:eastAsia="Arial"/>
                    <w:szCs w:val="24"/>
                  </w:rPr>
                  <w:t>Vyresnės kaip 7 metų šunų ir kačių patelės nenaudojamos veisimui.</w:t>
                </w:r>
              </w:p>
            </w:tc>
          </w:tr>
          <w:tr>
            <w:trPr>
              <w:trHeight w:val="728"/>
            </w:trPr>
            <w:tc>
              <w:tcPr>
                <w:tcW w:w="738" w:type="dxa"/>
                <w:tcBorders>
                  <w:top w:val="single" w:sz="4" w:space="0" w:color="auto"/>
                  <w:left w:val="single" w:sz="4" w:space="0" w:color="auto"/>
                  <w:bottom w:val="single" w:sz="4" w:space="0" w:color="auto"/>
                  <w:right w:val="single" w:sz="4" w:space="0" w:color="auto"/>
                </w:tcBorders>
              </w:tcPr>
              <w:p>
                <w:pPr>
                  <w:jc w:val="center"/>
                  <w:rPr>
                    <w:rFonts w:eastAsia="Arial"/>
                    <w:b/>
                    <w:szCs w:val="24"/>
                  </w:rPr>
                </w:pPr>
                <w:r>
                  <w:rPr>
                    <w:rFonts w:eastAsia="Arial"/>
                    <w:b/>
                    <w:szCs w:val="24"/>
                  </w:rPr>
                  <w:t>6.</w:t>
                </w:r>
              </w:p>
            </w:tc>
            <w:tc>
              <w:tcPr>
                <w:tcW w:w="2700" w:type="dxa"/>
                <w:tcBorders>
                  <w:top w:val="single" w:sz="4" w:space="0" w:color="auto"/>
                  <w:left w:val="single" w:sz="4" w:space="0" w:color="auto"/>
                  <w:bottom w:val="single" w:sz="4" w:space="0" w:color="auto"/>
                  <w:right w:val="single" w:sz="4" w:space="0" w:color="auto"/>
                </w:tcBorders>
              </w:tcPr>
              <w:p>
                <w:pPr>
                  <w:rPr>
                    <w:rFonts w:eastAsia="Arial"/>
                    <w:b/>
                    <w:szCs w:val="24"/>
                  </w:rPr>
                </w:pPr>
                <w:r>
                  <w:rPr>
                    <w:rFonts w:eastAsia="Arial"/>
                    <w:b/>
                    <w:szCs w:val="24"/>
                  </w:rPr>
                  <w:t xml:space="preserve">Vadų skaičius </w:t>
                </w:r>
              </w:p>
            </w:tc>
            <w:tc>
              <w:tcPr>
                <w:tcW w:w="5850" w:type="dxa"/>
                <w:tcBorders>
                  <w:top w:val="single" w:sz="4" w:space="0" w:color="auto"/>
                  <w:left w:val="single" w:sz="4" w:space="0" w:color="auto"/>
                  <w:bottom w:val="single" w:sz="4" w:space="0" w:color="auto"/>
                  <w:right w:val="single" w:sz="4" w:space="0" w:color="auto"/>
                </w:tcBorders>
              </w:tcPr>
              <w:p>
                <w:pPr>
                  <w:rPr>
                    <w:rFonts w:eastAsia="Arial"/>
                    <w:b/>
                    <w:bCs/>
                    <w:szCs w:val="24"/>
                  </w:rPr>
                </w:pPr>
                <w:r>
                  <w:rPr>
                    <w:rFonts w:eastAsia="Arial"/>
                    <w:szCs w:val="24"/>
                    <w:lang w:val="lt" w:eastAsia="lt-LT"/>
                  </w:rPr>
                  <w:t>Viena šuns patelė turi ne daugiau kaip 1 šuniukų vadą per 1 metus.</w:t>
                </w:r>
                <w:r>
                  <w:rPr>
                    <w:rFonts w:eastAsia="Arial"/>
                    <w:szCs w:val="24"/>
                  </w:rPr>
                  <w:t xml:space="preserve"> Viena katės patelė turi ne daugiau kaip 3 vadas per 2 metus.</w:t>
                </w:r>
              </w:p>
            </w:tc>
            <w:tc>
              <w:tcPr>
                <w:tcW w:w="5850" w:type="dxa"/>
                <w:tcBorders>
                  <w:top w:val="single" w:sz="4" w:space="0" w:color="auto"/>
                  <w:left w:val="single" w:sz="4" w:space="0" w:color="auto"/>
                  <w:bottom w:val="single" w:sz="4" w:space="0" w:color="auto"/>
                  <w:right w:val="single" w:sz="4" w:space="0" w:color="auto"/>
                </w:tcBorders>
              </w:tcPr>
              <w:p>
                <w:pPr>
                  <w:rPr>
                    <w:rFonts w:eastAsia="Arial"/>
                    <w:szCs w:val="24"/>
                  </w:rPr>
                </w:pPr>
                <w:r>
                  <w:rPr>
                    <w:rFonts w:eastAsia="Arial"/>
                    <w:szCs w:val="24"/>
                    <w:lang w:val="lt" w:eastAsia="lt-LT"/>
                  </w:rPr>
                  <w:t>Viena šuns ar katės patelė turi ne daugiau kaip 1 šuniukų ar kačiukų vadą per 1 metus.</w:t>
                </w:r>
              </w:p>
            </w:tc>
          </w:tr>
          <w:tr>
            <w:trPr>
              <w:trHeight w:val="1358"/>
            </w:trPr>
            <w:tc>
              <w:tcPr>
                <w:tcW w:w="738" w:type="dxa"/>
                <w:tcBorders>
                  <w:right w:val="single" w:sz="4" w:space="0" w:color="auto"/>
                </w:tcBorders>
              </w:tcPr>
              <w:p>
                <w:pPr>
                  <w:jc w:val="center"/>
                  <w:rPr>
                    <w:rFonts w:eastAsia="Arial"/>
                    <w:b/>
                    <w:szCs w:val="24"/>
                  </w:rPr>
                </w:pPr>
                <w:r>
                  <w:rPr>
                    <w:rFonts w:eastAsia="Arial"/>
                    <w:b/>
                    <w:szCs w:val="24"/>
                  </w:rPr>
                  <w:t>7.</w:t>
                </w:r>
              </w:p>
            </w:tc>
            <w:tc>
              <w:tcPr>
                <w:tcW w:w="2700" w:type="dxa"/>
                <w:tcBorders>
                  <w:top w:val="single" w:sz="4" w:space="0" w:color="auto"/>
                  <w:left w:val="single" w:sz="4" w:space="0" w:color="auto"/>
                  <w:bottom w:val="single" w:sz="4" w:space="0" w:color="auto"/>
                  <w:right w:val="single" w:sz="4" w:space="0" w:color="auto"/>
                </w:tcBorders>
              </w:tcPr>
              <w:p>
                <w:pPr>
                  <w:rPr>
                    <w:rFonts w:eastAsia="Arial"/>
                    <w:b/>
                    <w:szCs w:val="24"/>
                    <w:lang w:val="lt"/>
                  </w:rPr>
                </w:pPr>
                <w:r>
                  <w:rPr>
                    <w:rFonts w:eastAsia="Arial"/>
                    <w:b/>
                    <w:szCs w:val="24"/>
                  </w:rPr>
                  <w:t>Veisėjų ir gyvūnus augintinius prižiūrinčių asmenų kvalifikacijos kėlimas</w:t>
                </w:r>
              </w:p>
            </w:tc>
            <w:tc>
              <w:tcPr>
                <w:tcW w:w="5850" w:type="dxa"/>
              </w:tcPr>
              <w:p>
                <w:pPr>
                  <w:rPr>
                    <w:rFonts w:eastAsia="Arial"/>
                    <w:szCs w:val="24"/>
                  </w:rPr>
                </w:pPr>
                <w:r>
                  <w:rPr>
                    <w:rFonts w:eastAsia="Arial"/>
                    <w:szCs w:val="24"/>
                  </w:rPr>
                  <w:t>Veisėjai ir gyvūnus prižiūrintys asmenys dalyvauja mokymuose ar seminaruose, susijusiuose su gyvūnų augintinių veisimu, priežiūra, gerove, elgsena, ligų atpažinimu, ne rečiau kaip kartą per 2 metus ir turi tai patvirtinančius dokumentus.</w:t>
                </w:r>
              </w:p>
            </w:tc>
            <w:tc>
              <w:tcPr>
                <w:tcW w:w="5850" w:type="dxa"/>
              </w:tcPr>
              <w:p>
                <w:pPr>
                  <w:rPr>
                    <w:rFonts w:eastAsia="Arial"/>
                    <w:szCs w:val="24"/>
                  </w:rPr>
                </w:pPr>
                <w:r>
                  <w:rPr>
                    <w:rFonts w:eastAsia="Arial"/>
                    <w:szCs w:val="24"/>
                  </w:rPr>
                  <w:t>Veisėjai ir gyvūnus prižiūrintys asmenys dalyvauja mokymuose ar seminaruose, susijusiuose su gyvūnų augintinių veisimu, priežiūra, gerove, elgsena, ligų atpažinimu, ne rečiau kaip kartą per 1 metus ir turi tai patvirtinančius dokumentus.</w:t>
                </w:r>
              </w:p>
            </w:tc>
          </w:tr>
          <w:tr>
            <w:tc>
              <w:tcPr>
                <w:tcW w:w="738" w:type="dxa"/>
                <w:tcBorders>
                  <w:top w:val="single" w:sz="4" w:space="0" w:color="auto"/>
                  <w:left w:val="single" w:sz="4" w:space="0" w:color="auto"/>
                  <w:bottom w:val="single" w:sz="4" w:space="0" w:color="auto"/>
                  <w:right w:val="single" w:sz="4" w:space="0" w:color="auto"/>
                </w:tcBorders>
              </w:tcPr>
              <w:p>
                <w:pPr>
                  <w:jc w:val="center"/>
                  <w:rPr>
                    <w:rFonts w:eastAsia="Arial"/>
                    <w:b/>
                    <w:szCs w:val="24"/>
                    <w:lang w:val="it-IT"/>
                  </w:rPr>
                </w:pPr>
                <w:r>
                  <w:rPr>
                    <w:rFonts w:eastAsia="Arial"/>
                    <w:b/>
                    <w:szCs w:val="24"/>
                    <w:lang w:val="it-IT"/>
                  </w:rPr>
                  <w:t>8.</w:t>
                </w:r>
              </w:p>
            </w:tc>
            <w:tc>
              <w:tcPr>
                <w:tcW w:w="2700" w:type="dxa"/>
                <w:tcBorders>
                  <w:top w:val="single" w:sz="4" w:space="0" w:color="auto"/>
                  <w:left w:val="single" w:sz="4" w:space="0" w:color="auto"/>
                  <w:bottom w:val="single" w:sz="4" w:space="0" w:color="auto"/>
                  <w:right w:val="single" w:sz="4" w:space="0" w:color="auto"/>
                </w:tcBorders>
              </w:tcPr>
              <w:p>
                <w:pPr>
                  <w:rPr>
                    <w:rFonts w:eastAsia="Arial"/>
                    <w:b/>
                    <w:szCs w:val="24"/>
                  </w:rPr>
                </w:pPr>
                <w:r>
                  <w:rPr>
                    <w:rFonts w:eastAsia="Arial"/>
                    <w:b/>
                    <w:szCs w:val="24"/>
                  </w:rPr>
                  <w:t>Gyvūnui augintiniui skiriamas grindų plotas</w:t>
                </w:r>
              </w:p>
            </w:tc>
            <w:tc>
              <w:tcPr>
                <w:tcW w:w="5850" w:type="dxa"/>
                <w:tcBorders>
                  <w:top w:val="single" w:sz="4" w:space="0" w:color="auto"/>
                  <w:left w:val="single" w:sz="4" w:space="0" w:color="auto"/>
                  <w:bottom w:val="single" w:sz="4" w:space="0" w:color="auto"/>
                  <w:right w:val="single" w:sz="4" w:space="0" w:color="auto"/>
                </w:tcBorders>
              </w:tcPr>
              <w:p>
                <w:pPr>
                  <w:rPr>
                    <w:rFonts w:eastAsia="Arial"/>
                    <w:b/>
                    <w:bCs/>
                    <w:szCs w:val="24"/>
                  </w:rPr>
                </w:pPr>
                <w:r>
                  <w:rPr>
                    <w:rFonts w:eastAsia="Arial"/>
                    <w:szCs w:val="24"/>
                  </w:rPr>
                  <w:t xml:space="preserve">Gyvūnams augintiniams skiriamo ploto norma yra 15 proc. didesnė nei </w:t>
                </w:r>
                <w:r>
                  <w:rPr>
                    <w:szCs w:val="24"/>
                  </w:rPr>
                  <w:t>Veterinarijos reikalavimuose gyvūnų augintinių veisėjams</w:t>
                </w:r>
                <w:r>
                  <w:rPr>
                    <w:rFonts w:eastAsia="Arial"/>
                    <w:szCs w:val="24"/>
                  </w:rPr>
                  <w:t>* nustatyta norma.</w:t>
                </w:r>
              </w:p>
            </w:tc>
            <w:tc>
              <w:tcPr>
                <w:tcW w:w="5850" w:type="dxa"/>
                <w:tcBorders>
                  <w:top w:val="single" w:sz="4" w:space="0" w:color="auto"/>
                  <w:left w:val="single" w:sz="4" w:space="0" w:color="auto"/>
                  <w:bottom w:val="single" w:sz="4" w:space="0" w:color="auto"/>
                  <w:right w:val="single" w:sz="4" w:space="0" w:color="auto"/>
                </w:tcBorders>
              </w:tcPr>
              <w:p>
                <w:pPr>
                  <w:rPr>
                    <w:rFonts w:eastAsia="Arial"/>
                    <w:szCs w:val="24"/>
                  </w:rPr>
                </w:pPr>
                <w:r>
                  <w:rPr>
                    <w:rFonts w:eastAsia="Arial"/>
                    <w:szCs w:val="24"/>
                  </w:rPr>
                  <w:t xml:space="preserve">Gyvūnams augintiniams skiriamo ploto norma yra 20 proc. didesnė nei </w:t>
                </w:r>
                <w:r>
                  <w:rPr>
                    <w:szCs w:val="24"/>
                  </w:rPr>
                  <w:t>Veterinarijos reikalavimuose gyvūnų augintinių veisėjams</w:t>
                </w:r>
                <w:r>
                  <w:rPr>
                    <w:rFonts w:eastAsia="Arial"/>
                    <w:szCs w:val="24"/>
                  </w:rPr>
                  <w:t>* nustatyta norma.</w:t>
                </w:r>
              </w:p>
            </w:tc>
          </w:tr>
          <w:tr>
            <w:tc>
              <w:tcPr>
                <w:tcW w:w="738" w:type="dxa"/>
                <w:tcBorders>
                  <w:top w:val="single" w:sz="4" w:space="0" w:color="auto"/>
                  <w:left w:val="single" w:sz="4" w:space="0" w:color="auto"/>
                  <w:bottom w:val="single" w:sz="4" w:space="0" w:color="auto"/>
                  <w:right w:val="single" w:sz="4" w:space="0" w:color="auto"/>
                </w:tcBorders>
              </w:tcPr>
              <w:p>
                <w:pPr>
                  <w:jc w:val="center"/>
                  <w:rPr>
                    <w:rFonts w:eastAsia="Arial"/>
                    <w:b/>
                    <w:szCs w:val="24"/>
                  </w:rPr>
                </w:pPr>
                <w:r>
                  <w:rPr>
                    <w:rFonts w:eastAsia="Arial"/>
                    <w:b/>
                    <w:szCs w:val="24"/>
                  </w:rPr>
                  <w:t>9.</w:t>
                </w:r>
              </w:p>
            </w:tc>
            <w:tc>
              <w:tcPr>
                <w:tcW w:w="2700" w:type="dxa"/>
                <w:tcBorders>
                  <w:top w:val="single" w:sz="4" w:space="0" w:color="auto"/>
                  <w:left w:val="single" w:sz="4" w:space="0" w:color="auto"/>
                  <w:bottom w:val="single" w:sz="4" w:space="0" w:color="auto"/>
                  <w:right w:val="single" w:sz="4" w:space="0" w:color="auto"/>
                </w:tcBorders>
              </w:tcPr>
              <w:p>
                <w:pPr>
                  <w:rPr>
                    <w:rFonts w:eastAsia="Arial"/>
                    <w:b/>
                    <w:szCs w:val="24"/>
                  </w:rPr>
                </w:pPr>
                <w:r>
                  <w:rPr>
                    <w:rFonts w:eastAsia="Arial"/>
                    <w:b/>
                    <w:szCs w:val="24"/>
                  </w:rPr>
                  <w:t>Judėjimo laisvė ir fizinis aktyvumas</w:t>
                </w:r>
              </w:p>
            </w:tc>
            <w:tc>
              <w:tcPr>
                <w:tcW w:w="5850" w:type="dxa"/>
                <w:tcBorders>
                  <w:top w:val="single" w:sz="4" w:space="0" w:color="auto"/>
                  <w:left w:val="single" w:sz="4" w:space="0" w:color="auto"/>
                  <w:bottom w:val="single" w:sz="4" w:space="0" w:color="auto"/>
                  <w:right w:val="single" w:sz="4" w:space="0" w:color="auto"/>
                </w:tcBorders>
              </w:tcPr>
              <w:p>
                <w:pPr>
                  <w:rPr>
                    <w:rFonts w:eastAsia="Arial"/>
                    <w:szCs w:val="24"/>
                  </w:rPr>
                </w:pPr>
                <w:r>
                  <w:rPr>
                    <w:rFonts w:eastAsia="Arial"/>
                    <w:szCs w:val="24"/>
                  </w:rPr>
                  <w:t xml:space="preserve">Gyvenamosiose patalpose nuolat gyvenančios katės laikomos visą laiką laisvai (nenaudojama gyvūnų laikymo įranga). Šunys laikymo vietoje laikomi laisvai ir reguliariai išleidžiami iš laikymo vietos į pasivaikščiojimo vietą / nuosavą aptvertą teritoriją arba išvedami į lauką pasivaikščioti, kur gali laisvai pabėgioti. </w:t>
                </w:r>
              </w:p>
            </w:tc>
            <w:tc>
              <w:tcPr>
                <w:tcW w:w="5850" w:type="dxa"/>
                <w:tcBorders>
                  <w:top w:val="single" w:sz="4" w:space="0" w:color="auto"/>
                  <w:left w:val="single" w:sz="4" w:space="0" w:color="auto"/>
                  <w:bottom w:val="single" w:sz="4" w:space="0" w:color="auto"/>
                  <w:right w:val="single" w:sz="4" w:space="0" w:color="auto"/>
                </w:tcBorders>
              </w:tcPr>
              <w:p>
                <w:pPr>
                  <w:rPr>
                    <w:rFonts w:eastAsia="Arial"/>
                    <w:szCs w:val="24"/>
                  </w:rPr>
                </w:pPr>
                <w:r>
                  <w:rPr>
                    <w:rFonts w:eastAsia="Arial"/>
                    <w:szCs w:val="24"/>
                  </w:rPr>
                  <w:t xml:space="preserve">Gyvenamosiose patalpose nuolat gyvenančios katės laikomos visą laiką laisvai (nenaudojama gyvūnų laikymo įranga). Šunys laikymo vietoje laikomi laisvai ir reguliariai išleidžiami iš laikymo vietos į pasivaikščiojimo vietą / nuosavą aptvertą teritoriją arba išvedami į lauką pasivaikščioti, kur gali laisvai pabėgioti. </w:t>
                </w:r>
              </w:p>
            </w:tc>
          </w:tr>
          <w:tr>
            <w:tc>
              <w:tcPr>
                <w:tcW w:w="738" w:type="dxa"/>
                <w:tcBorders>
                  <w:top w:val="single" w:sz="4" w:space="0" w:color="auto"/>
                  <w:left w:val="single" w:sz="4" w:space="0" w:color="auto"/>
                  <w:bottom w:val="single" w:sz="4" w:space="0" w:color="auto"/>
                  <w:right w:val="single" w:sz="4" w:space="0" w:color="auto"/>
                </w:tcBorders>
              </w:tcPr>
              <w:p>
                <w:pPr>
                  <w:jc w:val="center"/>
                  <w:rPr>
                    <w:rFonts w:eastAsia="Arial"/>
                    <w:b/>
                    <w:szCs w:val="24"/>
                  </w:rPr>
                </w:pPr>
                <w:r>
                  <w:rPr>
                    <w:rFonts w:eastAsia="Arial"/>
                    <w:b/>
                    <w:szCs w:val="24"/>
                  </w:rPr>
                  <w:t>10.</w:t>
                </w:r>
              </w:p>
            </w:tc>
            <w:tc>
              <w:tcPr>
                <w:tcW w:w="2700" w:type="dxa"/>
                <w:tcBorders>
                  <w:top w:val="single" w:sz="4" w:space="0" w:color="auto"/>
                  <w:left w:val="single" w:sz="4" w:space="0" w:color="auto"/>
                  <w:bottom w:val="single" w:sz="4" w:space="0" w:color="auto"/>
                  <w:right w:val="single" w:sz="4" w:space="0" w:color="auto"/>
                </w:tcBorders>
              </w:tcPr>
              <w:p>
                <w:pPr>
                  <w:rPr>
                    <w:rFonts w:eastAsia="Arial"/>
                    <w:b/>
                    <w:szCs w:val="24"/>
                  </w:rPr>
                </w:pPr>
                <w:r>
                  <w:rPr>
                    <w:rFonts w:eastAsia="Arial"/>
                    <w:b/>
                    <w:szCs w:val="24"/>
                  </w:rPr>
                  <w:t>Gyvūnų augintinių užimtumas ir socializacija</w:t>
                </w:r>
              </w:p>
              <w:p>
                <w:pPr>
                  <w:rPr>
                    <w:sz w:val="14"/>
                    <w:szCs w:val="14"/>
                  </w:rPr>
                </w:pPr>
              </w:p>
              <w:p>
                <w:pPr>
                  <w:rPr>
                    <w:rFonts w:eastAsia="Arial"/>
                    <w:b/>
                    <w:color w:val="FF0000"/>
                    <w:szCs w:val="24"/>
                  </w:rPr>
                </w:pPr>
              </w:p>
              <w:p>
                <w:pPr>
                  <w:rPr>
                    <w:sz w:val="14"/>
                    <w:szCs w:val="14"/>
                  </w:rPr>
                </w:pPr>
              </w:p>
              <w:p>
                <w:pPr>
                  <w:rPr>
                    <w:rFonts w:eastAsia="Arial"/>
                    <w:b/>
                    <w:color w:val="FF0000"/>
                    <w:szCs w:val="24"/>
                    <w:lang w:val="lt"/>
                  </w:rPr>
                </w:pPr>
              </w:p>
            </w:tc>
            <w:tc>
              <w:tcPr>
                <w:tcW w:w="5850" w:type="dxa"/>
                <w:tcBorders>
                  <w:top w:val="single" w:sz="4" w:space="0" w:color="auto"/>
                  <w:left w:val="single" w:sz="4" w:space="0" w:color="auto"/>
                  <w:bottom w:val="single" w:sz="4" w:space="0" w:color="auto"/>
                  <w:right w:val="single" w:sz="4" w:space="0" w:color="auto"/>
                </w:tcBorders>
              </w:tcPr>
              <w:p>
                <w:pPr>
                  <w:rPr>
                    <w:rFonts w:eastAsia="Arial"/>
                    <w:szCs w:val="24"/>
                  </w:rPr>
                </w:pPr>
                <w:r>
                  <w:rPr>
                    <w:rFonts w:eastAsia="Arial"/>
                    <w:szCs w:val="24"/>
                  </w:rPr>
                  <w:t xml:space="preserve">Veisėjas turi parengęs ir įgyvendina gyvūnų augintinių (šunų, kačių) užimtumo programą, atitinkančią jų rūšį, amžių, fizines galimybes. Veisėjai ar gyvūnus augintinius prižiūrintys asmenys reguliariai bendrauja su gyvūnais augintiniais (jauniklius pratina prie rankų, žmonių, supažindina su aplinka, pratina prie garsų). Etologiniams poreikiams tenkinti skirtos įrangos (žaidimams skirtų priemonių, katėms skirtų draskyklių / laipyklių lygių (aikštelių, ant kurių / kuriose vienu metu gali tupėti viena katė)) skaičius ne mažesnis kaip 50 proc. laikomų suaugusių, veisimui naudojamų gyvūnų augintinių skaičiaus.  </w:t>
                </w:r>
              </w:p>
            </w:tc>
            <w:tc>
              <w:tcPr>
                <w:tcW w:w="5850" w:type="dxa"/>
                <w:tcBorders>
                  <w:top w:val="single" w:sz="4" w:space="0" w:color="auto"/>
                  <w:left w:val="single" w:sz="4" w:space="0" w:color="auto"/>
                  <w:bottom w:val="single" w:sz="4" w:space="0" w:color="auto"/>
                  <w:right w:val="single" w:sz="4" w:space="0" w:color="auto"/>
                </w:tcBorders>
              </w:tcPr>
              <w:p>
                <w:pPr>
                  <w:rPr>
                    <w:rFonts w:eastAsia="Arial"/>
                    <w:szCs w:val="24"/>
                  </w:rPr>
                </w:pPr>
                <w:r>
                  <w:rPr>
                    <w:rFonts w:eastAsia="Arial"/>
                    <w:szCs w:val="24"/>
                  </w:rPr>
                  <w:t xml:space="preserve">Veisėjas turi parengęs ir įgyvendina gyvūnų augintinių (šunų, kačių) užimtumo programą, atitinkančią jų rūšį, amžių, fizines galimybes. Veisėjai ar gyvūnus augintinius prižiūrintys asmenys reguliariai bendrauja su gyvūnais augintiniais (jauniklius pratina prie rankų, žmonių, supažindina su aplinka, pratina prie garsų). Etologiniams poreikiams tenkinti skirtos įrangos (žaidimams skirtų </w:t>
                </w:r>
                <w:r>
                  <w:rPr>
                    <w:rFonts w:eastAsia="Arial"/>
                    <w:szCs w:val="24"/>
                    <w:lang w:eastAsia="lt-LT"/>
                  </w:rPr>
                  <w:t xml:space="preserve">priemonių, katėms skirtų draskyklių / laipyklių </w:t>
                </w:r>
                <w:r>
                  <w:rPr>
                    <w:rFonts w:eastAsia="Arial"/>
                    <w:szCs w:val="24"/>
                  </w:rPr>
                  <w:t>lygių</w:t>
                </w:r>
                <w:r>
                  <w:rPr>
                    <w:rFonts w:eastAsia="Arial"/>
                    <w:szCs w:val="24"/>
                    <w:lang w:eastAsia="lt-LT"/>
                  </w:rPr>
                  <w:t xml:space="preserve"> (aikštelių, ant kurių / kuriose vienu metu gali tupėti viena katė))</w:t>
                </w:r>
                <w:r>
                  <w:rPr>
                    <w:rFonts w:eastAsia="Arial"/>
                    <w:szCs w:val="24"/>
                  </w:rPr>
                  <w:t xml:space="preserve"> skaičius ne mažesnis kaip 70 proc. laikomų suaugusių, veisimui naudojamų gyvūnų augintinių skaičiaus.  </w:t>
                </w:r>
              </w:p>
            </w:tc>
          </w:tr>
        </w:tbl>
        <w:p>
          <w:pPr>
            <w:spacing w:line="276" w:lineRule="auto"/>
            <w:jc w:val="both"/>
            <w:rPr>
              <w:rFonts w:eastAsia="Arial"/>
              <w:szCs w:val="24"/>
              <w:lang w:val="lt" w:eastAsia="lt-LT"/>
            </w:rPr>
          </w:pPr>
        </w:p>
        <w:p>
          <w:pPr>
            <w:spacing w:line="276" w:lineRule="auto"/>
            <w:ind w:firstLine="720"/>
            <w:jc w:val="both"/>
            <w:rPr>
              <w:rFonts w:eastAsia="Arial"/>
              <w:szCs w:val="24"/>
              <w:lang w:val="lt" w:eastAsia="lt-LT"/>
            </w:rPr>
          </w:pPr>
          <w:r>
            <w:rPr>
              <w:rFonts w:eastAsia="Arial"/>
              <w:szCs w:val="24"/>
              <w:lang w:eastAsia="lt-LT"/>
            </w:rPr>
            <w:t xml:space="preserve">* </w:t>
          </w:r>
          <w:r>
            <w:rPr>
              <w:szCs w:val="24"/>
              <w:lang w:eastAsia="lt-LT"/>
            </w:rPr>
            <w:t>Veterinarijos reikalavimai gyvūnų augintinių veisėjams, patvirtinti Valstybinės maisto ir veterinarijos tarnybos direktoriaus 2013 m. liepos 30 d. įsakymu Nr. B1-508 „Dėl Veterinarijos reikalavimų gyvūnų augintinių veisėjams patvirtinimo“.</w:t>
          </w:r>
        </w:p>
        <w:p>
          <w:pPr>
            <w:spacing w:line="276" w:lineRule="auto"/>
            <w:jc w:val="both"/>
            <w:rPr>
              <w:rFonts w:eastAsia="Arial"/>
              <w:szCs w:val="24"/>
              <w:lang w:val="lt" w:eastAsia="lt-LT"/>
            </w:rPr>
          </w:pPr>
        </w:p>
        <w:p>
          <w:pPr>
            <w:spacing w:line="276" w:lineRule="auto"/>
            <w:jc w:val="center"/>
            <w:rPr>
              <w:rFonts w:eastAsia="Arial"/>
              <w:szCs w:val="24"/>
              <w:lang w:val="lt" w:eastAsia="lt-LT"/>
            </w:rPr>
          </w:pPr>
          <w:r>
            <w:rPr>
              <w:rFonts w:eastAsia="Arial"/>
              <w:szCs w:val="24"/>
              <w:lang w:val="lt" w:eastAsia="lt-LT"/>
            </w:rPr>
            <w:t>_______________________________________________________________</w:t>
          </w:r>
        </w:p>
        <w:p>
          <w:pPr>
            <w:spacing w:line="276" w:lineRule="auto"/>
            <w:jc w:val="both"/>
            <w:rPr>
              <w:rFonts w:eastAsia="Arial"/>
              <w:szCs w:val="24"/>
              <w:lang w:val="lt" w:eastAsia="lt-LT"/>
            </w:rPr>
          </w:pPr>
        </w:p>
        <w:p>
          <w:pPr>
            <w:spacing w:line="276" w:lineRule="auto"/>
            <w:jc w:val="both"/>
            <w:rPr>
              <w:rFonts w:eastAsia="Arial"/>
              <w:szCs w:val="24"/>
              <w:lang w:val="lt" w:eastAsia="lt-LT"/>
            </w:rPr>
          </w:pPr>
        </w:p>
        <w:p>
          <w:pPr>
            <w:spacing w:line="276" w:lineRule="auto"/>
            <w:jc w:val="both"/>
            <w:rPr>
              <w:rFonts w:eastAsia="Arial"/>
              <w:szCs w:val="24"/>
              <w:lang w:val="lt" w:eastAsia="lt-LT"/>
            </w:rPr>
          </w:pPr>
        </w:p>
        <w:p>
          <w:pPr>
            <w:spacing w:line="276" w:lineRule="auto"/>
            <w:jc w:val="both"/>
            <w:rPr>
              <w:rFonts w:eastAsia="Arial"/>
              <w:szCs w:val="24"/>
              <w:lang w:val="lt" w:eastAsia="lt-LT"/>
            </w:rPr>
          </w:pPr>
        </w:p>
        <w:p>
          <w:pPr>
            <w:spacing w:line="276" w:lineRule="auto"/>
            <w:jc w:val="both"/>
            <w:rPr>
              <w:rFonts w:eastAsia="Arial"/>
              <w:szCs w:val="24"/>
              <w:lang w:val="lt" w:eastAsia="lt-LT"/>
            </w:rPr>
          </w:pPr>
        </w:p>
        <w:p>
          <w:pPr>
            <w:spacing w:line="276" w:lineRule="auto"/>
            <w:jc w:val="both"/>
            <w:rPr>
              <w:rFonts w:eastAsia="Arial"/>
              <w:szCs w:val="24"/>
              <w:lang w:val="lt" w:eastAsia="lt-LT"/>
            </w:rPr>
          </w:pPr>
        </w:p>
        <w:p>
          <w:pPr>
            <w:ind w:left="8640"/>
            <w:rPr>
              <w:szCs w:val="24"/>
              <w:lang w:eastAsia="lt-LT"/>
            </w:rPr>
            <w:sectPr>
              <w:pgSz w:w="16834" w:h="11909" w:orient="landscape"/>
              <w:pgMar w:top="1440" w:right="1440" w:bottom="1440" w:left="1440" w:header="720" w:footer="720" w:gutter="0"/>
              <w:pgNumType w:start="1"/>
              <w:cols w:space="1296"/>
              <w:titlePg/>
              <w:docGrid w:linePitch="299"/>
            </w:sectPr>
          </w:pPr>
        </w:p>
        <w:p>
          <w:pPr>
            <w:tabs>
              <w:tab w:val="center" w:pos="4819"/>
              <w:tab w:val="right" w:pos="9638"/>
            </w:tabs>
            <w:rPr>
              <w:rFonts w:ascii="Arial" w:eastAsia="Arial" w:hAnsi="Arial" w:cs="Arial"/>
              <w:sz w:val="22"/>
              <w:szCs w:val="22"/>
              <w:lang w:val="lt" w:eastAsia="lt-LT"/>
            </w:rPr>
          </w:pPr>
        </w:p>
      </w:sdtContent>
    </w:sdt>
    <w:sdt>
      <w:sdtPr>
        <w:alias w:val="2 pr."/>
        <w:tag w:val="part_d8586dbbb8734f2987fabf6c8c759308"/>
        <w:lock w:val="sdtLocked"/>
        <w:richText/>
      </w:sdtPr>
      <w:sdtContent>
        <w:p>
          <w:pPr>
            <w:ind w:left="8640"/>
            <w:rPr>
              <w:szCs w:val="24"/>
              <w:lang w:eastAsia="lt-LT"/>
            </w:rPr>
          </w:pPr>
          <w:r>
            <w:rPr>
              <w:szCs w:val="24"/>
              <w:lang w:eastAsia="lt-LT"/>
            </w:rPr>
            <w:t>Gyvūnų augintinių veisėjų ir gyvūnų augintinių laikino apgyvendinimo paslaugos teikėjų veiklos atitikties gyvūnų gerovės kriterijams vertinimo tvarkos aprašo</w:t>
          </w:r>
        </w:p>
        <w:p>
          <w:pPr>
            <w:spacing w:line="276" w:lineRule="auto"/>
            <w:ind w:left="7920" w:firstLine="720"/>
            <w:jc w:val="both"/>
            <w:rPr>
              <w:szCs w:val="24"/>
              <w:lang w:eastAsia="lt-LT"/>
            </w:rPr>
          </w:pPr>
          <w:sdt>
            <w:sdtPr>
              <w:alias w:val="Numeris"/>
              <w:tag w:val="nr_d8586dbbb8734f2987fabf6c8c759308"/>
              <w:lock w:val="sdtLocked"/>
              <w:richText/>
            </w:sdtPr>
            <w:sdtContent>
              <w:r>
                <w:rPr>
                  <w:szCs w:val="24"/>
                  <w:lang w:eastAsia="lt-LT"/>
                </w:rPr>
                <w:t>2</w:t>
              </w:r>
            </w:sdtContent>
          </w:sdt>
          <w:r>
            <w:rPr>
              <w:szCs w:val="24"/>
              <w:lang w:eastAsia="lt-LT"/>
            </w:rPr>
            <w:t xml:space="preserve"> priedas</w:t>
          </w:r>
        </w:p>
        <w:p>
          <w:pPr>
            <w:spacing w:line="276" w:lineRule="auto"/>
            <w:ind w:left="7920" w:firstLine="720"/>
            <w:jc w:val="both"/>
            <w:rPr>
              <w:rFonts w:eastAsia="Arial"/>
              <w:szCs w:val="24"/>
              <w:lang w:val="lt" w:eastAsia="lt-LT"/>
            </w:rPr>
          </w:pPr>
        </w:p>
        <w:p>
          <w:pPr>
            <w:spacing w:line="276" w:lineRule="auto"/>
            <w:ind w:left="720" w:firstLine="720"/>
            <w:jc w:val="center"/>
            <w:rPr>
              <w:rFonts w:eastAsia="Arial"/>
              <w:b/>
              <w:szCs w:val="24"/>
              <w:lang w:val="lt" w:eastAsia="lt-LT"/>
            </w:rPr>
          </w:pPr>
          <w:sdt>
            <w:sdtPr>
              <w:alias w:val="Pavadinimas"/>
              <w:tag w:val="title_d8586dbbb8734f2987fabf6c8c759308"/>
              <w:lock w:val="sdtLocked"/>
              <w:richText/>
            </w:sdtPr>
            <w:sdtContent>
              <w:r>
                <w:rPr>
                  <w:b/>
                  <w:bCs/>
                  <w:szCs w:val="24"/>
                  <w:lang w:eastAsia="lt-LT"/>
                </w:rPr>
                <w:t xml:space="preserve">GYVŪNŲ AUGINTINIŲ LAIKINO APGYVENDINIMO PASLAUGOS TEIKĖJŲ </w:t>
              </w:r>
              <w:r>
                <w:rPr>
                  <w:rFonts w:eastAsia="Arial"/>
                  <w:b/>
                  <w:szCs w:val="24"/>
                  <w:lang w:val="lt" w:eastAsia="lt-LT"/>
                </w:rPr>
                <w:t>VEIKLOS ATITIKTIES GYVŪNŲ GEROVĖS KRITERIJAMS VERTINIMAS</w:t>
              </w:r>
            </w:sdtContent>
          </w:sdt>
        </w:p>
        <w:p>
          <w:pPr>
            <w:spacing w:line="276" w:lineRule="auto"/>
            <w:ind w:left="720" w:firstLine="720"/>
            <w:jc w:val="center"/>
            <w:rPr>
              <w:rFonts w:eastAsia="Arial"/>
              <w:szCs w:val="24"/>
              <w:lang w:val="lt" w:eastAsia="lt-LT"/>
            </w:rPr>
          </w:pPr>
        </w:p>
        <w:p>
          <w:pPr>
            <w:spacing w:line="276" w:lineRule="auto"/>
            <w:ind w:left="1440" w:firstLine="720"/>
            <w:jc w:val="right"/>
            <w:rPr>
              <w:rFonts w:eastAsia="Arial"/>
              <w:szCs w:val="24"/>
              <w:lang w:val="lt" w:eastAsia="lt-LT"/>
            </w:rPr>
          </w:pPr>
        </w:p>
        <w:tbl>
          <w:tblPr>
            <w:tblW w:w="151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38"/>
            <w:gridCol w:w="2700"/>
            <w:gridCol w:w="5850"/>
            <w:gridCol w:w="5850"/>
          </w:tblGrid>
          <w:tr>
            <w:trPr>
              <w:trHeight w:val="414"/>
            </w:trPr>
            <w:tc>
              <w:tcPr>
                <w:tcW w:w="738" w:type="dxa"/>
                <w:vMerge w:val="restart"/>
                <w:tcBorders>
                  <w:top w:val="single" w:sz="4" w:space="0" w:color="auto"/>
                  <w:left w:val="single" w:sz="4" w:space="0" w:color="auto"/>
                  <w:right w:val="single" w:sz="4" w:space="0" w:color="auto"/>
                </w:tcBorders>
              </w:tcPr>
              <w:p>
                <w:pPr>
                  <w:jc w:val="center"/>
                  <w:rPr>
                    <w:rFonts w:eastAsia="Calibri"/>
                    <w:b/>
                    <w:szCs w:val="24"/>
                  </w:rPr>
                </w:pPr>
                <w:r>
                  <w:rPr>
                    <w:rFonts w:eastAsia="Calibri"/>
                    <w:b/>
                    <w:szCs w:val="24"/>
                  </w:rPr>
                  <w:t>NR.</w:t>
                </w:r>
              </w:p>
            </w:tc>
            <w:tc>
              <w:tcPr>
                <w:tcW w:w="2700" w:type="dxa"/>
                <w:vMerge w:val="restart"/>
                <w:tcBorders>
                  <w:top w:val="single" w:sz="4" w:space="0" w:color="auto"/>
                  <w:left w:val="single" w:sz="4" w:space="0" w:color="auto"/>
                  <w:bottom w:val="single" w:sz="4" w:space="0" w:color="auto"/>
                  <w:right w:val="single" w:sz="4" w:space="0" w:color="auto"/>
                </w:tcBorders>
                <w:hideMark/>
              </w:tcPr>
              <w:p>
                <w:pPr>
                  <w:jc w:val="center"/>
                  <w:rPr>
                    <w:rFonts w:eastAsia="Calibri"/>
                    <w:b/>
                    <w:szCs w:val="24"/>
                  </w:rPr>
                </w:pPr>
                <w:r>
                  <w:rPr>
                    <w:rFonts w:eastAsia="Calibri"/>
                    <w:b/>
                    <w:szCs w:val="24"/>
                  </w:rPr>
                  <w:t>GYVŪNŲ GEROVĖS KRITERIJUS</w:t>
                </w:r>
              </w:p>
            </w:tc>
            <w:tc>
              <w:tcPr>
                <w:tcW w:w="11700" w:type="dxa"/>
                <w:gridSpan w:val="2"/>
                <w:tcBorders>
                  <w:top w:val="single" w:sz="4" w:space="0" w:color="auto"/>
                  <w:left w:val="single" w:sz="4" w:space="0" w:color="auto"/>
                  <w:bottom w:val="single" w:sz="4" w:space="0" w:color="auto"/>
                  <w:right w:val="single" w:sz="4" w:space="0" w:color="auto"/>
                </w:tcBorders>
                <w:hideMark/>
              </w:tcPr>
              <w:p>
                <w:pPr>
                  <w:jc w:val="center"/>
                  <w:rPr>
                    <w:rFonts w:eastAsia="Calibri"/>
                    <w:b/>
                    <w:szCs w:val="24"/>
                  </w:rPr>
                </w:pPr>
                <w:r>
                  <w:rPr>
                    <w:rFonts w:eastAsia="Calibri"/>
                    <w:b/>
                    <w:szCs w:val="24"/>
                  </w:rPr>
                  <w:t>ĮVERTINIMAS (LYGIS)</w:t>
                </w:r>
              </w:p>
            </w:tc>
          </w:tr>
          <w:tr>
            <w:trPr>
              <w:trHeight w:val="414"/>
            </w:trPr>
            <w:tc>
              <w:tcPr>
                <w:tcW w:w="738" w:type="dxa"/>
                <w:vMerge/>
                <w:tcBorders>
                  <w:left w:val="single" w:sz="4" w:space="0" w:color="auto"/>
                  <w:bottom w:val="single" w:sz="4" w:space="0" w:color="auto"/>
                  <w:right w:val="single" w:sz="4" w:space="0" w:color="auto"/>
                </w:tcBorders>
              </w:tcPr>
              <w:p>
                <w:pPr>
                  <w:rPr>
                    <w:rFonts w:eastAsia="Calibri"/>
                    <w:b/>
                    <w:szCs w:val="24"/>
                  </w:rPr>
                </w:pPr>
              </w:p>
            </w:tc>
            <w:tc>
              <w:tcPr>
                <w:tcW w:w="2700"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b/>
                    <w:szCs w:val="24"/>
                  </w:rPr>
                </w:pPr>
              </w:p>
            </w:tc>
            <w:tc>
              <w:tcPr>
                <w:tcW w:w="5850" w:type="dxa"/>
                <w:tcBorders>
                  <w:top w:val="single" w:sz="4" w:space="0" w:color="auto"/>
                  <w:left w:val="single" w:sz="4" w:space="0" w:color="auto"/>
                  <w:bottom w:val="single" w:sz="4" w:space="0" w:color="auto"/>
                  <w:right w:val="single" w:sz="4" w:space="0" w:color="auto"/>
                </w:tcBorders>
                <w:hideMark/>
              </w:tcPr>
              <w:p>
                <w:pPr>
                  <w:jc w:val="center"/>
                  <w:rPr>
                    <w:rFonts w:eastAsia="Calibri"/>
                    <w:b/>
                    <w:szCs w:val="24"/>
                  </w:rPr>
                </w:pPr>
                <w:r>
                  <w:rPr>
                    <w:rFonts w:eastAsia="Calibri"/>
                    <w:b/>
                    <w:szCs w:val="24"/>
                  </w:rPr>
                  <w:t xml:space="preserve">1 </w:t>
                </w:r>
              </w:p>
            </w:tc>
            <w:tc>
              <w:tcPr>
                <w:tcW w:w="5850" w:type="dxa"/>
                <w:tcBorders>
                  <w:top w:val="single" w:sz="4" w:space="0" w:color="auto"/>
                  <w:left w:val="single" w:sz="4" w:space="0" w:color="auto"/>
                  <w:bottom w:val="single" w:sz="4" w:space="0" w:color="auto"/>
                  <w:right w:val="single" w:sz="4" w:space="0" w:color="auto"/>
                </w:tcBorders>
                <w:hideMark/>
              </w:tcPr>
              <w:p>
                <w:pPr>
                  <w:jc w:val="center"/>
                  <w:rPr>
                    <w:rFonts w:eastAsia="Calibri"/>
                    <w:b/>
                    <w:szCs w:val="24"/>
                  </w:rPr>
                </w:pPr>
                <w:r>
                  <w:rPr>
                    <w:rFonts w:eastAsia="Calibri"/>
                    <w:b/>
                    <w:szCs w:val="24"/>
                  </w:rPr>
                  <w:t>2</w:t>
                </w:r>
              </w:p>
            </w:tc>
          </w:tr>
          <w:tr>
            <w:trPr>
              <w:trHeight w:val="414"/>
            </w:trPr>
            <w:tc>
              <w:tcPr>
                <w:tcW w:w="738" w:type="dxa"/>
                <w:tcBorders>
                  <w:top w:val="single" w:sz="4" w:space="0" w:color="auto"/>
                  <w:left w:val="single" w:sz="4" w:space="0" w:color="auto"/>
                  <w:bottom w:val="single" w:sz="4" w:space="0" w:color="auto"/>
                  <w:right w:val="single" w:sz="4" w:space="0" w:color="auto"/>
                </w:tcBorders>
              </w:tcPr>
              <w:p>
                <w:pPr>
                  <w:jc w:val="center"/>
                  <w:rPr>
                    <w:rFonts w:eastAsia="Calibri"/>
                    <w:b/>
                    <w:szCs w:val="24"/>
                  </w:rPr>
                </w:pPr>
                <w:r>
                  <w:rPr>
                    <w:rFonts w:eastAsia="Calibri"/>
                    <w:b/>
                    <w:szCs w:val="24"/>
                  </w:rPr>
                  <w:t>1.</w:t>
                </w:r>
              </w:p>
            </w:tc>
            <w:tc>
              <w:tcPr>
                <w:tcW w:w="2700" w:type="dxa"/>
                <w:tcBorders>
                  <w:top w:val="single" w:sz="4" w:space="0" w:color="auto"/>
                  <w:left w:val="single" w:sz="4" w:space="0" w:color="auto"/>
                  <w:bottom w:val="single" w:sz="4" w:space="0" w:color="auto"/>
                  <w:right w:val="single" w:sz="4" w:space="0" w:color="auto"/>
                </w:tcBorders>
                <w:hideMark/>
              </w:tcPr>
              <w:p>
                <w:pPr>
                  <w:rPr>
                    <w:rFonts w:eastAsia="Calibri"/>
                    <w:b/>
                    <w:szCs w:val="24"/>
                  </w:rPr>
                </w:pPr>
                <w:r>
                  <w:rPr>
                    <w:rFonts w:eastAsia="Calibri"/>
                    <w:b/>
                    <w:szCs w:val="24"/>
                  </w:rPr>
                  <w:t>Patalpų įrengimas</w:t>
                </w:r>
              </w:p>
            </w:tc>
            <w:tc>
              <w:tcPr>
                <w:tcW w:w="5850" w:type="dxa"/>
                <w:tcBorders>
                  <w:top w:val="single" w:sz="4" w:space="0" w:color="auto"/>
                  <w:left w:val="single" w:sz="4" w:space="0" w:color="auto"/>
                  <w:bottom w:val="single" w:sz="4" w:space="0" w:color="auto"/>
                  <w:right w:val="single" w:sz="4" w:space="0" w:color="auto"/>
                </w:tcBorders>
                <w:hideMark/>
              </w:tcPr>
              <w:p>
                <w:pPr>
                  <w:rPr>
                    <w:rFonts w:eastAsia="Calibri"/>
                    <w:szCs w:val="24"/>
                  </w:rPr>
                </w:pPr>
                <w:r>
                  <w:rPr>
                    <w:rFonts w:eastAsia="Calibri"/>
                    <w:szCs w:val="24"/>
                  </w:rPr>
                  <w:t>Gyvūnų augintinių viešbutyje (toliau – viešbutis) yra įrengtos uždaros vidaus žaidimų aikštelės, pritaikytos pagal gyvūno augintinio (toliau – gyvūnas) rūšį, su neslidžia grindų danga.</w:t>
                </w:r>
              </w:p>
              <w:p>
                <w:pPr>
                  <w:rPr>
                    <w:rFonts w:eastAsia="Calibri"/>
                    <w:szCs w:val="24"/>
                  </w:rPr>
                </w:pPr>
                <w:r>
                  <w:rPr>
                    <w:rFonts w:eastAsia="Calibri"/>
                    <w:szCs w:val="24"/>
                  </w:rPr>
                  <w:t>Yra įrengta lauko žaidimų aikštelė šunims.</w:t>
                </w:r>
              </w:p>
              <w:p>
                <w:pPr>
                  <w:rPr>
                    <w:rFonts w:eastAsia="Calibri"/>
                    <w:szCs w:val="24"/>
                  </w:rPr>
                </w:pPr>
              </w:p>
            </w:tc>
            <w:tc>
              <w:tcPr>
                <w:tcW w:w="5850" w:type="dxa"/>
                <w:tcBorders>
                  <w:top w:val="single" w:sz="4" w:space="0" w:color="auto"/>
                  <w:left w:val="single" w:sz="4" w:space="0" w:color="auto"/>
                  <w:bottom w:val="single" w:sz="4" w:space="0" w:color="auto"/>
                  <w:right w:val="single" w:sz="4" w:space="0" w:color="auto"/>
                </w:tcBorders>
              </w:tcPr>
              <w:p>
                <w:pPr>
                  <w:rPr>
                    <w:rFonts w:eastAsia="Calibri"/>
                    <w:szCs w:val="24"/>
                  </w:rPr>
                </w:pPr>
                <w:r>
                  <w:rPr>
                    <w:rFonts w:eastAsia="Calibri"/>
                    <w:szCs w:val="24"/>
                  </w:rPr>
                  <w:t>Viešbutyje yra įrengtos uždaros vidaus žaidimų aikštelės, pritaikytos pagal gyvūno rūšį, su neslidžia grindų danga.</w:t>
                </w:r>
              </w:p>
              <w:p>
                <w:pPr>
                  <w:rPr>
                    <w:rFonts w:eastAsia="Calibri"/>
                    <w:szCs w:val="24"/>
                  </w:rPr>
                </w:pPr>
                <w:r>
                  <w:rPr>
                    <w:rFonts w:eastAsia="Calibri"/>
                    <w:szCs w:val="24"/>
                  </w:rPr>
                  <w:t>Yra įrengta lauko žaidimų aikštelė šunims. Gyvūnai apsaugoti nuo pabėgimo iš laikymo patalpos už viešbučio teritorijos ne mažiau kaip trimis barjerais (durys, vartai ar pan.). Atsižvelgiant į individualius gyvūno poreikius, yra įrengtų laikymo vietų, iš kurių yra galimybė nematyti kitų gyvūnų.</w:t>
                </w:r>
              </w:p>
            </w:tc>
          </w:tr>
          <w:tr>
            <w:trPr>
              <w:trHeight w:val="414"/>
            </w:trPr>
            <w:tc>
              <w:tcPr>
                <w:tcW w:w="738" w:type="dxa"/>
                <w:tcBorders>
                  <w:top w:val="single" w:sz="4" w:space="0" w:color="auto"/>
                  <w:left w:val="single" w:sz="4" w:space="0" w:color="auto"/>
                  <w:bottom w:val="single" w:sz="4" w:space="0" w:color="auto"/>
                  <w:right w:val="single" w:sz="4" w:space="0" w:color="auto"/>
                </w:tcBorders>
              </w:tcPr>
              <w:p>
                <w:pPr>
                  <w:jc w:val="center"/>
                  <w:rPr>
                    <w:rFonts w:eastAsia="Calibri"/>
                    <w:b/>
                    <w:szCs w:val="24"/>
                  </w:rPr>
                </w:pPr>
                <w:r>
                  <w:rPr>
                    <w:rFonts w:eastAsia="Calibri"/>
                    <w:b/>
                    <w:szCs w:val="24"/>
                  </w:rPr>
                  <w:t>2.</w:t>
                </w:r>
              </w:p>
            </w:tc>
            <w:tc>
              <w:tcPr>
                <w:tcW w:w="2700" w:type="dxa"/>
                <w:tcBorders>
                  <w:top w:val="single" w:sz="4" w:space="0" w:color="auto"/>
                  <w:left w:val="single" w:sz="4" w:space="0" w:color="auto"/>
                  <w:bottom w:val="single" w:sz="4" w:space="0" w:color="auto"/>
                  <w:right w:val="single" w:sz="4" w:space="0" w:color="auto"/>
                </w:tcBorders>
                <w:hideMark/>
              </w:tcPr>
              <w:p>
                <w:pPr>
                  <w:rPr>
                    <w:rFonts w:eastAsia="Calibri"/>
                    <w:b/>
                    <w:szCs w:val="24"/>
                  </w:rPr>
                </w:pPr>
                <w:r>
                  <w:rPr>
                    <w:rFonts w:eastAsia="Calibri"/>
                    <w:b/>
                    <w:szCs w:val="24"/>
                  </w:rPr>
                  <w:t>Papildomas gyvūnų užimtumas</w:t>
                </w:r>
              </w:p>
            </w:tc>
            <w:tc>
              <w:tcPr>
                <w:tcW w:w="5850" w:type="dxa"/>
                <w:tcBorders>
                  <w:top w:val="single" w:sz="4" w:space="0" w:color="auto"/>
                  <w:left w:val="single" w:sz="4" w:space="0" w:color="auto"/>
                  <w:bottom w:val="single" w:sz="4" w:space="0" w:color="auto"/>
                  <w:right w:val="single" w:sz="4" w:space="0" w:color="auto"/>
                </w:tcBorders>
                <w:hideMark/>
              </w:tcPr>
              <w:p>
                <w:pPr>
                  <w:rPr>
                    <w:rFonts w:eastAsia="Calibri"/>
                    <w:szCs w:val="24"/>
                  </w:rPr>
                </w:pPr>
                <w:r>
                  <w:rPr>
                    <w:rFonts w:eastAsia="Calibri"/>
                    <w:szCs w:val="24"/>
                  </w:rPr>
                  <w:t xml:space="preserve">Viešbutyje yra sudaryta ir įgyvendinama gyvūnų užimtumo programa, atitinkanti jų rūšį, amžių, fizines galimybes. </w:t>
                </w:r>
              </w:p>
              <w:p>
                <w:pPr>
                  <w:rPr>
                    <w:rFonts w:eastAsia="Calibri"/>
                    <w:szCs w:val="24"/>
                  </w:rPr>
                </w:pPr>
                <w:r>
                  <w:rPr>
                    <w:rFonts w:eastAsia="Calibri"/>
                    <w:szCs w:val="24"/>
                  </w:rPr>
                  <w:t xml:space="preserve">Yra įranga ir (ar) žaidimų inventorius, kurie atitinka priimamų gyvūnų poreikius (pavyzdžiui: draskyklės katėms, žaislai, skirti šunims, katėms, ir pan.).  </w:t>
                </w:r>
              </w:p>
              <w:p>
                <w:pPr>
                  <w:rPr>
                    <w:rFonts w:eastAsia="Calibri"/>
                    <w:strike/>
                    <w:szCs w:val="24"/>
                  </w:rPr>
                </w:pPr>
              </w:p>
            </w:tc>
            <w:tc>
              <w:tcPr>
                <w:tcW w:w="5850" w:type="dxa"/>
                <w:tcBorders>
                  <w:top w:val="single" w:sz="4" w:space="0" w:color="auto"/>
                  <w:left w:val="single" w:sz="4" w:space="0" w:color="auto"/>
                  <w:bottom w:val="single" w:sz="4" w:space="0" w:color="auto"/>
                  <w:right w:val="single" w:sz="4" w:space="0" w:color="auto"/>
                </w:tcBorders>
                <w:hideMark/>
              </w:tcPr>
              <w:p>
                <w:pPr>
                  <w:rPr>
                    <w:rFonts w:eastAsia="Calibri"/>
                    <w:szCs w:val="24"/>
                  </w:rPr>
                </w:pPr>
                <w:r>
                  <w:rPr>
                    <w:rFonts w:eastAsia="Calibri"/>
                    <w:szCs w:val="24"/>
                  </w:rPr>
                  <w:t xml:space="preserve">Viešbutyje yra sudaryta ir įgyvendinama gyvūnų užimtumo programa, atitinkanti jų rūšį, amžių, fizines galimybes. </w:t>
                </w:r>
              </w:p>
              <w:p>
                <w:pPr>
                  <w:rPr>
                    <w:rFonts w:eastAsia="Calibri"/>
                    <w:szCs w:val="24"/>
                  </w:rPr>
                </w:pPr>
                <w:r>
                  <w:rPr>
                    <w:rFonts w:eastAsia="Calibri"/>
                    <w:szCs w:val="24"/>
                  </w:rPr>
                  <w:t>Yra įranga ir (ar) žaidimų inventorius, kurie atitinka priimamų gyvūnų poreikius (pavyzdžiui: draskyklės katėms, žaislai, skirti šunims, katėms, ir pan.), sudarytos sąlygos vandens pramogoms (baseinas, lauko tvenkinys ar kt.), katėms sudarytos sąlygos laipioti ne mažiau kaip dviem lygiais į aukštį ar kitoms pramogoms.</w:t>
                </w:r>
              </w:p>
              <w:p>
                <w:pPr>
                  <w:rPr>
                    <w:rFonts w:eastAsia="Calibri"/>
                    <w:szCs w:val="24"/>
                  </w:rPr>
                </w:pPr>
                <w:r>
                  <w:rPr>
                    <w:rFonts w:eastAsia="Calibri"/>
                    <w:szCs w:val="24"/>
                  </w:rPr>
                  <w:t>Yra sudaryta atskira užimtumo programa specialiųjų poreikių turintiems gyvūnams (itin jautrūs, baikštūs ar kt.), yra aprašyta svetimų šunų pažindinimo procedūra.</w:t>
                </w:r>
              </w:p>
            </w:tc>
          </w:tr>
          <w:tr>
            <w:trPr>
              <w:trHeight w:val="414"/>
            </w:trPr>
            <w:tc>
              <w:tcPr>
                <w:tcW w:w="738" w:type="dxa"/>
                <w:tcBorders>
                  <w:top w:val="single" w:sz="4" w:space="0" w:color="auto"/>
                  <w:left w:val="single" w:sz="4" w:space="0" w:color="auto"/>
                  <w:bottom w:val="single" w:sz="4" w:space="0" w:color="auto"/>
                  <w:right w:val="single" w:sz="4" w:space="0" w:color="auto"/>
                </w:tcBorders>
              </w:tcPr>
              <w:p>
                <w:pPr>
                  <w:jc w:val="center"/>
                  <w:rPr>
                    <w:rFonts w:eastAsia="Calibri"/>
                    <w:b/>
                    <w:szCs w:val="24"/>
                  </w:rPr>
                </w:pPr>
                <w:r>
                  <w:rPr>
                    <w:rFonts w:eastAsia="Calibri"/>
                    <w:b/>
                    <w:szCs w:val="24"/>
                  </w:rPr>
                  <w:t>3.</w:t>
                </w:r>
              </w:p>
            </w:tc>
            <w:tc>
              <w:tcPr>
                <w:tcW w:w="2700" w:type="dxa"/>
                <w:tcBorders>
                  <w:top w:val="single" w:sz="4" w:space="0" w:color="auto"/>
                  <w:left w:val="single" w:sz="4" w:space="0" w:color="auto"/>
                  <w:bottom w:val="single" w:sz="4" w:space="0" w:color="auto"/>
                  <w:right w:val="single" w:sz="4" w:space="0" w:color="auto"/>
                </w:tcBorders>
                <w:hideMark/>
              </w:tcPr>
              <w:p>
                <w:pPr>
                  <w:rPr>
                    <w:rFonts w:eastAsia="Calibri"/>
                    <w:b/>
                    <w:szCs w:val="24"/>
                  </w:rPr>
                </w:pPr>
                <w:r>
                  <w:rPr>
                    <w:rFonts w:eastAsia="Calibri"/>
                    <w:b/>
                    <w:szCs w:val="24"/>
                  </w:rPr>
                  <w:t>Darbuotojų kvalifikacijos kėlimas</w:t>
                </w:r>
              </w:p>
            </w:tc>
            <w:tc>
              <w:tcPr>
                <w:tcW w:w="5850" w:type="dxa"/>
                <w:tcBorders>
                  <w:top w:val="single" w:sz="4" w:space="0" w:color="auto"/>
                  <w:left w:val="single" w:sz="4" w:space="0" w:color="auto"/>
                  <w:bottom w:val="single" w:sz="4" w:space="0" w:color="auto"/>
                  <w:right w:val="single" w:sz="4" w:space="0" w:color="auto"/>
                </w:tcBorders>
                <w:hideMark/>
              </w:tcPr>
              <w:p>
                <w:pPr>
                  <w:rPr>
                    <w:rFonts w:eastAsia="Calibri"/>
                    <w:szCs w:val="24"/>
                  </w:rPr>
                </w:pPr>
                <w:r>
                  <w:rPr>
                    <w:rFonts w:eastAsia="Calibri"/>
                    <w:szCs w:val="24"/>
                  </w:rPr>
                  <w:t>Darbuotojai, prižiūrintys gyvūnus, dalyvauja mokymuose ar seminaruose, susijusiuose su gyvūnų priežiūra, gerove, elgsena, ligų atpažinimu, ne rečiau kaip kartą per 2 metus ir turi tai patvirtinančius dokumentus.</w:t>
                </w:r>
              </w:p>
            </w:tc>
            <w:tc>
              <w:tcPr>
                <w:tcW w:w="5850" w:type="dxa"/>
                <w:tcBorders>
                  <w:top w:val="single" w:sz="4" w:space="0" w:color="auto"/>
                  <w:left w:val="single" w:sz="4" w:space="0" w:color="auto"/>
                  <w:bottom w:val="single" w:sz="4" w:space="0" w:color="auto"/>
                  <w:right w:val="single" w:sz="4" w:space="0" w:color="auto"/>
                </w:tcBorders>
                <w:hideMark/>
              </w:tcPr>
              <w:p>
                <w:pPr>
                  <w:rPr>
                    <w:rFonts w:eastAsia="Calibri"/>
                    <w:szCs w:val="24"/>
                  </w:rPr>
                </w:pPr>
                <w:r>
                  <w:rPr>
                    <w:rFonts w:eastAsia="Calibri"/>
                    <w:szCs w:val="24"/>
                  </w:rPr>
                  <w:t>Darbuotojai, prižiūrintys gyvūnus, dalyvauja mokymuose ar seminaruose, susijusiuose su gyvūnų priežiūra, gerove, elgsena, ligų atpažinimu, ne rečiau kaip kartą per 1 metus ir turi tai patvirtinančius dokumentus.</w:t>
                </w:r>
              </w:p>
            </w:tc>
          </w:tr>
          <w:tr>
            <w:trPr>
              <w:trHeight w:val="414"/>
            </w:trPr>
            <w:tc>
              <w:tcPr>
                <w:tcW w:w="738" w:type="dxa"/>
                <w:tcBorders>
                  <w:top w:val="single" w:sz="4" w:space="0" w:color="auto"/>
                  <w:left w:val="single" w:sz="4" w:space="0" w:color="auto"/>
                  <w:bottom w:val="single" w:sz="4" w:space="0" w:color="auto"/>
                  <w:right w:val="single" w:sz="4" w:space="0" w:color="auto"/>
                </w:tcBorders>
              </w:tcPr>
              <w:p>
                <w:pPr>
                  <w:jc w:val="center"/>
                  <w:rPr>
                    <w:rFonts w:eastAsia="Calibri"/>
                    <w:b/>
                    <w:szCs w:val="24"/>
                  </w:rPr>
                </w:pPr>
                <w:r>
                  <w:rPr>
                    <w:rFonts w:eastAsia="Calibri"/>
                    <w:b/>
                    <w:szCs w:val="24"/>
                  </w:rPr>
                  <w:t>4.</w:t>
                </w:r>
              </w:p>
            </w:tc>
            <w:tc>
              <w:tcPr>
                <w:tcW w:w="2700" w:type="dxa"/>
                <w:tcBorders>
                  <w:top w:val="single" w:sz="4" w:space="0" w:color="auto"/>
                  <w:left w:val="single" w:sz="4" w:space="0" w:color="auto"/>
                  <w:bottom w:val="single" w:sz="4" w:space="0" w:color="auto"/>
                  <w:right w:val="single" w:sz="4" w:space="0" w:color="auto"/>
                </w:tcBorders>
                <w:hideMark/>
              </w:tcPr>
              <w:p>
                <w:pPr>
                  <w:rPr>
                    <w:rFonts w:eastAsia="Calibri"/>
                    <w:b/>
                    <w:szCs w:val="24"/>
                  </w:rPr>
                </w:pPr>
                <w:r>
                  <w:rPr>
                    <w:rFonts w:eastAsia="Calibri"/>
                    <w:b/>
                    <w:szCs w:val="24"/>
                  </w:rPr>
                  <w:t>Gyvūnų priežiūros laikas</w:t>
                </w:r>
              </w:p>
            </w:tc>
            <w:tc>
              <w:tcPr>
                <w:tcW w:w="5850" w:type="dxa"/>
                <w:tcBorders>
                  <w:top w:val="single" w:sz="4" w:space="0" w:color="auto"/>
                  <w:left w:val="single" w:sz="4" w:space="0" w:color="auto"/>
                  <w:bottom w:val="single" w:sz="4" w:space="0" w:color="auto"/>
                  <w:right w:val="single" w:sz="4" w:space="0" w:color="auto"/>
                </w:tcBorders>
                <w:hideMark/>
              </w:tcPr>
              <w:p>
                <w:pPr>
                  <w:rPr>
                    <w:rFonts w:eastAsia="Calibri"/>
                    <w:szCs w:val="24"/>
                  </w:rPr>
                </w:pPr>
                <w:r>
                  <w:rPr>
                    <w:rFonts w:eastAsia="Calibri"/>
                    <w:szCs w:val="24"/>
                  </w:rPr>
                  <w:t>Viešbučio patalpose ne trumpiau kaip 6 val. per parą būna bent vienas gyvūnus prižiūrintis asmuo.</w:t>
                </w:r>
              </w:p>
              <w:p>
                <w:pPr>
                  <w:rPr>
                    <w:rFonts w:eastAsia="Calibri"/>
                    <w:szCs w:val="24"/>
                  </w:rPr>
                </w:pPr>
              </w:p>
            </w:tc>
            <w:tc>
              <w:tcPr>
                <w:tcW w:w="5850" w:type="dxa"/>
                <w:tcBorders>
                  <w:top w:val="single" w:sz="4" w:space="0" w:color="auto"/>
                  <w:left w:val="single" w:sz="4" w:space="0" w:color="auto"/>
                  <w:bottom w:val="single" w:sz="4" w:space="0" w:color="auto"/>
                  <w:right w:val="single" w:sz="4" w:space="0" w:color="auto"/>
                </w:tcBorders>
                <w:hideMark/>
              </w:tcPr>
              <w:p>
                <w:pPr>
                  <w:rPr>
                    <w:rFonts w:eastAsia="Calibri"/>
                    <w:szCs w:val="24"/>
                  </w:rPr>
                </w:pPr>
                <w:r>
                  <w:rPr>
                    <w:rFonts w:eastAsia="Calibri"/>
                    <w:szCs w:val="24"/>
                  </w:rPr>
                  <w:t>Viešbučio patalpose ne trumpiau kaip 8 val. per parą būna bent vienas gyvūnus prižiūrintis asmuo.</w:t>
                </w:r>
              </w:p>
            </w:tc>
          </w:tr>
          <w:tr>
            <w:trPr>
              <w:trHeight w:val="414"/>
            </w:trPr>
            <w:tc>
              <w:tcPr>
                <w:tcW w:w="738" w:type="dxa"/>
                <w:tcBorders>
                  <w:top w:val="single" w:sz="4" w:space="0" w:color="auto"/>
                  <w:left w:val="single" w:sz="4" w:space="0" w:color="auto"/>
                  <w:bottom w:val="single" w:sz="4" w:space="0" w:color="auto"/>
                  <w:right w:val="single" w:sz="4" w:space="0" w:color="auto"/>
                </w:tcBorders>
              </w:tcPr>
              <w:p>
                <w:pPr>
                  <w:jc w:val="center"/>
                  <w:rPr>
                    <w:rFonts w:eastAsia="Calibri"/>
                    <w:b/>
                    <w:szCs w:val="24"/>
                  </w:rPr>
                </w:pPr>
                <w:r>
                  <w:rPr>
                    <w:rFonts w:eastAsia="Calibri"/>
                    <w:b/>
                    <w:szCs w:val="24"/>
                  </w:rPr>
                  <w:t>5.</w:t>
                </w:r>
              </w:p>
            </w:tc>
            <w:tc>
              <w:tcPr>
                <w:tcW w:w="2700" w:type="dxa"/>
                <w:tcBorders>
                  <w:top w:val="single" w:sz="4" w:space="0" w:color="auto"/>
                  <w:left w:val="single" w:sz="4" w:space="0" w:color="auto"/>
                  <w:bottom w:val="single" w:sz="4" w:space="0" w:color="auto"/>
                  <w:right w:val="single" w:sz="4" w:space="0" w:color="auto"/>
                </w:tcBorders>
              </w:tcPr>
              <w:p>
                <w:pPr>
                  <w:rPr>
                    <w:rFonts w:eastAsia="Calibri"/>
                    <w:b/>
                    <w:szCs w:val="24"/>
                  </w:rPr>
                </w:pPr>
                <w:r>
                  <w:rPr>
                    <w:rFonts w:eastAsia="Calibri"/>
                    <w:b/>
                    <w:szCs w:val="24"/>
                  </w:rPr>
                  <w:t>Papildoma vakcinacija</w:t>
                </w:r>
              </w:p>
            </w:tc>
            <w:tc>
              <w:tcPr>
                <w:tcW w:w="5850" w:type="dxa"/>
                <w:tcBorders>
                  <w:top w:val="single" w:sz="4" w:space="0" w:color="auto"/>
                  <w:left w:val="single" w:sz="4" w:space="0" w:color="auto"/>
                  <w:bottom w:val="single" w:sz="4" w:space="0" w:color="auto"/>
                  <w:right w:val="single" w:sz="4" w:space="0" w:color="auto"/>
                </w:tcBorders>
              </w:tcPr>
              <w:p>
                <w:pPr>
                  <w:ind w:firstLine="62"/>
                  <w:rPr>
                    <w:rFonts w:eastAsia="Calibri"/>
                    <w:szCs w:val="24"/>
                  </w:rPr>
                </w:pPr>
                <w:r>
                  <w:rPr>
                    <w:rFonts w:eastAsia="Arial"/>
                    <w:szCs w:val="24"/>
                    <w:lang w:eastAsia="lt-LT"/>
                  </w:rPr>
                  <w:t>Į viešbutį</w:t>
                </w:r>
                <w:r>
                  <w:rPr>
                    <w:rFonts w:eastAsia="Calibri"/>
                    <w:szCs w:val="24"/>
                  </w:rPr>
                  <w:t>:</w:t>
                </w:r>
              </w:p>
              <w:p>
                <w:pPr>
                  <w:rPr>
                    <w:rFonts w:eastAsia="Calibri"/>
                    <w:szCs w:val="24"/>
                  </w:rPr>
                </w:pPr>
                <w:r>
                  <w:rPr>
                    <w:rFonts w:eastAsia="Calibri"/>
                    <w:szCs w:val="24"/>
                  </w:rPr>
                  <w:t xml:space="preserve">1) </w:t>
                </w:r>
                <w:r>
                  <w:rPr>
                    <w:rFonts w:eastAsia="Arial"/>
                    <w:szCs w:val="24"/>
                    <w:lang w:eastAsia="lt-LT"/>
                  </w:rPr>
                  <w:t>priimami</w:t>
                </w:r>
                <w:r>
                  <w:rPr>
                    <w:rFonts w:eastAsia="Calibri"/>
                    <w:szCs w:val="24"/>
                  </w:rPr>
                  <w:t xml:space="preserve"> šunys yra vakcinuoti nuo mėsėdžių maro, mėsėdžių virusinio enterito ir infekcinio hepatito; </w:t>
                </w:r>
              </w:p>
              <w:p>
                <w:pPr>
                  <w:rPr>
                    <w:rFonts w:eastAsia="Calibri"/>
                    <w:szCs w:val="24"/>
                  </w:rPr>
                </w:pPr>
                <w:r>
                  <w:rPr>
                    <w:rFonts w:eastAsia="Calibri"/>
                    <w:szCs w:val="24"/>
                  </w:rPr>
                  <w:t xml:space="preserve">2) </w:t>
                </w:r>
                <w:r>
                  <w:rPr>
                    <w:rFonts w:eastAsia="Arial"/>
                    <w:szCs w:val="24"/>
                    <w:lang w:eastAsia="lt-LT"/>
                  </w:rPr>
                  <w:t>priimamos</w:t>
                </w:r>
                <w:r>
                  <w:rPr>
                    <w:rFonts w:eastAsia="Calibri"/>
                    <w:szCs w:val="24"/>
                  </w:rPr>
                  <w:t xml:space="preserve"> katės yra vakcinuotos nuo kalicivirozės, infekcinio rinotracheito, panleukopenijos ir leukemijos.</w:t>
                </w:r>
              </w:p>
              <w:p>
                <w:pPr>
                  <w:rPr>
                    <w:rFonts w:eastAsia="Calibri"/>
                    <w:szCs w:val="24"/>
                  </w:rPr>
                </w:pPr>
              </w:p>
              <w:p>
                <w:pPr>
                  <w:rPr>
                    <w:rFonts w:eastAsia="Calibri"/>
                    <w:szCs w:val="24"/>
                  </w:rPr>
                </w:pPr>
                <w:r>
                  <w:rPr>
                    <w:rFonts w:eastAsia="Calibri"/>
                    <w:szCs w:val="24"/>
                  </w:rPr>
                  <w:t>Viešbučio atstovas tikrina priimamų gyvūnų vakcinacijos galiojimo terminą pagal savininko (laikytojo) pateiktus dokumentus.</w:t>
                </w:r>
              </w:p>
            </w:tc>
            <w:tc>
              <w:tcPr>
                <w:tcW w:w="5850" w:type="dxa"/>
                <w:tcBorders>
                  <w:top w:val="single" w:sz="4" w:space="0" w:color="auto"/>
                  <w:left w:val="single" w:sz="4" w:space="0" w:color="auto"/>
                  <w:bottom w:val="single" w:sz="4" w:space="0" w:color="auto"/>
                  <w:right w:val="single" w:sz="4" w:space="0" w:color="auto"/>
                </w:tcBorders>
              </w:tcPr>
              <w:p>
                <w:pPr>
                  <w:rPr>
                    <w:rFonts w:eastAsia="Calibri"/>
                    <w:szCs w:val="24"/>
                  </w:rPr>
                </w:pPr>
                <w:r>
                  <w:rPr>
                    <w:rFonts w:eastAsia="Arial"/>
                    <w:szCs w:val="24"/>
                    <w:lang w:eastAsia="lt-LT"/>
                  </w:rPr>
                  <w:t>Į viešbutį</w:t>
                </w:r>
                <w:r>
                  <w:rPr>
                    <w:rFonts w:eastAsia="Calibri"/>
                    <w:szCs w:val="24"/>
                  </w:rPr>
                  <w:t>:</w:t>
                </w:r>
              </w:p>
              <w:p>
                <w:pPr>
                  <w:rPr>
                    <w:rFonts w:eastAsia="Calibri"/>
                    <w:szCs w:val="24"/>
                  </w:rPr>
                </w:pPr>
                <w:r>
                  <w:rPr>
                    <w:rFonts w:eastAsia="Calibri"/>
                    <w:szCs w:val="24"/>
                  </w:rPr>
                  <w:t xml:space="preserve">1) </w:t>
                </w:r>
                <w:r>
                  <w:rPr>
                    <w:rFonts w:eastAsia="Arial"/>
                    <w:szCs w:val="24"/>
                    <w:lang w:eastAsia="lt-LT"/>
                  </w:rPr>
                  <w:t>priimami</w:t>
                </w:r>
                <w:r>
                  <w:rPr>
                    <w:rFonts w:eastAsia="Calibri"/>
                    <w:szCs w:val="24"/>
                  </w:rPr>
                  <w:t xml:space="preserve"> šunys yra vakcinuoti nuo mėsėdžių maro, mėsėdžių virusinio enterito ir infekcinio hepatito; </w:t>
                </w:r>
              </w:p>
              <w:p>
                <w:pPr>
                  <w:rPr>
                    <w:rFonts w:eastAsia="Calibri"/>
                    <w:szCs w:val="24"/>
                  </w:rPr>
                </w:pPr>
                <w:r>
                  <w:rPr>
                    <w:rFonts w:eastAsia="Calibri"/>
                    <w:szCs w:val="24"/>
                  </w:rPr>
                  <w:t xml:space="preserve">2) </w:t>
                </w:r>
                <w:r>
                  <w:rPr>
                    <w:rFonts w:eastAsia="Arial"/>
                    <w:szCs w:val="24"/>
                    <w:lang w:eastAsia="lt-LT"/>
                  </w:rPr>
                  <w:t>priimamos</w:t>
                </w:r>
                <w:r>
                  <w:rPr>
                    <w:rFonts w:eastAsia="Calibri"/>
                    <w:szCs w:val="24"/>
                  </w:rPr>
                  <w:t xml:space="preserve"> katės yra vakcinuotos nuo kalicivirozės, infekcinio rinotracheito, panleukopenijos ir leukemijos.</w:t>
                </w:r>
              </w:p>
              <w:p>
                <w:pPr>
                  <w:rPr>
                    <w:rFonts w:eastAsia="Calibri"/>
                    <w:szCs w:val="24"/>
                  </w:rPr>
                </w:pPr>
              </w:p>
              <w:p>
                <w:pPr>
                  <w:rPr>
                    <w:rFonts w:eastAsia="Calibri"/>
                    <w:szCs w:val="24"/>
                  </w:rPr>
                </w:pPr>
                <w:r>
                  <w:rPr>
                    <w:rFonts w:eastAsia="Calibri"/>
                    <w:szCs w:val="24"/>
                  </w:rPr>
                  <w:t>Viešbučio atstovas tikrina priimamų gyvūnų vakcinacijos galiojimo terminą pagal savininko (laikytojo) pateiktus dokumentus.</w:t>
                </w:r>
              </w:p>
            </w:tc>
          </w:tr>
          <w:tr>
            <w:trPr>
              <w:trHeight w:val="503"/>
            </w:trPr>
            <w:tc>
              <w:tcPr>
                <w:tcW w:w="738" w:type="dxa"/>
                <w:tcBorders>
                  <w:top w:val="single" w:sz="4" w:space="0" w:color="auto"/>
                  <w:left w:val="single" w:sz="4" w:space="0" w:color="auto"/>
                  <w:bottom w:val="single" w:sz="4" w:space="0" w:color="auto"/>
                  <w:right w:val="single" w:sz="4" w:space="0" w:color="auto"/>
                </w:tcBorders>
              </w:tcPr>
              <w:p>
                <w:pPr>
                  <w:jc w:val="center"/>
                  <w:rPr>
                    <w:rFonts w:eastAsia="Calibri"/>
                    <w:b/>
                    <w:szCs w:val="24"/>
                  </w:rPr>
                </w:pPr>
                <w:r>
                  <w:rPr>
                    <w:rFonts w:eastAsia="Calibri"/>
                    <w:b/>
                    <w:szCs w:val="24"/>
                  </w:rPr>
                  <w:t>6.</w:t>
                </w:r>
              </w:p>
            </w:tc>
            <w:tc>
              <w:tcPr>
                <w:tcW w:w="2700" w:type="dxa"/>
                <w:tcBorders>
                  <w:top w:val="single" w:sz="4" w:space="0" w:color="auto"/>
                  <w:left w:val="single" w:sz="4" w:space="0" w:color="auto"/>
                  <w:bottom w:val="single" w:sz="4" w:space="0" w:color="auto"/>
                  <w:right w:val="single" w:sz="4" w:space="0" w:color="auto"/>
                </w:tcBorders>
              </w:tcPr>
              <w:p>
                <w:pPr>
                  <w:rPr>
                    <w:rFonts w:eastAsia="Calibri"/>
                    <w:b/>
                    <w:szCs w:val="24"/>
                  </w:rPr>
                </w:pPr>
                <w:r>
                  <w:rPr>
                    <w:rFonts w:eastAsia="Calibri"/>
                    <w:b/>
                    <w:szCs w:val="24"/>
                  </w:rPr>
                  <w:t>Patalpų mikroklimatas</w:t>
                </w:r>
              </w:p>
            </w:tc>
            <w:tc>
              <w:tcPr>
                <w:tcW w:w="5850" w:type="dxa"/>
                <w:tcBorders>
                  <w:top w:val="single" w:sz="4" w:space="0" w:color="auto"/>
                  <w:left w:val="single" w:sz="4" w:space="0" w:color="auto"/>
                  <w:bottom w:val="single" w:sz="4" w:space="0" w:color="auto"/>
                  <w:right w:val="single" w:sz="4" w:space="0" w:color="auto"/>
                </w:tcBorders>
              </w:tcPr>
              <w:p>
                <w:pPr>
                  <w:rPr>
                    <w:rFonts w:eastAsia="Calibri"/>
                    <w:szCs w:val="24"/>
                  </w:rPr>
                </w:pPr>
                <w:r>
                  <w:rPr>
                    <w:rFonts w:eastAsia="Calibri"/>
                    <w:szCs w:val="24"/>
                  </w:rPr>
                  <w:t>Patalpose yra kondicionierius, temperatūros matavimo įranga.</w:t>
                </w:r>
              </w:p>
            </w:tc>
            <w:tc>
              <w:tcPr>
                <w:tcW w:w="5850" w:type="dxa"/>
                <w:tcBorders>
                  <w:top w:val="single" w:sz="4" w:space="0" w:color="auto"/>
                  <w:left w:val="single" w:sz="4" w:space="0" w:color="auto"/>
                  <w:bottom w:val="single" w:sz="4" w:space="0" w:color="auto"/>
                  <w:right w:val="single" w:sz="4" w:space="0" w:color="auto"/>
                </w:tcBorders>
              </w:tcPr>
              <w:p>
                <w:pPr>
                  <w:rPr>
                    <w:rFonts w:eastAsia="Calibri"/>
                    <w:szCs w:val="24"/>
                  </w:rPr>
                </w:pPr>
                <w:r>
                  <w:rPr>
                    <w:rFonts w:eastAsia="Calibri"/>
                    <w:szCs w:val="24"/>
                  </w:rPr>
                  <w:t xml:space="preserve">Patalpose yra kondicionierius, temperatūros matavimo įranga. </w:t>
                </w:r>
              </w:p>
            </w:tc>
          </w:tr>
        </w:tbl>
        <w:p>
          <w:pPr>
            <w:spacing w:line="276" w:lineRule="auto"/>
            <w:jc w:val="center"/>
            <w:rPr>
              <w:rFonts w:eastAsia="Arial"/>
              <w:b/>
              <w:szCs w:val="24"/>
            </w:rPr>
          </w:pPr>
        </w:p>
        <w:p>
          <w:pPr>
            <w:spacing w:line="276" w:lineRule="auto"/>
            <w:ind w:left="720" w:firstLine="720"/>
            <w:jc w:val="both"/>
            <w:rPr>
              <w:rFonts w:eastAsia="Arial"/>
              <w:szCs w:val="24"/>
              <w:lang w:val="lt" w:eastAsia="lt-LT"/>
            </w:rPr>
          </w:pPr>
        </w:p>
        <w:p>
          <w:pPr>
            <w:spacing w:line="276" w:lineRule="auto"/>
            <w:ind w:left="720" w:firstLine="720"/>
            <w:jc w:val="center"/>
            <w:rPr>
              <w:rFonts w:eastAsia="Arial"/>
              <w:szCs w:val="24"/>
              <w:lang w:val="lt" w:eastAsia="lt-LT"/>
            </w:rPr>
          </w:pPr>
          <w:r>
            <w:rPr>
              <w:rFonts w:eastAsia="Arial"/>
              <w:szCs w:val="24"/>
              <w:lang w:val="lt" w:eastAsia="lt-LT"/>
            </w:rPr>
            <w:t>________________________________________________________________</w:t>
          </w:r>
        </w:p>
        <w:p>
          <w:pPr>
            <w:spacing w:line="276" w:lineRule="auto"/>
            <w:ind w:left="720" w:firstLine="720"/>
            <w:jc w:val="both"/>
            <w:rPr>
              <w:rFonts w:eastAsia="Arial"/>
              <w:szCs w:val="24"/>
              <w:lang w:val="lt" w:eastAsia="lt-LT"/>
            </w:rPr>
          </w:pPr>
        </w:p>
        <w:p>
          <w:pPr>
            <w:spacing w:line="276" w:lineRule="auto"/>
            <w:ind w:firstLine="720"/>
            <w:jc w:val="both"/>
            <w:rPr>
              <w:rFonts w:eastAsia="Arial"/>
              <w:szCs w:val="24"/>
              <w:lang w:eastAsia="lt-LT"/>
            </w:rPr>
          </w:pPr>
        </w:p>
        <w:p>
          <w:pPr>
            <w:spacing w:line="276" w:lineRule="auto"/>
            <w:ind w:firstLine="720"/>
            <w:jc w:val="both"/>
            <w:rPr>
              <w:rFonts w:eastAsia="Arial"/>
              <w:szCs w:val="24"/>
              <w:lang w:eastAsia="lt-LT"/>
            </w:rPr>
          </w:pPr>
        </w:p>
        <w:p>
          <w:pPr>
            <w:spacing w:line="276" w:lineRule="auto"/>
            <w:jc w:val="center"/>
            <w:rPr>
              <w:rFonts w:eastAsia="Arial"/>
              <w:b/>
              <w:szCs w:val="24"/>
            </w:rPr>
          </w:pPr>
        </w:p>
        <w:p>
          <w:pPr>
            <w:spacing w:line="276" w:lineRule="auto"/>
            <w:jc w:val="center"/>
            <w:rPr>
              <w:rFonts w:eastAsia="Arial"/>
              <w:b/>
              <w:szCs w:val="24"/>
            </w:rPr>
          </w:pPr>
        </w:p>
        <w:p>
          <w:pPr>
            <w:spacing w:line="276" w:lineRule="auto"/>
            <w:jc w:val="both"/>
            <w:rPr>
              <w:szCs w:val="24"/>
              <w:lang w:eastAsia="lt-LT"/>
            </w:rPr>
            <w:sectPr>
              <w:type w:val="continuous"/>
              <w:pgSz w:w="16834" w:h="11909" w:orient="landscape"/>
              <w:pgMar w:top="1440" w:right="1440" w:bottom="1440" w:left="1440" w:header="720" w:footer="720" w:gutter="0"/>
              <w:pgNumType w:start="1"/>
              <w:cols w:space="1296"/>
              <w:titlePg/>
              <w:docGrid w:linePitch="299"/>
            </w:sectPr>
          </w:pPr>
        </w:p>
        <w:p>
          <w:pPr>
            <w:tabs>
              <w:tab w:val="center" w:pos="4819"/>
              <w:tab w:val="right" w:pos="9638"/>
            </w:tabs>
            <w:rPr>
              <w:rFonts w:ascii="Arial" w:eastAsia="Arial" w:hAnsi="Arial" w:cs="Arial"/>
              <w:sz w:val="22"/>
              <w:szCs w:val="22"/>
              <w:lang w:val="lt" w:eastAsia="lt-LT"/>
            </w:rPr>
          </w:pPr>
        </w:p>
        <w:p>
          <w:pPr>
            <w:spacing w:line="276" w:lineRule="auto"/>
            <w:ind w:left="4320"/>
            <w:rPr>
              <w:szCs w:val="24"/>
              <w:lang w:eastAsia="lt-LT"/>
            </w:rPr>
            <w:sectPr>
              <w:headerReference w:type="default" r:id="rId13"/>
              <w:pgSz w:w="11909" w:h="16834"/>
              <w:pgMar w:top="1440" w:right="1440" w:bottom="1440" w:left="1440" w:header="720" w:footer="720" w:gutter="0"/>
              <w:pgNumType w:start="1"/>
              <w:cols w:space="1296"/>
              <w:titlePg/>
              <w:docGrid w:linePitch="299"/>
            </w:sectPr>
          </w:pPr>
        </w:p>
      </w:sdtContent>
    </w:sdt>
    <w:sdt>
      <w:sdtPr>
        <w:alias w:val="3 pr."/>
        <w:tag w:val="part_50f153ab6edd4afe9c65206503d69c49"/>
        <w:lock w:val="sdtLocked"/>
        <w:richText/>
      </w:sdtPr>
      <w:sdtContent>
        <w:p>
          <w:pPr>
            <w:ind w:left="4320"/>
            <w:rPr>
              <w:szCs w:val="24"/>
              <w:lang w:eastAsia="lt-LT"/>
            </w:rPr>
          </w:pPr>
          <w:r>
            <w:rPr>
              <w:szCs w:val="24"/>
              <w:lang w:eastAsia="lt-LT"/>
            </w:rPr>
            <w:t>Gyvūnų augintinių veisėjų ir gyvūnų augintinių laikino apgyvendinimo paslaugos teikėjų veiklos atitikties gyvūnų gerovės kriterijams vertinimo tvarkos aprašo</w:t>
          </w:r>
        </w:p>
        <w:p>
          <w:pPr>
            <w:ind w:left="3600" w:firstLine="720"/>
            <w:rPr>
              <w:szCs w:val="24"/>
              <w:lang w:eastAsia="lt-LT"/>
            </w:rPr>
          </w:pPr>
          <w:sdt>
            <w:sdtPr>
              <w:alias w:val="Numeris"/>
              <w:tag w:val="nr_50f153ab6edd4afe9c65206503d69c49"/>
              <w:lock w:val="sdtLocked"/>
              <w:richText/>
            </w:sdtPr>
            <w:sdtContent>
              <w:r>
                <w:rPr>
                  <w:szCs w:val="24"/>
                  <w:lang w:eastAsia="lt-LT"/>
                </w:rPr>
                <w:t>3</w:t>
              </w:r>
            </w:sdtContent>
          </w:sdt>
          <w:r>
            <w:rPr>
              <w:szCs w:val="24"/>
              <w:lang w:eastAsia="lt-LT"/>
            </w:rPr>
            <w:t xml:space="preserve"> priedas</w:t>
          </w:r>
        </w:p>
        <w:p>
          <w:pPr>
            <w:spacing w:line="276" w:lineRule="auto"/>
            <w:ind w:left="4540"/>
            <w:rPr>
              <w:szCs w:val="24"/>
              <w:lang w:eastAsia="lt-LT"/>
            </w:rPr>
          </w:pPr>
        </w:p>
        <w:p>
          <w:pPr>
            <w:spacing w:line="276" w:lineRule="auto"/>
            <w:jc w:val="center"/>
            <w:rPr>
              <w:b/>
              <w:szCs w:val="24"/>
              <w:lang w:eastAsia="lt-LT"/>
            </w:rPr>
          </w:pPr>
          <w:sdt>
            <w:sdtPr>
              <w:alias w:val="Pavadinimas"/>
              <w:tag w:val="title_50f153ab6edd4afe9c65206503d69c49"/>
              <w:lock w:val="sdtLocked"/>
              <w:richText/>
            </w:sdtPr>
            <w:sdtContent>
              <w:r>
                <w:rPr>
                  <w:b/>
                  <w:szCs w:val="24"/>
                  <w:lang w:eastAsia="lt-LT"/>
                </w:rPr>
                <w:t>(Gyvūnų gerovės įvertinimo ženklo formos pavyzdys)</w:t>
              </w:r>
            </w:sdtContent>
          </w:sdt>
        </w:p>
        <w:p>
          <w:pPr>
            <w:spacing w:line="276" w:lineRule="auto"/>
            <w:jc w:val="center"/>
            <w:rPr>
              <w:bCs/>
              <w:color w:val="FF0000"/>
              <w:szCs w:val="24"/>
              <w:lang w:eastAsia="lt-LT"/>
            </w:rPr>
          </w:pPr>
        </w:p>
        <w:sdt>
          <w:sdtPr>
            <w:alias w:val="skirsnis"/>
            <w:tag w:val="part_2a3726e97bab4a29875e0af93f284d89"/>
            <w:lock w:val="sdtLocked"/>
            <w:richText/>
          </w:sdtPr>
          <w:sdtContent>
            <w:p>
              <w:pPr>
                <w:spacing w:line="276" w:lineRule="auto"/>
                <w:jc w:val="center"/>
                <w:rPr>
                  <w:b/>
                  <w:szCs w:val="24"/>
                  <w:lang w:eastAsia="lt-LT"/>
                </w:rPr>
              </w:pPr>
              <w:sdt>
                <w:sdtPr>
                  <w:alias w:val="Pavadinimas"/>
                  <w:tag w:val="title_2a3726e97bab4a29875e0af93f284d89"/>
                  <w:lock w:val="sdtLocked"/>
                  <w:richText/>
                </w:sdtPr>
                <w:sdtContent>
                  <w:r>
                    <w:rPr>
                      <w:b/>
                      <w:szCs w:val="24"/>
                      <w:lang w:eastAsia="lt-LT"/>
                    </w:rPr>
                    <w:t>GYVŪNŲ GEROVĖS ĮVERTINIMO ŽENKLAS</w:t>
                  </w:r>
                </w:sdtContent>
              </w:sdt>
            </w:p>
            <w:p>
              <w:pPr>
                <w:spacing w:line="276" w:lineRule="auto"/>
                <w:jc w:val="center"/>
                <w:rPr>
                  <w:b/>
                  <w:szCs w:val="24"/>
                  <w:lang w:eastAsia="lt-LT"/>
                </w:rPr>
              </w:pPr>
            </w:p>
            <w:p>
              <w:pPr>
                <w:spacing w:line="276" w:lineRule="auto"/>
                <w:jc w:val="center"/>
                <w:rPr>
                  <w:b/>
                  <w:szCs w:val="24"/>
                  <w:lang w:eastAsia="lt-LT"/>
                </w:rPr>
              </w:pPr>
            </w:p>
            <w:p>
              <w:pPr>
                <w:spacing w:line="276" w:lineRule="auto"/>
                <w:ind w:left="1440"/>
                <w:jc w:val="right"/>
                <w:rPr>
                  <w:b/>
                  <w:bCs/>
                  <w:szCs w:val="24"/>
                  <w:lang w:eastAsia="lt-LT"/>
                </w:rPr>
              </w:pPr>
              <w:r>
                <w:rPr>
                  <w:b/>
                  <w:bCs/>
                  <w:szCs w:val="24"/>
                  <w:lang w:val="en-US"/>
                </w:rPr>
                <w:drawing>
                  <wp:inline distT="0" distB="0" distL="0" distR="0" wp14:anchorId="4C6B75C7" wp14:editId="4DF98D3F">
                    <wp:extent cx="5664200" cy="3318510"/>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5669351" cy="3321528"/>
                            </a:xfrm>
                            <a:prstGeom prst="rect">
                              <a:avLst/>
                            </a:prstGeom>
                          </pic:spPr>
                        </pic:pic>
                      </a:graphicData>
                    </a:graphic>
                  </wp:inline>
                </w:drawing>
              </w:r>
            </w:p>
          </w:sdtContent>
        </w:sdt>
        <w:sdt>
          <w:sdtPr>
            <w:alias w:val="skirsnis"/>
            <w:tag w:val="part_44f40cd9ce6b412081e8e63d19e70603"/>
            <w:lock w:val="sdtLocked"/>
            <w:richText/>
          </w:sdtPr>
          <w:sdtContent>
            <w:p>
              <w:pPr>
                <w:spacing w:line="276" w:lineRule="auto"/>
                <w:jc w:val="center"/>
                <w:rPr>
                  <w:bCs/>
                  <w:szCs w:val="24"/>
                  <w:lang w:eastAsia="lt-LT"/>
                </w:rPr>
              </w:pPr>
              <w:sdt>
                <w:sdtPr>
                  <w:alias w:val="Pavadinimas"/>
                  <w:tag w:val="title_44f40cd9ce6b412081e8e63d19e70603"/>
                  <w:lock w:val="sdtLocked"/>
                  <w:richText/>
                </w:sdtPr>
                <w:sdtContent>
                  <w:r>
                    <w:rPr>
                      <w:b/>
                      <w:szCs w:val="24"/>
                      <w:lang w:eastAsia="lt-LT"/>
                    </w:rPr>
                    <w:t>_______________________</w:t>
                  </w:r>
                </w:sdtContent>
              </w:sdt>
            </w:p>
            <w:p>
              <w:pPr>
                <w:spacing w:line="276" w:lineRule="auto"/>
                <w:jc w:val="center"/>
                <w:rPr>
                  <w:bCs/>
                  <w:szCs w:val="24"/>
                  <w:lang w:eastAsia="lt-LT"/>
                </w:rPr>
              </w:pPr>
            </w:p>
            <w:p>
              <w:pPr>
                <w:spacing w:line="276" w:lineRule="auto"/>
                <w:ind w:left="4540"/>
                <w:jc w:val="center"/>
                <w:rPr>
                  <w:szCs w:val="24"/>
                  <w:lang w:eastAsia="lt-LT"/>
                </w:rPr>
              </w:pPr>
            </w:p>
            <w:p>
              <w:pPr>
                <w:spacing w:line="276" w:lineRule="auto"/>
                <w:rPr>
                  <w:rFonts w:eastAsia="Arial"/>
                  <w:bCs/>
                  <w:color w:val="FF0000"/>
                  <w:szCs w:val="24"/>
                  <w:lang w:eastAsia="lt-LT"/>
                </w:rPr>
              </w:pPr>
            </w:p>
            <w:p>
              <w:pPr>
                <w:spacing w:line="276" w:lineRule="auto"/>
                <w:ind w:firstLine="1674"/>
                <w:rPr>
                  <w:szCs w:val="24"/>
                  <w:lang w:eastAsia="lt-LT"/>
                </w:rPr>
              </w:pPr>
            </w:p>
            <w:p>
              <w:pPr>
                <w:spacing w:line="276" w:lineRule="auto"/>
                <w:jc w:val="center"/>
                <w:rPr>
                  <w:bCs/>
                  <w:szCs w:val="24"/>
                  <w:lang w:eastAsia="lt-LT"/>
                </w:rPr>
              </w:pPr>
            </w:p>
          </w:sdtContent>
        </w:sdt>
      </w:sdtContent>
    </w:sdt>
    <w:sectPr>
      <w:type w:val="continuous"/>
      <w:pgSz w:w="11909" w:h="16834"/>
      <w:pgMar w:top="1440" w:right="1440" w:bottom="1440" w:left="1440" w:header="720" w:footer="720" w:gutter="0"/>
      <w:pgNumType w:start="0"/>
      <w:cols w:space="1296"/>
    </w:sectPr>
  </w:body>
</w:document>
</file>

<file path=word/commentsExtensible.xml><?xml version="1.0" encoding="utf-8"?>
<w16cex:commentsExtensible xmlns:w16cex="http://schemas.microsoft.com/office/word/2018/wordml/c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6F29B97" w16cex:dateUtc="2022-10-13T11:13:00Z"/>
  <w16cex:commentExtensible w16cex:durableId="26EA747B" w16cex:dateUtc="2022-10-07T06:48:00Z"/>
  <w16cex:commentExtensible w16cex:durableId="26EE5134" w16cex:dateUtc="2022-10-10T05:07:00Z"/>
  <w16cex:commentExtensible w16cex:durableId="26EA713D" w16cex:dateUtc="2022-10-07T06:34:00Z"/>
  <w16cex:commentExtensible w16cex:durableId="26FBA05B" w16cex:dateUtc="2022-10-20T07:24:00Z"/>
  <w16cex:commentExtensible w16cex:durableId="26FBA141" w16cex:dateUtc="2022-10-20T07:28:00Z"/>
  <w16cex:commentExtensible w16cex:durableId="26FBA162" w16cex:dateUtc="2022-10-20T07:28:00Z"/>
  <w16cex:commentExtensible w16cex:durableId="26EE5734" w16cex:dateUtc="2022-10-10T05:32:00Z"/>
  <w16cex:commentExtensible w16cex:durableId="26EE5EB9" w16cex:dateUtc="2022-10-10T06:04:00Z"/>
  <w16cex:commentExtensible w16cex:durableId="26FBA687" w16cex:dateUtc="2022-10-20T07:50:00Z"/>
  <w16cex:commentExtensible w16cex:durableId="26F27BCB" w16cex:dateUtc="2022-10-13T08:58:00Z"/>
  <w16cex:commentExtensible w16cex:durableId="26F2976B" w16cex:dateUtc="2022-10-13T10:55:00Z"/>
  <w16cex:commentExtensible w16cex:durableId="26F2977A" w16cex:dateUtc="2022-10-13T10:56:00Z"/>
  <w16cex:commentExtensible w16cex:durableId="26EA782E" w16cex:dateUtc="2022-10-07T07:04:00Z"/>
  <w16cex:commentExtensible w16cex:durableId="26F2A292" w16cex:dateUtc="2022-10-13T11:43:00Z"/>
  <w16cex:commentExtensible w16cex:durableId="26F2A328" w16cex:dateUtc="2022-10-13T11:46:00Z"/>
</w16cex:commentsExtensible>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rFonts w:ascii="Arial" w:eastAsia="Arial" w:hAnsi="Arial" w:cs="Arial"/>
          <w:sz w:val="22"/>
          <w:szCs w:val="22"/>
          <w:lang w:val="lt" w:eastAsia="lt-LT"/>
        </w:rPr>
      </w:pPr>
      <w:r>
        <w:rPr>
          <w:rFonts w:ascii="Arial" w:eastAsia="Arial" w:hAnsi="Arial" w:cs="Arial"/>
          <w:sz w:val="22"/>
          <w:szCs w:val="22"/>
          <w:lang w:val="lt" w:eastAsia="lt-LT"/>
        </w:rPr>
        <w:separator/>
      </w:r>
    </w:p>
  </w:endnote>
  <w:endnote w:type="continuationSeparator" w:id="0">
    <w:p>
      <w:pPr>
        <w:rPr>
          <w:rFonts w:ascii="Arial" w:eastAsia="Arial" w:hAnsi="Arial" w:cs="Arial"/>
          <w:sz w:val="22"/>
          <w:szCs w:val="22"/>
          <w:lang w:val="lt" w:eastAsia="lt-LT"/>
        </w:rPr>
      </w:pPr>
      <w:r>
        <w:rPr>
          <w:rFonts w:ascii="Arial" w:eastAsia="Arial" w:hAnsi="Arial" w:cs="Arial"/>
          <w:sz w:val="22"/>
          <w:szCs w:val="22"/>
          <w:lang w:val="lt"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Arial">
    <w:panose1 w:val="020B0604020202020204"/>
    <w:charset w:val="BA"/>
    <w:family w:val="swiss"/>
    <w:pitch w:val="variable"/>
    <w:sig w:usb0="E0002AFF" w:usb1="C0007843" w:usb2="00000009" w:usb3="00000000" w:csb0="000001F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rFonts w:ascii="Arial" w:eastAsia="Arial" w:hAnsi="Arial" w:cs="Arial"/>
        <w:sz w:val="22"/>
        <w:szCs w:val="22"/>
        <w:lang w:val="lt" w:eastAsia="lt-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rFonts w:ascii="Arial" w:eastAsia="Arial" w:hAnsi="Arial" w:cs="Arial"/>
        <w:sz w:val="22"/>
        <w:szCs w:val="22"/>
        <w:lang w:val="lt"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rFonts w:ascii="Arial" w:eastAsia="Arial" w:hAnsi="Arial" w:cs="Arial"/>
        <w:sz w:val="22"/>
        <w:szCs w:val="22"/>
        <w:lang w:val="lt"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rFonts w:ascii="Arial" w:eastAsia="Arial" w:hAnsi="Arial" w:cs="Arial"/>
          <w:sz w:val="22"/>
          <w:szCs w:val="22"/>
          <w:lang w:val="lt" w:eastAsia="lt-LT"/>
        </w:rPr>
      </w:pPr>
      <w:r>
        <w:rPr>
          <w:rFonts w:ascii="Arial" w:eastAsia="Arial" w:hAnsi="Arial" w:cs="Arial"/>
          <w:sz w:val="22"/>
          <w:szCs w:val="22"/>
          <w:lang w:val="lt" w:eastAsia="lt-LT"/>
        </w:rPr>
        <w:separator/>
      </w:r>
    </w:p>
  </w:footnote>
  <w:footnote w:type="continuationSeparator" w:id="0">
    <w:p>
      <w:pPr>
        <w:rPr>
          <w:rFonts w:ascii="Arial" w:eastAsia="Arial" w:hAnsi="Arial" w:cs="Arial"/>
          <w:sz w:val="22"/>
          <w:szCs w:val="22"/>
          <w:lang w:val="lt" w:eastAsia="lt-LT"/>
        </w:rPr>
      </w:pPr>
      <w:r>
        <w:rPr>
          <w:rFonts w:ascii="Arial" w:eastAsia="Arial" w:hAnsi="Arial" w:cs="Arial"/>
          <w:sz w:val="22"/>
          <w:szCs w:val="22"/>
          <w:lang w:val="lt"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rFonts w:ascii="Arial" w:eastAsia="Arial" w:hAnsi="Arial" w:cs="Arial"/>
        <w:sz w:val="22"/>
        <w:szCs w:val="22"/>
        <w:lang w:val="lt"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jc w:val="center"/>
      <w:rPr>
        <w:rFonts w:ascii="Arial" w:eastAsia="Arial" w:hAnsi="Arial" w:cs="Arial"/>
        <w:sz w:val="22"/>
        <w:szCs w:val="22"/>
        <w:lang w:val="lt" w:eastAsia="lt-LT"/>
      </w:rPr>
    </w:pPr>
    <w:r>
      <w:rPr>
        <w:rFonts w:ascii="Arial" w:eastAsia="Arial" w:hAnsi="Arial" w:cs="Arial"/>
        <w:sz w:val="22"/>
        <w:szCs w:val="22"/>
        <w:lang w:val="lt" w:eastAsia="lt-LT"/>
      </w:rPr>
      <w:fldChar w:fldCharType="begin"/>
    </w:r>
    <w:r>
      <w:rPr>
        <w:rFonts w:ascii="Arial" w:eastAsia="Arial" w:hAnsi="Arial" w:cs="Arial"/>
        <w:sz w:val="22"/>
        <w:szCs w:val="22"/>
        <w:lang w:val="lt" w:eastAsia="lt-LT"/>
      </w:rPr>
      <w:instrText xml:space="preserve"> PAGE   \* MERGEFORMAT </w:instrText>
    </w:r>
    <w:r>
      <w:rPr>
        <w:rFonts w:ascii="Arial" w:eastAsia="Arial" w:hAnsi="Arial" w:cs="Arial"/>
        <w:sz w:val="22"/>
        <w:szCs w:val="22"/>
        <w:lang w:val="lt" w:eastAsia="lt-LT"/>
      </w:rPr>
      <w:fldChar w:fldCharType="separate"/>
    </w:r>
    <w:r>
      <w:rPr>
        <w:rFonts w:ascii="Arial" w:eastAsia="Arial" w:hAnsi="Arial" w:cs="Arial"/>
        <w:sz w:val="22"/>
        <w:szCs w:val="22"/>
        <w:lang w:val="lt" w:eastAsia="lt-LT"/>
      </w:rPr>
      <w:t>2</w:t>
    </w:r>
    <w:r>
      <w:rPr>
        <w:rFonts w:ascii="Arial" w:eastAsia="Arial" w:hAnsi="Arial" w:cs="Arial"/>
        <w:sz w:val="22"/>
        <w:szCs w:val="22"/>
        <w:lang w:val="lt" w:eastAsia="lt-LT"/>
      </w:rPr>
      <w:fldChar w:fldCharType="end"/>
    </w:r>
  </w:p>
  <w:p>
    <w:pPr>
      <w:tabs>
        <w:tab w:val="center" w:pos="4819"/>
        <w:tab w:val="right" w:pos="9638"/>
      </w:tabs>
      <w:rPr>
        <w:rFonts w:ascii="Arial" w:eastAsia="Arial" w:hAnsi="Arial" w:cs="Arial"/>
        <w:sz w:val="22"/>
        <w:szCs w:val="22"/>
        <w:lang w:val="lt"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rFonts w:ascii="Arial" w:eastAsia="Arial" w:hAnsi="Arial" w:cs="Arial"/>
        <w:sz w:val="22"/>
        <w:szCs w:val="22"/>
        <w:lang w:val="lt" w:eastAsia="lt-LT"/>
      </w:rPr>
    </w:pPr>
  </w:p>
</w:hdr>
</file>

<file path=word/header4.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jc w:val="center"/>
      <w:rPr>
        <w:rFonts w:ascii="Arial" w:eastAsia="Arial" w:hAnsi="Arial" w:cs="Arial"/>
        <w:sz w:val="22"/>
        <w:szCs w:val="22"/>
        <w:lang w:val="lt" w:eastAsia="lt-LT"/>
      </w:rPr>
    </w:pPr>
    <w:r>
      <w:rPr>
        <w:rFonts w:ascii="Arial" w:eastAsia="Arial" w:hAnsi="Arial" w:cs="Arial"/>
        <w:sz w:val="22"/>
        <w:szCs w:val="22"/>
        <w:lang w:val="lt" w:eastAsia="lt-LT"/>
      </w:rPr>
      <w:fldChar w:fldCharType="begin"/>
    </w:r>
    <w:r>
      <w:rPr>
        <w:rFonts w:ascii="Arial" w:eastAsia="Arial" w:hAnsi="Arial" w:cs="Arial"/>
        <w:sz w:val="22"/>
        <w:szCs w:val="22"/>
        <w:lang w:val="lt" w:eastAsia="lt-LT"/>
      </w:rPr>
      <w:instrText xml:space="preserve"> PAGE   \* MERGEFORMAT </w:instrText>
    </w:r>
    <w:r>
      <w:rPr>
        <w:rFonts w:ascii="Arial" w:eastAsia="Arial" w:hAnsi="Arial" w:cs="Arial"/>
        <w:sz w:val="22"/>
        <w:szCs w:val="22"/>
        <w:lang w:val="lt" w:eastAsia="lt-LT"/>
      </w:rPr>
      <w:fldChar w:fldCharType="separate"/>
    </w:r>
    <w:r>
      <w:rPr>
        <w:rFonts w:ascii="Arial" w:eastAsia="Arial" w:hAnsi="Arial" w:cs="Arial"/>
        <w:sz w:val="22"/>
        <w:szCs w:val="22"/>
        <w:lang w:val="lt" w:eastAsia="lt-LT"/>
      </w:rPr>
      <w:t>1</w:t>
    </w:r>
    <w:r>
      <w:rPr>
        <w:rFonts w:ascii="Arial" w:eastAsia="Arial" w:hAnsi="Arial" w:cs="Arial"/>
        <w:sz w:val="22"/>
        <w:szCs w:val="22"/>
        <w:lang w:val="lt" w:eastAsia="lt-LT"/>
      </w:rPr>
      <w:fldChar w:fldCharType="end"/>
    </w:r>
  </w:p>
  <w:p>
    <w:pPr>
      <w:tabs>
        <w:tab w:val="center" w:pos="4819"/>
        <w:tab w:val="right" w:pos="9638"/>
      </w:tabs>
      <w:rPr>
        <w:rFonts w:ascii="Arial" w:eastAsia="Arial" w:hAnsi="Arial" w:cs="Arial"/>
        <w:sz w:val="22"/>
        <w:szCs w:val="22"/>
        <w:lang w:val="lt"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20"/>
  <w:hyphenationZone w:val="396"/>
  <w:doNotHyphenateCaps/>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2513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5:docId w15:val="{2474B203-9D9C-434F-99D3-FB9C3B6DCD78}"/>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277025866">
      <w:bodyDiv w:val="1"/>
      <w:marLeft w:val="0"/>
      <w:marRight w:val="0"/>
      <w:marTop w:val="0"/>
      <w:marBottom w:val="0"/>
      <w:divBdr>
        <w:top w:val="none" w:sz="0" w:space="0" w:color="auto"/>
        <w:left w:val="none" w:sz="0" w:space="0" w:color="auto"/>
        <w:bottom w:val="none" w:sz="0" w:space="0" w:color="auto"/>
        <w:right w:val="none" w:sz="0" w:space="0" w:color="auto"/>
      </w:divBdr>
    </w:div>
    <w:div w:id="313686111">
      <w:bodyDiv w:val="1"/>
      <w:marLeft w:val="0"/>
      <w:marRight w:val="0"/>
      <w:marTop w:val="0"/>
      <w:marBottom w:val="0"/>
      <w:divBdr>
        <w:top w:val="none" w:sz="0" w:space="0" w:color="auto"/>
        <w:left w:val="none" w:sz="0" w:space="0" w:color="auto"/>
        <w:bottom w:val="none" w:sz="0" w:space="0" w:color="auto"/>
        <w:right w:val="none" w:sz="0" w:space="0" w:color="auto"/>
      </w:divBdr>
    </w:div>
    <w:div w:id="530726908">
      <w:bodyDiv w:val="1"/>
      <w:marLeft w:val="0"/>
      <w:marRight w:val="0"/>
      <w:marTop w:val="0"/>
      <w:marBottom w:val="0"/>
      <w:divBdr>
        <w:top w:val="none" w:sz="0" w:space="0" w:color="auto"/>
        <w:left w:val="none" w:sz="0" w:space="0" w:color="auto"/>
        <w:bottom w:val="none" w:sz="0" w:space="0" w:color="auto"/>
        <w:right w:val="none" w:sz="0" w:space="0" w:color="auto"/>
      </w:divBdr>
    </w:div>
    <w:div w:id="667904862">
      <w:bodyDiv w:val="1"/>
      <w:marLeft w:val="0"/>
      <w:marRight w:val="0"/>
      <w:marTop w:val="0"/>
      <w:marBottom w:val="0"/>
      <w:divBdr>
        <w:top w:val="none" w:sz="0" w:space="0" w:color="auto"/>
        <w:left w:val="none" w:sz="0" w:space="0" w:color="auto"/>
        <w:bottom w:val="none" w:sz="0" w:space="0" w:color="auto"/>
        <w:right w:val="none" w:sz="0" w:space="0" w:color="auto"/>
      </w:divBdr>
    </w:div>
    <w:div w:id="825245455">
      <w:bodyDiv w:val="1"/>
      <w:marLeft w:val="0"/>
      <w:marRight w:val="0"/>
      <w:marTop w:val="0"/>
      <w:marBottom w:val="0"/>
      <w:divBdr>
        <w:top w:val="none" w:sz="0" w:space="0" w:color="auto"/>
        <w:left w:val="none" w:sz="0" w:space="0" w:color="auto"/>
        <w:bottom w:val="none" w:sz="0" w:space="0" w:color="auto"/>
        <w:right w:val="none" w:sz="0" w:space="0" w:color="auto"/>
      </w:divBdr>
    </w:div>
    <w:div w:id="1185093029">
      <w:bodyDiv w:val="1"/>
      <w:marLeft w:val="0"/>
      <w:marRight w:val="0"/>
      <w:marTop w:val="0"/>
      <w:marBottom w:val="0"/>
      <w:divBdr>
        <w:top w:val="none" w:sz="0" w:space="0" w:color="auto"/>
        <w:left w:val="none" w:sz="0" w:space="0" w:color="auto"/>
        <w:bottom w:val="none" w:sz="0" w:space="0" w:color="auto"/>
        <w:right w:val="none" w:sz="0" w:space="0" w:color="auto"/>
      </w:divBdr>
    </w:div>
    <w:div w:id="1334727335">
      <w:bodyDiv w:val="1"/>
      <w:marLeft w:val="0"/>
      <w:marRight w:val="0"/>
      <w:marTop w:val="0"/>
      <w:marBottom w:val="0"/>
      <w:divBdr>
        <w:top w:val="none" w:sz="0" w:space="0" w:color="auto"/>
        <w:left w:val="none" w:sz="0" w:space="0" w:color="auto"/>
        <w:bottom w:val="none" w:sz="0" w:space="0" w:color="auto"/>
        <w:right w:val="none" w:sz="0" w:space="0" w:color="auto"/>
      </w:divBdr>
    </w:div>
    <w:div w:id="1611623211">
      <w:bodyDiv w:val="1"/>
      <w:marLeft w:val="0"/>
      <w:marRight w:val="0"/>
      <w:marTop w:val="0"/>
      <w:marBottom w:val="0"/>
      <w:divBdr>
        <w:top w:val="none" w:sz="0" w:space="0" w:color="auto"/>
        <w:left w:val="none" w:sz="0" w:space="0" w:color="auto"/>
        <w:bottom w:val="none" w:sz="0" w:space="0" w:color="auto"/>
        <w:right w:val="none" w:sz="0" w:space="0" w:color="auto"/>
      </w:divBdr>
      <w:divsChild>
        <w:div w:id="221795359">
          <w:marLeft w:val="0"/>
          <w:marRight w:val="0"/>
          <w:marTop w:val="0"/>
          <w:marBottom w:val="0"/>
          <w:divBdr>
            <w:top w:val="none" w:sz="0" w:space="0" w:color="auto"/>
            <w:left w:val="none" w:sz="0" w:space="0" w:color="auto"/>
            <w:bottom w:val="none" w:sz="0" w:space="0" w:color="auto"/>
            <w:right w:val="none" w:sz="0" w:space="0" w:color="auto"/>
          </w:divBdr>
        </w:div>
        <w:div w:id="914585974">
          <w:marLeft w:val="0"/>
          <w:marRight w:val="0"/>
          <w:marTop w:val="0"/>
          <w:marBottom w:val="0"/>
          <w:divBdr>
            <w:top w:val="none" w:sz="0" w:space="0" w:color="auto"/>
            <w:left w:val="none" w:sz="0" w:space="0" w:color="auto"/>
            <w:bottom w:val="none" w:sz="0" w:space="0" w:color="auto"/>
            <w:right w:val="none" w:sz="0" w:space="0" w:color="auto"/>
          </w:divBdr>
        </w:div>
        <w:div w:id="940989865">
          <w:marLeft w:val="0"/>
          <w:marRight w:val="0"/>
          <w:marTop w:val="0"/>
          <w:marBottom w:val="0"/>
          <w:divBdr>
            <w:top w:val="none" w:sz="0" w:space="0" w:color="auto"/>
            <w:left w:val="none" w:sz="0" w:space="0" w:color="auto"/>
            <w:bottom w:val="none" w:sz="0" w:space="0" w:color="auto"/>
            <w:right w:val="none" w:sz="0" w:space="0" w:color="auto"/>
          </w:divBdr>
        </w:div>
      </w:divsChild>
    </w:div>
    <w:div w:id="1627665136">
      <w:bodyDiv w:val="1"/>
      <w:marLeft w:val="0"/>
      <w:marRight w:val="0"/>
      <w:marTop w:val="0"/>
      <w:marBottom w:val="0"/>
      <w:divBdr>
        <w:top w:val="none" w:sz="0" w:space="0" w:color="auto"/>
        <w:left w:val="none" w:sz="0" w:space="0" w:color="auto"/>
        <w:bottom w:val="none" w:sz="0" w:space="0" w:color="auto"/>
        <w:right w:val="none" w:sz="0" w:space="0" w:color="auto"/>
      </w:divBdr>
    </w:div>
    <w:div w:id="1664894633">
      <w:bodyDiv w:val="1"/>
      <w:marLeft w:val="0"/>
      <w:marRight w:val="0"/>
      <w:marTop w:val="0"/>
      <w:marBottom w:val="0"/>
      <w:divBdr>
        <w:top w:val="none" w:sz="0" w:space="0" w:color="auto"/>
        <w:left w:val="none" w:sz="0" w:space="0" w:color="auto"/>
        <w:bottom w:val="none" w:sz="0" w:space="0" w:color="auto"/>
        <w:right w:val="none" w:sz="0" w:space="0" w:color="auto"/>
      </w:divBdr>
    </w:div>
    <w:div w:id="1769155493">
      <w:bodyDiv w:val="1"/>
      <w:marLeft w:val="0"/>
      <w:marRight w:val="0"/>
      <w:marTop w:val="0"/>
      <w:marBottom w:val="0"/>
      <w:divBdr>
        <w:top w:val="none" w:sz="0" w:space="0" w:color="auto"/>
        <w:left w:val="none" w:sz="0" w:space="0" w:color="auto"/>
        <w:bottom w:val="none" w:sz="0" w:space="0" w:color="auto"/>
        <w:right w:val="none" w:sz="0" w:space="0" w:color="auto"/>
      </w:divBdr>
    </w:div>
    <w:div w:id="1781759236">
      <w:bodyDiv w:val="1"/>
      <w:marLeft w:val="0"/>
      <w:marRight w:val="0"/>
      <w:marTop w:val="0"/>
      <w:marBottom w:val="0"/>
      <w:divBdr>
        <w:top w:val="none" w:sz="0" w:space="0" w:color="auto"/>
        <w:left w:val="none" w:sz="0" w:space="0" w:color="auto"/>
        <w:bottom w:val="none" w:sz="0" w:space="0" w:color="auto"/>
        <w:right w:val="none" w:sz="0" w:space="0" w:color="auto"/>
      </w:divBdr>
    </w:div>
    <w:div w:id="1785419794">
      <w:bodyDiv w:val="1"/>
      <w:marLeft w:val="0"/>
      <w:marRight w:val="0"/>
      <w:marTop w:val="0"/>
      <w:marBottom w:val="0"/>
      <w:divBdr>
        <w:top w:val="none" w:sz="0" w:space="0" w:color="auto"/>
        <w:left w:val="none" w:sz="0" w:space="0" w:color="auto"/>
        <w:bottom w:val="none" w:sz="0" w:space="0" w:color="auto"/>
        <w:right w:val="none" w:sz="0" w:space="0" w:color="auto"/>
      </w:divBdr>
    </w:div>
    <w:div w:id="1829976599">
      <w:bodyDiv w:val="1"/>
      <w:marLeft w:val="0"/>
      <w:marRight w:val="0"/>
      <w:marTop w:val="0"/>
      <w:marBottom w:val="0"/>
      <w:divBdr>
        <w:top w:val="none" w:sz="0" w:space="0" w:color="auto"/>
        <w:left w:val="none" w:sz="0" w:space="0" w:color="auto"/>
        <w:bottom w:val="none" w:sz="0" w:space="0" w:color="auto"/>
        <w:right w:val="none" w:sz="0" w:space="0" w:color="auto"/>
      </w:divBdr>
    </w:div>
    <w:div w:id="1947611251">
      <w:bodyDiv w:val="1"/>
      <w:marLeft w:val="0"/>
      <w:marRight w:val="0"/>
      <w:marTop w:val="0"/>
      <w:marBottom w:val="0"/>
      <w:divBdr>
        <w:top w:val="none" w:sz="0" w:space="0" w:color="auto"/>
        <w:left w:val="none" w:sz="0" w:space="0" w:color="auto"/>
        <w:bottom w:val="none" w:sz="0" w:space="0" w:color="auto"/>
        <w:right w:val="none" w:sz="0" w:space="0" w:color="auto"/>
      </w:divBdr>
      <w:divsChild>
        <w:div w:id="742457844">
          <w:marLeft w:val="0"/>
          <w:marRight w:val="0"/>
          <w:marTop w:val="0"/>
          <w:marBottom w:val="0"/>
          <w:divBdr>
            <w:top w:val="none" w:sz="0" w:space="0" w:color="auto"/>
            <w:left w:val="none" w:sz="0" w:space="0" w:color="auto"/>
            <w:bottom w:val="none" w:sz="0" w:space="0" w:color="auto"/>
            <w:right w:val="none" w:sz="0" w:space="0" w:color="auto"/>
          </w:divBdr>
        </w:div>
        <w:div w:id="1867136319">
          <w:marLeft w:val="0"/>
          <w:marRight w:val="0"/>
          <w:marTop w:val="0"/>
          <w:marBottom w:val="0"/>
          <w:divBdr>
            <w:top w:val="none" w:sz="0" w:space="0" w:color="auto"/>
            <w:left w:val="none" w:sz="0" w:space="0" w:color="auto"/>
            <w:bottom w:val="none" w:sz="0" w:space="0" w:color="auto"/>
            <w:right w:val="none" w:sz="0" w:space="0" w:color="auto"/>
          </w:divBdr>
          <w:divsChild>
            <w:div w:id="733164497">
              <w:marLeft w:val="0"/>
              <w:marRight w:val="0"/>
              <w:marTop w:val="0"/>
              <w:marBottom w:val="0"/>
              <w:divBdr>
                <w:top w:val="none" w:sz="0" w:space="0" w:color="auto"/>
                <w:left w:val="none" w:sz="0" w:space="0" w:color="auto"/>
                <w:bottom w:val="none" w:sz="0" w:space="0" w:color="auto"/>
                <w:right w:val="none" w:sz="0" w:space="0" w:color="auto"/>
              </w:divBdr>
            </w:div>
            <w:div w:id="1514539044">
              <w:marLeft w:val="0"/>
              <w:marRight w:val="0"/>
              <w:marTop w:val="0"/>
              <w:marBottom w:val="0"/>
              <w:divBdr>
                <w:top w:val="none" w:sz="0" w:space="0" w:color="auto"/>
                <w:left w:val="none" w:sz="0" w:space="0" w:color="auto"/>
                <w:bottom w:val="none" w:sz="0" w:space="0" w:color="auto"/>
                <w:right w:val="none" w:sz="0" w:space="0" w:color="auto"/>
              </w:divBdr>
            </w:div>
            <w:div w:id="15344606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35420237">
      <w:bodyDiv w:val="1"/>
      <w:marLeft w:val="0"/>
      <w:marRight w:val="0"/>
      <w:marTop w:val="0"/>
      <w:marBottom w:val="0"/>
      <w:divBdr>
        <w:top w:val="none" w:sz="0" w:space="0" w:color="auto"/>
        <w:left w:val="none" w:sz="0" w:space="0" w:color="auto"/>
        <w:bottom w:val="none" w:sz="0" w:space="0" w:color="auto"/>
        <w:right w:val="none" w:sz="0" w:space="0" w:color="auto"/>
      </w:divBdr>
    </w:div>
    <w:div w:id="207364901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header" Target="header4.xml"/>
  <Relationship Id="rId14" Type="http://schemas.openxmlformats.org/officeDocument/2006/relationships/image" Target="media/image1.png"/>
  <Relationship Id="rId15" Type="http://schemas.openxmlformats.org/officeDocument/2006/relationships/fontTable" Target="fontTable.xml"/>
  <Relationship Id="rId16" Type="http://schemas.openxmlformats.org/officeDocument/2006/relationships/theme" Target="theme/theme1.xml"/>
  <Relationship Id="rId18" Type="http://schemas.microsoft.com/office/2018/08/relationships/commentsExtensible" Target="commentsExtensible.xml"/>
  <Relationship Id="rId19"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763a9b666df74b4ea56ecb624f12f25a" PartId="e7a623cbdcbe42c899c8087d70ceda2a">
    <Part Type="preambule" DocPartId="045aa1260477458cb24790c8edf24499" PartId="ef57b090a5804da69d9cfe9dcf1c2f97"/>
    <Part Type="punktas" Nr="1" Abbr="1 p." DocPartId="242df45549d340d4b74867f3cf511f9b" PartId="70b4d2552e9a4106a70048fe7515da3e"/>
    <Part Type="punktas" Nr="2" Abbr="2 p." DocPartId="9a495beb74804018b67dd8f8b7710f41" PartId="dfb2c22ef50e48da912acfe7a45204b8">
      <Part Type="papunktis" Nr="2.1" Abbr="2.1 pp." DocPartId="ade70bd669eb40999bf6811acb4f1d6e" PartId="2ada960ca6a74028801c2fecb83889a4"/>
      <Part Type="papunktis" Nr="2.2" Abbr="2.2 pp." DocPartId="1d04db7f61b646da8ed1275a50156c13" PartId="d8d49d91041f4f63951d5dc0f66a4bf0"/>
    </Part>
    <Part Type="punktas" Nr="3" Abbr="3 p." DocPartId="1c224b7e8f6c4e239447c6e19b09497e" PartId="0cfa8f9f4ff144ad8dac9e046f4887dd"/>
    <Part Type="signatura" DocPartId="6d21f93ece524ec98df5bef52375f268" PartId="11318dfe13284c849f8a89ef18f50939"/>
  </Part>
  <Part Type="patvirtinta" Title="GYVŪNŲ AUGINTINIŲ VEISĖJŲ IR GYVŪNŲ AUGINTINIŲ LAIKINO APGYVENDINIMO PASLAUGOS TEIKĖJŲ VEIKLOS ATITIKTIES GYVŪNŲ GEROVĖS KRITERIJAMS VERTINIMO TVARKOS APRAŠAS" DocPartId="3a35b2e79fa94fd9acbfc1f04fb5c0ce" PartId="0841680f3f234b47b005101685d2025c">
    <Part Type="skyrius" Nr="1" Title="BENDROSIOS NUOSTATOS" DocPartId="87d6d11fef4846208f56a6b10f1407a7" PartId="da1bc6a56c3948fd9b7ce07e5a2753c7">
      <Part Type="punktas" Nr="1" Abbr="1 p." DocPartId="4bfe560ab46d42e1b100ed4edc1b4594" PartId="c1cb63fc6cef4f1b8573ed612dbf5c7a"/>
      <Part Type="punktas" Nr="2" Abbr="2 p." DocPartId="cb2fdfccdd6542a3b4f839988f67076d" PartId="ed0e1e1d95be40069c48d1478d480ead"/>
      <Part Type="punktas" Nr="3" Abbr="3 p." DocPartId="744b01a2bf2a48eaaed9fff807ca8c87" PartId="bcf61361df734a81b93413588ad36721"/>
      <Part Type="punktas" Nr="4" Abbr="4 p." DocPartId="75e2ba88dc0e41ef87afafa70fca3a13" PartId="b9436845683e49febb35c9d90517bd2e"/>
    </Part>
    <Part Type="skyrius" Nr="2" Title="GYVŪNŲ VEISĖJŲ IR GYVŪNŲ LAIKINO APGYVENDINIMO PASLAUGOS TEIKĖJŲ VEIKLOS ATITIKTIES GYVŪNŲ GEROVĖS KRITERIJAMS VERTINIMO TVARKA" DocPartId="99762ddfda3e4b4fb47b7de3858de3ed" PartId="fb8c4b706c484dc2a4103ec46c3dc4fc">
      <Part Type="punktas" Nr="5" Abbr="5 p." DocPartId="ec695c3218ee47129ecd06a6ec080bf4" PartId="97d56d9ad1ae463896f15d4add67cbd8"/>
      <Part Type="punktas" Nr="6" Abbr="6 p." DocPartId="c29e9d6d0f544c119a713cc02f4f3a85" PartId="52ded99024fd4cf58c6ddbe7c732cba8"/>
      <Part Type="punktas" Nr="7" Abbr="7 p." DocPartId="adecf2625b394f928d48b7107ec4c5fc" PartId="143193aebaf848469a3869469b8e7d89"/>
      <Part Type="punktas" Nr="8" Abbr="8 p." DocPartId="bf18026aec084339bde550fda4f76117" PartId="87ceb823f8c54d129b6b40f6c5d3119b"/>
      <Part Type="punktas" Nr="9" Abbr="9 p." DocPartId="6c9d665cc7d34b558c3b68952815c128" PartId="afef65dd7218423cb2e3aedfc1784a89"/>
      <Part Type="punktas" Nr="10" Abbr="10 p." DocPartId="e290a5a99b054249959942bdb4d782c1" PartId="a3195902d2db440d8ad34c55f11be9eb"/>
      <Part Type="punktas" Nr="11" Abbr="11 p." DocPartId="2c2ee5974cc948a5b922152707df3981" PartId="b23c31a76ef24e89ac5e3c15d0098407"/>
      <Part Type="punktas" Nr="12" Abbr="12 p." DocPartId="10f399456903419a9a0a33f0a77ef0ef" PartId="4c54459d665b4697b8348c657f156238"/>
      <Part Type="punktas" Nr="13" Abbr="13 p." DocPartId="00e6cbead2d446d094008a07683403fd" PartId="d6897eadb3df464dad5f08289d1898f7"/>
      <Part Type="punktas" Nr="14" Abbr="14 p." DocPartId="395711a4ff6c40aa8e6c946af5803153" PartId="27a814e3d88d4a089d496bf2a6f197c9"/>
      <Part Type="punktas" Nr="15" Abbr="15 p." DocPartId="532c963ad79d4e5491143cdfac7e9fe9" PartId="1246ef7574c34b369791ff69d9496ea1"/>
      <Part Type="punktas" Nr="16" Abbr="16 p." DocPartId="50b57bbb2c5f4c86b7dfd713d6b8b487" PartId="6dde343e407843568a941e89793d79b2"/>
    </Part>
    <Part Type="skyrius" Nr="3" Title="BAIGIAMOSIOS NUOSTATOS" DocPartId="c3d53af398a24f4a807b7d01e284dd53" PartId="721d8aadd4344d42a1f173e8f7473bab">
      <Part Type="punktas" Nr="17" Abbr="17 p." DocPartId="3ea83f6b66d14127aa8f8f27d9b49576" PartId="66f23182735d40f7a2d05b1635f09219"/>
      <Part Type="punktas" Nr="18" Abbr="18 p." DocPartId="b674af762df24ce8aaf7987a0aa9a4b8" PartId="453e1886963e4be487019f5b55337cd1"/>
    </Part>
  </Part>
  <Part Type="priedas" Nr="1" Abbr="1 pr." Title="GYVŪNŲ AUGINTINIŲ VEISĖJŲ VEIKLOS ATITIKTIES GYVŪNŲ GEROVĖS KRITERIJAMS VERTINIMAS" DocPartId="baf0f755ad084c22930feef92c7e1ae4" PartId="f2578092bc4d4c4794d616a1e457242e"/>
  <Part Type="priedas" Nr="2" Abbr="2 pr." Title="GYVŪNŲ AUGINTINIŲ LAIKINO APGYVENDINIMO PASLAUGOS TEIKĖJŲ VEIKLOS ATITIKTIES GYVŪNŲ GEROVĖS KRITERIJAMS VERTINIMAS" DocPartId="44173114f0d448b697ca2221e717c4c6" PartId="d8586dbbb8734f2987fabf6c8c759308"/>
  <Part Type="priedas" Nr="3" Abbr="3 pr." Title="(Gyvūnų gerovės įvertinimo ženklo formos pavyzdys)" DocPartId="9c88f4c8ca5447959177eddb8117bd7c" PartId="50f153ab6edd4afe9c65206503d69c49">
    <Part Type="skirsnis" Title="GYVŪNŲ GEROVĖS ĮVERTINIMO ŽENKLAS" DocPartId="0b7edbf430ca43339697f845a3b7fdc6" PartId="2a3726e97bab4a29875e0af93f284d89"/>
    <Part Type="skirsnis" Title="_______________________" DocPartId="e2bb7eabdb7c4ca4a3a691e0ffbc6447" PartId="44f40cd9ce6b412081e8e63d19e70603"/>
  </Part>
</Parts>
</file>

<file path=customXml/itemProps1.xml><?xml version="1.0" encoding="utf-8"?>
<ds:datastoreItem xmlns:ds="http://schemas.openxmlformats.org/officeDocument/2006/customXml" ds:itemID="{9CBC780D-120A-4396-AC25-083651E16528}">
  <ds:schemaRefs>
    <ds:schemaRef ds:uri="http://schemas.openxmlformats.org/officeDocument/2006/bibliography"/>
  </ds:schemaRefs>
</ds:datastoreItem>
</file>

<file path=customXml/itemProps2.xml><?xml version="1.0" encoding="utf-8"?>
<ds:datastoreItem xmlns:ds="http://schemas.openxmlformats.org/officeDocument/2006/customXml" ds:itemID="{082A09CA-158A-41C2-AFA6-3976C28113AC}">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15</Pages>
  <Words>2825</Words>
  <Characters>20173</Characters>
  <Application>Microsoft Office Word</Application>
  <DocSecurity>4</DocSecurity>
  <Lines>504</Lines>
  <Paragraphs>164</Paragraphs>
  <ScaleCrop>false</ScaleCrop>
  <HeadingPairs>
    <vt:vector size="2" baseType="variant">
      <vt:variant>
        <vt:lpstr>Title</vt:lpstr>
      </vt:variant>
      <vt:variant>
        <vt:i4>1</vt:i4>
      </vt:variant>
    </vt:vector>
  </HeadingPairs>
  <TitlesOfParts>
    <vt:vector size="1" baseType="lpstr">
      <vt:lpstr/>
    </vt:vector>
  </TitlesOfParts>
  <Company>Hewlett-Packard Company</Company>
  <LinksUpToDate>false</LinksUpToDate>
  <CharactersWithSpaces>22834</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2022-11-11T08:43:00Z</dcterms:created>
  <dc:creator>Lenovo-vartotojas</dc:creator>
  <lastModifiedBy>adlibuser</lastModifiedBy>
  <lastPrinted>2021-08-31T10:20:00Z</lastPrinted>
  <dcterms:modified xsi:type="dcterms:W3CDTF">2022-11-11T08:43:00Z</dcterms:modified>
  <revision>2</revision>
</coreProperties>
</file>