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ab6797751a433b8a11141d8447715b"/>
        <w:lock w:val="sdtLocked"/>
        <w:richText/>
      </w:sdtPr>
      <w:sdtContent>
        <w:p w14:paraId="3BFC7C8F" w14:textId="77777777">
          <w:pPr>
            <w:tabs>
              <w:tab w:val="center" w:pos="4680"/>
              <w:tab w:val="right" w:pos="9360"/>
            </w:tabs>
            <w:rPr>
              <w:sz w:val="22"/>
              <w:szCs w:val="22"/>
              <w:lang w:eastAsia="lt-LT"/>
            </w:rPr>
          </w:pPr>
        </w:p>
        <w:p w14:paraId="7ED89FDC" w14:textId="77777777">
          <w:pPr>
            <w:ind w:left="7920"/>
            <w:jc w:val="center"/>
            <w:rPr>
              <w:b/>
              <w:lang w:eastAsia="lt-LT"/>
            </w:rPr>
          </w:pPr>
          <w:r>
            <w:rPr>
              <w:b/>
              <w:lang w:eastAsia="lt-LT"/>
            </w:rPr>
            <w:t>Projektas</w:t>
          </w:r>
        </w:p>
        <w:p w14:paraId="5779AA90" w14:textId="77777777">
          <w:pPr>
            <w:rPr>
              <w:sz w:val="16"/>
              <w:szCs w:val="16"/>
              <w:lang w:eastAsia="lt-LT"/>
            </w:rPr>
          </w:pPr>
        </w:p>
        <w:p w14:paraId="24CD1E42" w14:textId="77777777">
          <w:pPr>
            <w:keepNext/>
            <w:tabs>
              <w:tab w:val="left" w:pos="1560"/>
            </w:tabs>
            <w:jc w:val="center"/>
            <w:rPr>
              <w:b/>
              <w:szCs w:val="24"/>
              <w:lang w:eastAsia="lt-LT"/>
            </w:rPr>
          </w:pPr>
          <w:r>
            <w:rPr>
              <w:b/>
              <w:szCs w:val="24"/>
              <w:lang w:eastAsia="lt-LT"/>
            </w:rPr>
            <w:t>ŠIAULIŲ MIESTO SAVIVALDYBĖS TARYBA</w:t>
          </w:r>
        </w:p>
        <w:p w14:paraId="6DA5AF29" w14:textId="77777777">
          <w:pPr>
            <w:jc w:val="center"/>
            <w:rPr>
              <w:b/>
              <w:sz w:val="28"/>
              <w:lang w:eastAsia="lt-LT"/>
            </w:rPr>
          </w:pPr>
        </w:p>
        <w:p w14:paraId="3355F098" w14:textId="77777777">
          <w:pPr>
            <w:tabs>
              <w:tab w:val="center" w:pos="4153"/>
              <w:tab w:val="right" w:pos="8306"/>
            </w:tabs>
            <w:jc w:val="center"/>
            <w:rPr>
              <w:b/>
              <w:szCs w:val="24"/>
              <w:lang w:eastAsia="lt-LT"/>
            </w:rPr>
          </w:pPr>
          <w:r>
            <w:rPr>
              <w:b/>
              <w:szCs w:val="24"/>
              <w:lang w:eastAsia="lt-LT"/>
            </w:rPr>
            <w:t>SPRENDIMAS</w:t>
          </w:r>
        </w:p>
        <w:p w14:paraId="02FBD808" w14:textId="44B5E4C5">
          <w:pPr>
            <w:jc w:val="center"/>
            <w:rPr>
              <w:b/>
              <w:bCs/>
              <w:caps/>
              <w:szCs w:val="24"/>
              <w:lang w:eastAsia="lt-LT"/>
            </w:rPr>
          </w:pPr>
          <w:r>
            <w:rPr>
              <w:b/>
              <w:bCs/>
              <w:caps/>
              <w:szCs w:val="24"/>
              <w:lang w:eastAsia="lt-LT"/>
            </w:rPr>
            <w:t>dėl šiaulių miesto savivaldybės tarybos 2021 m. LIEPOS 1 d. sprendimo Nr. T-309 „DĖL kriterijŲ, pagal kuriuos nustatoma, kada ŠIAULIŲ MIESTO savivaldybės infrastruktūros plėtros įmoka nemokama arba mokama dalimis, IR ŠIAULIŲ MIESTO savivaldybės infrastruktūros plėtros įmokos mokėjimo ir atleidimo nuo jos mokėjimo tvarkos aprašo PATVIRTINIMO“ Pakeitimo</w:t>
          </w:r>
        </w:p>
        <w:p w14:paraId="12A91FD4" w14:textId="7622EB18">
          <w:pPr>
            <w:tabs>
              <w:tab w:val="left" w:pos="1560"/>
            </w:tabs>
            <w:ind w:hanging="142"/>
            <w:rPr>
              <w:strike/>
              <w:szCs w:val="24"/>
              <w:lang w:eastAsia="lt-LT"/>
            </w:rPr>
          </w:pPr>
        </w:p>
        <w:p w14:paraId="4598B8AC" w14:textId="3FF52454">
          <w:pPr>
            <w:tabs>
              <w:tab w:val="left" w:pos="1560"/>
              <w:tab w:val="center" w:pos="4748"/>
              <w:tab w:val="left" w:pos="7290"/>
            </w:tabs>
            <w:ind w:firstLine="1560"/>
            <w:rPr>
              <w:szCs w:val="24"/>
              <w:lang w:eastAsia="lt-LT"/>
            </w:rPr>
          </w:pPr>
          <w:r>
            <w:rPr>
              <w:szCs w:val="24"/>
              <w:lang w:eastAsia="lt-LT"/>
            </w:rPr>
            <w:tab/>
            <w:tab/>
            <w:t xml:space="preserve">2025 m.                          Nr. T-</w:t>
            <w:tab/>
            <w:tab/>
          </w:r>
        </w:p>
        <w:p w14:paraId="5E47BA8E" w14:textId="5DFE29D8">
          <w:pPr>
            <w:tabs>
              <w:tab w:val="left" w:pos="1260"/>
            </w:tabs>
            <w:jc w:val="center"/>
            <w:rPr>
              <w:szCs w:val="24"/>
              <w:lang w:eastAsia="lt-LT"/>
            </w:rPr>
          </w:pPr>
        </w:p>
        <w:p w14:paraId="00CCCEA1" w14:textId="77777777">
          <w:pPr>
            <w:tabs>
              <w:tab w:val="left" w:pos="1260"/>
            </w:tabs>
            <w:jc w:val="center"/>
            <w:rPr>
              <w:szCs w:val="24"/>
              <w:lang w:eastAsia="lt-LT"/>
            </w:rPr>
          </w:pPr>
        </w:p>
        <w:sdt>
          <w:sdtPr>
            <w:alias w:val="preambule"/>
            <w:tag w:val="part_7771e921dbe74200b35ffd45d828fb8c"/>
            <w:lock w:val="sdtLocked"/>
            <w:richText/>
          </w:sdtPr>
          <w:sdtContent>
            <w:p w14:paraId="05B74364" w14:textId="681A71FF">
              <w:pPr>
                <w:tabs>
                  <w:tab w:val="left" w:pos="900"/>
                </w:tabs>
                <w:ind w:firstLine="900"/>
                <w:jc w:val="both"/>
                <w:rPr>
                  <w:szCs w:val="24"/>
                  <w:lang w:eastAsia="lt-LT"/>
                </w:rPr>
              </w:pPr>
              <w:r>
                <w:rPr>
                  <w:szCs w:val="24"/>
                  <w:lang w:eastAsia="lt-LT"/>
                </w:rPr>
                <w:t>Vadovaudamasi Lietuvos Respublikos savivaldybių infrastruktūros plėtros įstatymo 4 straipsnio 2 dalies 4 ir 7 punktais ir 15 straipsnio 4 dalimi, Šiaulių miesto</w:t>
              </w:r>
              <w:r>
                <w:rPr>
                  <w:bCs/>
                  <w:szCs w:val="24"/>
                  <w:lang w:eastAsia="lt-LT"/>
                </w:rPr>
                <w:t xml:space="preserve"> savivaldybės </w:t>
              </w:r>
              <w:r>
                <w:rPr>
                  <w:szCs w:val="24"/>
                  <w:lang w:eastAsia="lt-LT"/>
                </w:rPr>
                <w:t xml:space="preserve">taryba </w:t>
              </w:r>
              <w:r>
                <w:rPr>
                  <w:spacing w:val="40"/>
                  <w:szCs w:val="24"/>
                  <w:lang w:eastAsia="lt-LT"/>
                </w:rPr>
                <w:t>nusprendžia</w:t>
              </w:r>
              <w:r>
                <w:rPr>
                  <w:szCs w:val="24"/>
                  <w:lang w:eastAsia="lt-LT"/>
                </w:rPr>
                <w:t>:</w:t>
              </w:r>
            </w:p>
          </w:sdtContent>
        </w:sdt>
        <w:sdt>
          <w:sdtPr>
            <w:alias w:val="1 p."/>
            <w:tag w:val="part_f40aff2686fd4ade8da68d31416c7fd7"/>
            <w:lock w:val="sdtLocked"/>
            <w:richText/>
          </w:sdtPr>
          <w:sdtContent>
            <w:p w14:paraId="7B9A53DC" w14:textId="47E6CE88">
              <w:pPr>
                <w:tabs>
                  <w:tab w:val="left" w:pos="851"/>
                </w:tabs>
                <w:ind w:firstLine="851"/>
                <w:jc w:val="both"/>
                <w:rPr>
                  <w:szCs w:val="24"/>
                  <w:lang w:eastAsia="lt-LT"/>
                </w:rPr>
              </w:pPr>
              <w:sdt>
                <w:sdtPr>
                  <w:alias w:val="Numeris"/>
                  <w:tag w:val="nr_f40aff2686fd4ade8da68d31416c7fd7"/>
                  <w:lock w:val="sdtLocked"/>
                  <w:richText/>
                </w:sdtPr>
                <w:sdtContent>
                  <w:r>
                    <w:rPr>
                      <w:szCs w:val="24"/>
                      <w:lang w:eastAsia="lt-LT"/>
                    </w:rPr>
                    <w:t>1</w:t>
                  </w:r>
                </w:sdtContent>
              </w:sdt>
              <w:r>
                <w:rPr>
                  <w:szCs w:val="24"/>
                  <w:lang w:eastAsia="lt-LT"/>
                </w:rPr>
                <w:t>. Pakeisti Šiaulių miesto savivaldybės tarybos 2021 m. liepos 1 d. sprendimą Nr. T-309 „Dėl kriterijų, pagal kuriuos nustatoma, kada Šiaulių miesto savivaldybės infrastruktūros plėtros įmoka nemokama arba mokama dalimis, ir Šiaulių miesto savivaldybės infrastruktūros plėtros įmokos mokėjimo ir atleidimo nuo jos mokėjimo tvarkos aprašo patvirtinimo“:</w:t>
              </w:r>
            </w:p>
            <w:sdt>
              <w:sdtPr>
                <w:alias w:val="1.1 pp."/>
                <w:tag w:val="part_837c80ecfeb44e55a8f985068f35432f"/>
                <w:lock w:val="sdtLocked"/>
                <w:richText/>
              </w:sdtPr>
              <w:sdtContent>
                <w:p w14:paraId="62A103A8" w14:textId="57BFD690">
                  <w:pPr>
                    <w:tabs>
                      <w:tab w:val="left" w:pos="851"/>
                    </w:tabs>
                    <w:ind w:firstLine="851"/>
                    <w:jc w:val="both"/>
                    <w:rPr>
                      <w:szCs w:val="24"/>
                      <w:lang w:eastAsia="lt-LT"/>
                    </w:rPr>
                  </w:pPr>
                  <w:sdt>
                    <w:sdtPr>
                      <w:alias w:val="Numeris"/>
                      <w:tag w:val="nr_837c80ecfeb44e55a8f985068f35432f"/>
                      <w:lock w:val="sdtLocked"/>
                      <w:richText/>
                    </w:sdtPr>
                    <w:sdtContent>
                      <w:r>
                        <w:rPr>
                          <w:szCs w:val="24"/>
                          <w:lang w:eastAsia="lt-LT"/>
                        </w:rPr>
                        <w:t>1.1</w:t>
                      </w:r>
                    </w:sdtContent>
                  </w:sdt>
                  <w:r>
                    <w:rPr>
                      <w:szCs w:val="24"/>
                      <w:lang w:eastAsia="lt-LT"/>
                    </w:rPr>
                    <w:t>. Pakeisti 2.1.1 papunktį ir jį išdėstyti taip:</w:t>
                  </w:r>
                </w:p>
                <w:sdt>
                  <w:sdtPr>
                    <w:alias w:val="citata"/>
                    <w:tag w:val="part_3e0866a9f667443c9483f7ef50a4de33"/>
                    <w:lock w:val="sdtLocked"/>
                    <w:richText/>
                  </w:sdtPr>
                  <w:sdtContent>
                    <w:sdt>
                      <w:sdtPr>
                        <w:alias w:val="2.1.1 pp."/>
                        <w:tag w:val="part_6b8ffdb30fab4ad1a8d9021653a9ec70"/>
                        <w:lock w:val="sdtLocked"/>
                        <w:richText/>
                      </w:sdtPr>
                      <w:sdtContent>
                        <w:p w14:paraId="6134F2DD" w14:textId="3E1E000E">
                          <w:pPr>
                            <w:tabs>
                              <w:tab w:val="left" w:pos="900"/>
                            </w:tabs>
                            <w:ind w:firstLine="900"/>
                            <w:jc w:val="both"/>
                            <w:rPr>
                              <w:szCs w:val="24"/>
                              <w:lang w:eastAsia="lt-LT"/>
                            </w:rPr>
                          </w:pPr>
                          <w:r>
                            <w:rPr>
                              <w:szCs w:val="24"/>
                              <w:lang w:eastAsia="lt-LT"/>
                            </w:rPr>
                            <w:t>„</w:t>
                          </w:r>
                          <w:sdt>
                            <w:sdtPr>
                              <w:alias w:val="Numeris"/>
                              <w:tag w:val="nr_6b8ffdb30fab4ad1a8d9021653a9ec70"/>
                              <w:lock w:val="sdtLocked"/>
                              <w:richText/>
                            </w:sdtPr>
                            <w:sdtContent>
                              <w:r>
                                <w:rPr>
                                  <w:szCs w:val="24"/>
                                  <w:lang w:eastAsia="lt-LT"/>
                                </w:rPr>
                                <w:t>2.1.1</w:t>
                              </w:r>
                            </w:sdtContent>
                          </w:sdt>
                          <w:r>
                            <w:rPr>
                              <w:szCs w:val="24"/>
                              <w:lang w:eastAsia="lt-LT"/>
                            </w:rPr>
                            <w:t>. pirmoji įmokos dalis, kuri sumokama iki pranešimo apie statybos darbų pradžią pateikimo dienos, gali sudaryti ne mažiau kaip 20 proc. visos įmokos;“.</w:t>
                          </w:r>
                        </w:p>
                      </w:sdtContent>
                    </w:sdt>
                  </w:sdtContent>
                </w:sdt>
              </w:sdtContent>
            </w:sdt>
            <w:sdt>
              <w:sdtPr>
                <w:alias w:val="1.2 pp."/>
                <w:tag w:val="part_76d5e69f30024c82a8a308f6a360efb7"/>
                <w:lock w:val="sdtLocked"/>
                <w:richText/>
              </w:sdtPr>
              <w:sdtContent>
                <w:p w14:paraId="360C7D3E" w14:textId="27C2A06A">
                  <w:pPr>
                    <w:tabs>
                      <w:tab w:val="left" w:pos="851"/>
                    </w:tabs>
                    <w:ind w:firstLine="851"/>
                    <w:jc w:val="both"/>
                    <w:rPr>
                      <w:szCs w:val="24"/>
                      <w:lang w:eastAsia="lt-LT"/>
                    </w:rPr>
                  </w:pPr>
                  <w:sdt>
                    <w:sdtPr>
                      <w:alias w:val="Numeris"/>
                      <w:tag w:val="nr_76d5e69f30024c82a8a308f6a360efb7"/>
                      <w:lock w:val="sdtLocked"/>
                      <w:richText/>
                    </w:sdtPr>
                    <w:sdtContent>
                      <w:r>
                        <w:rPr>
                          <w:szCs w:val="24"/>
                          <w:lang w:eastAsia="lt-LT"/>
                        </w:rPr>
                        <w:t>1.2</w:t>
                      </w:r>
                    </w:sdtContent>
                  </w:sdt>
                  <w:r>
                    <w:rPr>
                      <w:szCs w:val="24"/>
                      <w:lang w:eastAsia="lt-LT"/>
                    </w:rPr>
                    <w:t>. Pakeisti 3.3 papunktį ir jį išdėstyti taip:</w:t>
                  </w:r>
                </w:p>
                <w:sdt>
                  <w:sdtPr>
                    <w:alias w:val="citata"/>
                    <w:tag w:val="part_541dad1ce0754e818680962e80feb8e3"/>
                    <w:lock w:val="sdtLocked"/>
                    <w:richText/>
                  </w:sdtPr>
                  <w:sdtContent>
                    <w:sdt>
                      <w:sdtPr>
                        <w:alias w:val="3.3 pp."/>
                        <w:tag w:val="part_c02a7ff5fb94496b83bb775e02900e35"/>
                        <w:lock w:val="sdtLocked"/>
                        <w:richText/>
                      </w:sdtPr>
                      <w:sdtContent>
                        <w:p w14:paraId="3CDF545F" w14:textId="6DCF30A3">
                          <w:pPr>
                            <w:tabs>
                              <w:tab w:val="left" w:pos="900"/>
                            </w:tabs>
                            <w:ind w:firstLine="851"/>
                            <w:jc w:val="both"/>
                            <w:rPr>
                              <w:rFonts w:eastAsia="Calibri"/>
                              <w:szCs w:val="24"/>
                            </w:rPr>
                          </w:pPr>
                          <w:r>
                            <w:rPr>
                              <w:szCs w:val="24"/>
                              <w:lang w:eastAsia="lt-LT"/>
                            </w:rPr>
                            <w:t>„</w:t>
                          </w:r>
                          <w:sdt>
                            <w:sdtPr>
                              <w:alias w:val="Numeris"/>
                              <w:tag w:val="nr_c02a7ff5fb94496b83bb775e02900e35"/>
                              <w:lock w:val="sdtLocked"/>
                              <w:richText/>
                            </w:sdtPr>
                            <w:sdtContent>
                              <w:r>
                                <w:rPr>
                                  <w:szCs w:val="24"/>
                                  <w:lang w:eastAsia="lt-LT"/>
                                </w:rPr>
                                <w:t>3.3</w:t>
                              </w:r>
                            </w:sdtContent>
                          </w:sdt>
                          <w:r>
                            <w:rPr>
                              <w:szCs w:val="24"/>
                              <w:lang w:eastAsia="lt-LT"/>
                            </w:rPr>
                            <w:t xml:space="preserve">. </w:t>
                          </w:r>
                          <w:r>
                            <w:rPr>
                              <w:rFonts w:eastAsia="Calibri"/>
                              <w:szCs w:val="24"/>
                            </w:rPr>
                            <w:t>Šiaulių miesto savivaldybės taryba atskiru sprendimu gali atleisti nuo įmokos arba ją sumažinti dėl bet kokios paskirties statinių, jei dėl jų statybos yra pateikta Šiaulių miesto verslo tarybos motyvuota rekomendacija argumentuojant visuomenine, ekonomine ir (arba) socialine nauda.“</w:t>
                          </w:r>
                        </w:p>
                      </w:sdtContent>
                    </w:sdt>
                  </w:sdtContent>
                </w:sdt>
              </w:sdtContent>
            </w:sdt>
            <w:sdt>
              <w:sdtPr>
                <w:alias w:val="1.3 pp."/>
                <w:tag w:val="part_607ed731ad9446cfbb045304118c00a5"/>
                <w:lock w:val="sdtLocked"/>
                <w:richText/>
              </w:sdtPr>
              <w:sdtContent>
                <w:p w14:paraId="50ACD019" w14:textId="5030E3A6">
                  <w:pPr>
                    <w:tabs>
                      <w:tab w:val="left" w:pos="900"/>
                    </w:tabs>
                    <w:ind w:firstLine="851"/>
                    <w:jc w:val="both"/>
                    <w:rPr>
                      <w:rFonts w:eastAsia="Calibri"/>
                      <w:szCs w:val="24"/>
                    </w:rPr>
                  </w:pPr>
                  <w:sdt>
                    <w:sdtPr>
                      <w:alias w:val="Numeris"/>
                      <w:tag w:val="nr_607ed731ad9446cfbb045304118c00a5"/>
                      <w:lock w:val="sdtLocked"/>
                      <w:richText/>
                    </w:sdtPr>
                    <w:sdtContent>
                      <w:r>
                        <w:t>1.3</w:t>
                      </w:r>
                    </w:sdtContent>
                  </w:sdt>
                  <w:r>
                    <w:t>. Papildyti 5 punktu:</w:t>
                  </w:r>
                </w:p>
                <w:sdt>
                  <w:sdtPr>
                    <w:alias w:val="citata"/>
                    <w:tag w:val="part_468b0a15efdc46b3a2ca6be9369c4f4e"/>
                    <w:lock w:val="sdtLocked"/>
                    <w:richText/>
                  </w:sdtPr>
                  <w:sdtContent>
                    <w:sdt>
                      <w:sdtPr>
                        <w:alias w:val="5 p."/>
                        <w:tag w:val="part_a631e5f5e38645a4be14b8ee8f20d584"/>
                        <w:lock w:val="sdtLocked"/>
                        <w:richText/>
                      </w:sdtPr>
                      <w:sdtContent>
                        <w:p w14:paraId="66C64F18" w14:textId="34F33602">
                          <w:pPr>
                            <w:tabs>
                              <w:tab w:val="left" w:pos="900"/>
                            </w:tabs>
                            <w:ind w:firstLine="900"/>
                            <w:jc w:val="both"/>
                          </w:pPr>
                          <w:r>
                            <w:t>„</w:t>
                          </w:r>
                          <w:sdt>
                            <w:sdtPr>
                              <w:alias w:val="Numeris"/>
                              <w:tag w:val="nr_a631e5f5e38645a4be14b8ee8f20d584"/>
                              <w:lock w:val="sdtLocked"/>
                              <w:richText/>
                            </w:sdtPr>
                            <w:sdtContent>
                              <w:r>
                                <w:t>5</w:t>
                              </w:r>
                            </w:sdtContent>
                          </w:sdt>
                          <w:r>
                            <w:t>. Nuo savivaldybės infrastruktūros plėtros įmokos atleidžiami statytojai (vystytojai) Lietuvos Respublikos savivaldybių infrastruktūros plėtros įstatymo 15 straipsnio 3 dalyje nustatytais atvejais.“</w:t>
                          </w:r>
                        </w:p>
                      </w:sdtContent>
                    </w:sdt>
                  </w:sdtContent>
                </w:sdt>
              </w:sdtContent>
            </w:sdt>
            <w:sdt>
              <w:sdtPr>
                <w:alias w:val="1.4 pp."/>
                <w:tag w:val="part_f6018b69c9ca44d0b95d7a54ee1f27cf"/>
                <w:lock w:val="sdtLocked"/>
                <w:richText/>
              </w:sdtPr>
              <w:sdtContent>
                <w:p w14:paraId="6BDE1CAB" w14:textId="5A243FC2">
                  <w:pPr>
                    <w:tabs>
                      <w:tab w:val="left" w:pos="900"/>
                    </w:tabs>
                    <w:ind w:firstLine="900"/>
                    <w:jc w:val="both"/>
                  </w:pPr>
                  <w:sdt>
                    <w:sdtPr>
                      <w:alias w:val="Numeris"/>
                      <w:tag w:val="nr_f6018b69c9ca44d0b95d7a54ee1f27cf"/>
                      <w:lock w:val="sdtLocked"/>
                      <w:richText/>
                    </w:sdtPr>
                    <w:sdtContent>
                      <w:r>
                        <w:t>1.4</w:t>
                      </w:r>
                    </w:sdtContent>
                  </w:sdt>
                  <w:r>
                    <w:t>. Papildyti 6 punktu:</w:t>
                  </w:r>
                </w:p>
                <w:sdt>
                  <w:sdtPr>
                    <w:alias w:val="citata"/>
                    <w:tag w:val="part_e9d068bba9984482bd869ca55e86a43b"/>
                    <w:lock w:val="sdtLocked"/>
                    <w:richText/>
                  </w:sdtPr>
                  <w:sdtContent>
                    <w:sdt>
                      <w:sdtPr>
                        <w:alias w:val="6 p."/>
                        <w:tag w:val="part_b423785b4e5b404aa53b8e1584ba21aa"/>
                        <w:lock w:val="sdtLocked"/>
                        <w:richText/>
                      </w:sdtPr>
                      <w:sdtContent>
                        <w:p w14:paraId="68303FFE" w14:textId="50F5B762">
                          <w:pPr>
                            <w:tabs>
                              <w:tab w:val="left" w:pos="900"/>
                            </w:tabs>
                            <w:ind w:firstLine="900"/>
                            <w:jc w:val="both"/>
                            <w:rPr>
                              <w:szCs w:val="24"/>
                            </w:rPr>
                          </w:pPr>
                          <w:r>
                            <w:t>„</w:t>
                          </w:r>
                          <w:sdt>
                            <w:sdtPr>
                              <w:alias w:val="Numeris"/>
                              <w:tag w:val="nr_b423785b4e5b404aa53b8e1584ba21aa"/>
                              <w:lock w:val="sdtLocked"/>
                              <w:richText/>
                            </w:sdtPr>
                            <w:sdtContent>
                              <w:r>
                                <w:t>6</w:t>
                              </w:r>
                            </w:sdtContent>
                          </w:sdt>
                          <w:r>
                            <w:t>. Nustatyti, kad Sprendimo 1 punkte nurodytais atvejais, infrastruktūros plėtros įmokos tarifas – 0,0 Eur/m</w:t>
                          </w:r>
                          <w:r>
                            <w:rPr>
                              <w:vertAlign w:val="superscript"/>
                            </w:rPr>
                            <w:t>2</w:t>
                          </w:r>
                          <w:r>
                            <w:t>.“</w:t>
                            <w:tab/>
                          </w:r>
                        </w:p>
                      </w:sdtContent>
                    </w:sdt>
                  </w:sdtContent>
                </w:sdt>
              </w:sdtContent>
            </w:sdt>
          </w:sdtContent>
        </w:sdt>
        <w:sdt>
          <w:sdtPr>
            <w:alias w:val="2 p."/>
            <w:tag w:val="part_d804a7a1145c4302af12397b0d9f3ac7"/>
            <w:lock w:val="sdtLocked"/>
            <w:richText/>
          </w:sdtPr>
          <w:sdtContent>
            <w:p w14:paraId="148EDF4F" w14:textId="302F72D8">
              <w:pPr>
                <w:tabs>
                  <w:tab w:val="left" w:pos="900"/>
                </w:tabs>
                <w:ind w:firstLine="900"/>
                <w:jc w:val="both"/>
              </w:pPr>
              <w:sdt>
                <w:sdtPr>
                  <w:alias w:val="Numeris"/>
                  <w:tag w:val="nr_d804a7a1145c4302af12397b0d9f3ac7"/>
                  <w:lock w:val="sdtLocked"/>
                  <w:richText/>
                </w:sdtPr>
                <w:sdtContent>
                  <w:r>
                    <w:rPr>
                      <w:szCs w:val="24"/>
                    </w:rPr>
                    <w:t>2</w:t>
                  </w:r>
                </w:sdtContent>
              </w:sdt>
              <w:r>
                <w:rPr>
                  <w:szCs w:val="24"/>
                </w:rPr>
                <w:t>. Pakeisti nurodyto</w:t>
              </w:r>
              <w:r>
                <w:rPr>
                  <w:color w:val="FF0000"/>
                  <w:szCs w:val="24"/>
                </w:rPr>
                <w:t xml:space="preserve"> </w:t>
              </w:r>
              <w:r>
                <w:rPr>
                  <w:szCs w:val="24"/>
                </w:rPr>
                <w:t xml:space="preserve">sprendimo 4 punktu patvirtintą Šiaulių miesto </w:t>
              </w:r>
              <w:r>
                <w:t>savivaldybės infrastruktūros plėtros įmokos mokėjimo dalimis ir atleidimo nuo jos mokėjimo tvarkos aprašą:</w:t>
              </w:r>
            </w:p>
            <w:sdt>
              <w:sdtPr>
                <w:alias w:val="2.1 pp."/>
                <w:tag w:val="part_0ff905301bd743a4bebd036669ff54d5"/>
                <w:lock w:val="sdtLocked"/>
                <w:richText/>
              </w:sdtPr>
              <w:sdtContent>
                <w:p w14:paraId="481F5064" w14:textId="1932426F">
                  <w:pPr>
                    <w:tabs>
                      <w:tab w:val="left" w:pos="900"/>
                    </w:tabs>
                    <w:ind w:firstLine="900"/>
                    <w:jc w:val="both"/>
                    <w:rPr>
                      <w:color w:val="00B0F0"/>
                    </w:rPr>
                  </w:pPr>
                  <w:sdt>
                    <w:sdtPr>
                      <w:alias w:val="Numeris"/>
                      <w:tag w:val="nr_0ff905301bd743a4bebd036669ff54d5"/>
                      <w:lock w:val="sdtLocked"/>
                      <w:richText/>
                    </w:sdtPr>
                    <w:sdtContent>
                      <w:r>
                        <w:t>2.1</w:t>
                      </w:r>
                    </w:sdtContent>
                  </w:sdt>
                  <w:r>
                    <w:t>. Pakeisti 4 punktą ir jį išdėstyti taip:</w:t>
                  </w:r>
                </w:p>
                <w:sdt>
                  <w:sdtPr>
                    <w:alias w:val="citata"/>
                    <w:tag w:val="part_2e72d054e3c543fd89c71557ef3c66ef"/>
                    <w:lock w:val="sdtLocked"/>
                    <w:richText/>
                  </w:sdtPr>
                  <w:sdtContent>
                    <w:sdt>
                      <w:sdtPr>
                        <w:alias w:val="4 p."/>
                        <w:tag w:val="part_7a88850bc76846889c6eb2b165db5f19"/>
                        <w:lock w:val="sdtLocked"/>
                        <w:richText/>
                      </w:sdtPr>
                      <w:sdtContent>
                        <w:p w14:paraId="5833F706" w14:textId="3FA2F4B5">
                          <w:pPr>
                            <w:tabs>
                              <w:tab w:val="left" w:pos="1276"/>
                            </w:tabs>
                            <w:spacing w:line="260" w:lineRule="exact"/>
                            <w:ind w:firstLine="851"/>
                            <w:jc w:val="both"/>
                            <w:rPr>
                              <w:szCs w:val="24"/>
                            </w:rPr>
                          </w:pPr>
                          <w:r>
                            <w:t>„</w:t>
                          </w:r>
                          <w:sdt>
                            <w:sdtPr>
                              <w:alias w:val="Numeris"/>
                              <w:tag w:val="nr_7a88850bc76846889c6eb2b165db5f19"/>
                              <w:lock w:val="sdtLocked"/>
                              <w:richText/>
                            </w:sdtPr>
                            <w:sdtContent>
                              <w:r>
                                <w:t>4</w:t>
                              </w:r>
                            </w:sdtContent>
                          </w:sdt>
                          <w:r>
                            <w:t xml:space="preserve">. </w:t>
                          </w:r>
                          <w:r>
                            <w:rPr>
                              <w:szCs w:val="24"/>
                            </w:rPr>
                            <w:t xml:space="preserve">Sprendimą dėl įmokos mokėjimo dalimis ar atleidimo nuo jos pagal </w:t>
                          </w:r>
                          <w:r>
                            <w:rPr>
                              <w:bCs/>
                              <w:szCs w:val="24"/>
                              <w:lang w:eastAsia="lt-LT"/>
                            </w:rPr>
                            <w:t>Savivaldybės tarybos sprendimo</w:t>
                          </w:r>
                          <w:r>
                            <w:rPr>
                              <w:bCs/>
                              <w:szCs w:val="24"/>
                            </w:rPr>
                            <w:t xml:space="preserve"> </w:t>
                          </w:r>
                          <w:r>
                            <w:rPr>
                              <w:bCs/>
                              <w:szCs w:val="24"/>
                              <w:lang w:eastAsia="lt-LT"/>
                            </w:rPr>
                            <w:t xml:space="preserve">1, 2 ir 5 punktus </w:t>
                          </w:r>
                          <w:r>
                            <w:rPr>
                              <w:szCs w:val="24"/>
                            </w:rPr>
                            <w:t>priima Savivaldybės infrastruktūros plėtros organizatorius (toliau – Organizatorius)“.</w:t>
                          </w:r>
                        </w:p>
                      </w:sdtContent>
                    </w:sdt>
                  </w:sdtContent>
                </w:sdt>
              </w:sdtContent>
            </w:sdt>
            <w:sdt>
              <w:sdtPr>
                <w:alias w:val="2.2 pp."/>
                <w:tag w:val="part_6740bb32760645988bd8233cb707a6e4"/>
                <w:lock w:val="sdtLocked"/>
                <w:richText/>
              </w:sdtPr>
              <w:sdtContent>
                <w:p w14:paraId="09DF5192" w14:textId="082142BA">
                  <w:pPr>
                    <w:tabs>
                      <w:tab w:val="left" w:pos="1276"/>
                    </w:tabs>
                    <w:spacing w:line="260" w:lineRule="exact"/>
                    <w:ind w:firstLine="851"/>
                    <w:jc w:val="both"/>
                    <w:rPr>
                      <w:szCs w:val="24"/>
                    </w:rPr>
                  </w:pPr>
                  <w:sdt>
                    <w:sdtPr>
                      <w:alias w:val="Numeris"/>
                      <w:tag w:val="nr_6740bb32760645988bd8233cb707a6e4"/>
                      <w:lock w:val="sdtLocked"/>
                      <w:richText/>
                    </w:sdtPr>
                    <w:sdtContent>
                      <w:r>
                        <w:rPr>
                          <w:szCs w:val="24"/>
                        </w:rPr>
                        <w:t>2.2</w:t>
                      </w:r>
                    </w:sdtContent>
                  </w:sdt>
                  <w:r>
                    <w:rPr>
                      <w:szCs w:val="24"/>
                    </w:rPr>
                    <w:t xml:space="preserve">. </w:t>
                  </w:r>
                  <w:r>
                    <w:t>Pakeisti 6 punktą ir jį išdėstyti taip:</w:t>
                  </w:r>
                </w:p>
                <w:sdt>
                  <w:sdtPr>
                    <w:alias w:val="citata"/>
                    <w:tag w:val="part_4395628a0a4c4660b714cc9a4fb4eb96"/>
                    <w:lock w:val="sdtLocked"/>
                    <w:richText/>
                  </w:sdtPr>
                  <w:sdtContent>
                    <w:sdt>
                      <w:sdtPr>
                        <w:alias w:val="6 p."/>
                        <w:tag w:val="part_ace85d0c4e1745e2ae9c8c31c03298db"/>
                        <w:lock w:val="sdtLocked"/>
                        <w:richText/>
                      </w:sdtPr>
                      <w:sdtContent>
                        <w:p w14:paraId="7C6D1D62" w14:textId="3DE664C7">
                          <w:pPr>
                            <w:tabs>
                              <w:tab w:val="left" w:pos="1276"/>
                            </w:tabs>
                            <w:spacing w:line="260" w:lineRule="exact"/>
                            <w:ind w:firstLine="851"/>
                            <w:jc w:val="both"/>
                            <w:rPr>
                              <w:szCs w:val="24"/>
                            </w:rPr>
                          </w:pPr>
                          <w:r>
                            <w:rPr>
                              <w:szCs w:val="24"/>
                            </w:rPr>
                            <w:t>„</w:t>
                          </w:r>
                          <w:sdt>
                            <w:sdtPr>
                              <w:alias w:val="Numeris"/>
                              <w:tag w:val="nr_ace85d0c4e1745e2ae9c8c31c03298db"/>
                              <w:lock w:val="sdtLocked"/>
                              <w:richText/>
                            </w:sdtPr>
                            <w:sdtContent>
                              <w:r>
                                <w:rPr>
                                  <w:szCs w:val="24"/>
                                </w:rPr>
                                <w:t>6</w:t>
                              </w:r>
                            </w:sdtContent>
                          </w:sdt>
                          <w:r>
                            <w:rPr>
                              <w:szCs w:val="24"/>
                            </w:rPr>
                            <w:t xml:space="preserve">. Įmokos mokėtojas įmoką sumoka </w:t>
                          </w:r>
                          <w:r>
                            <w:rPr>
                              <w:szCs w:val="24"/>
                              <w:lang w:eastAsia="lt-LT"/>
                            </w:rPr>
                            <w:t>iki pranešimo apie statybos darbų pradžią pateikimo dienos</w:t>
                          </w:r>
                          <w:r>
                            <w:rPr>
                              <w:szCs w:val="24"/>
                            </w:rPr>
                            <w:t>, išskyrus atvejus, kai įmoka nemokama ar mokama dalimis pagal Savivaldybės tarybos patvirtintus kriterijus ir dėl to yra priimtas Organizatoriaus sprendimas“.</w:t>
                          </w:r>
                        </w:p>
                      </w:sdtContent>
                    </w:sdt>
                  </w:sdtContent>
                </w:sdt>
              </w:sdtContent>
            </w:sdt>
            <w:sdt>
              <w:sdtPr>
                <w:alias w:val="2.3 pp."/>
                <w:tag w:val="part_6f1f3d515e5e41d9954459d16f75b7a2"/>
                <w:lock w:val="sdtLocked"/>
                <w:richText/>
              </w:sdtPr>
              <w:sdtContent>
                <w:p w14:paraId="2B3D273E" w14:textId="47436400">
                  <w:pPr>
                    <w:tabs>
                      <w:tab w:val="left" w:pos="1276"/>
                    </w:tabs>
                    <w:spacing w:line="260" w:lineRule="exact"/>
                    <w:ind w:firstLine="851"/>
                    <w:jc w:val="both"/>
                    <w:rPr>
                      <w:szCs w:val="24"/>
                    </w:rPr>
                  </w:pPr>
                  <w:sdt>
                    <w:sdtPr>
                      <w:alias w:val="Numeris"/>
                      <w:tag w:val="nr_6f1f3d515e5e41d9954459d16f75b7a2"/>
                      <w:lock w:val="sdtLocked"/>
                      <w:richText/>
                    </w:sdtPr>
                    <w:sdtContent>
                      <w:r>
                        <w:rPr>
                          <w:szCs w:val="24"/>
                        </w:rPr>
                        <w:t>2.3</w:t>
                      </w:r>
                    </w:sdtContent>
                  </w:sdt>
                  <w:r>
                    <w:rPr>
                      <w:szCs w:val="24"/>
                    </w:rPr>
                    <w:t xml:space="preserve">. </w:t>
                  </w:r>
                  <w:r>
                    <w:t>Pakeisti 10 punktą ir jį išdėstyti taip:</w:t>
                  </w:r>
                </w:p>
                <w:sdt>
                  <w:sdtPr>
                    <w:alias w:val="citata"/>
                    <w:tag w:val="part_922e6d1402fe4899b8fd543074aa0443"/>
                    <w:lock w:val="sdtLocked"/>
                    <w:richText/>
                  </w:sdtPr>
                  <w:sdtContent>
                    <w:sdt>
                      <w:sdtPr>
                        <w:alias w:val="10 p."/>
                        <w:tag w:val="part_56c310579dbb4776ad1efb0e67b2f3f9"/>
                        <w:lock w:val="sdtLocked"/>
                        <w:richText/>
                      </w:sdtPr>
                      <w:sdtContent>
                        <w:p w14:paraId="333EE4F5" w14:textId="27D5C327">
                          <w:pPr>
                            <w:tabs>
                              <w:tab w:val="left" w:pos="1276"/>
                            </w:tabs>
                            <w:spacing w:line="260" w:lineRule="exact"/>
                            <w:ind w:firstLine="851"/>
                            <w:jc w:val="both"/>
                            <w:rPr>
                              <w:szCs w:val="24"/>
                            </w:rPr>
                          </w:pPr>
                          <w:r>
                            <w:rPr>
                              <w:szCs w:val="24"/>
                            </w:rPr>
                            <w:t>„</w:t>
                          </w:r>
                          <w:sdt>
                            <w:sdtPr>
                              <w:alias w:val="Numeris"/>
                              <w:tag w:val="nr_56c310579dbb4776ad1efb0e67b2f3f9"/>
                              <w:lock w:val="sdtLocked"/>
                              <w:richText/>
                            </w:sdtPr>
                            <w:sdtContent>
                              <w:r>
                                <w:rPr>
                                  <w:szCs w:val="24"/>
                                </w:rPr>
                                <w:t>10</w:t>
                              </w:r>
                            </w:sdtContent>
                          </w:sdt>
                          <w:r>
                            <w:rPr>
                              <w:szCs w:val="24"/>
                            </w:rPr>
                            <w:t xml:space="preserve">. Įmokos mokėtojas ne vėliau kaip </w:t>
                          </w:r>
                          <w:r>
                            <w:t xml:space="preserve">per 20 (dvidešimt) darbo dienų nuo </w:t>
                          </w:r>
                          <w:r>
                            <w:rPr>
                              <w:szCs w:val="24"/>
                            </w:rPr>
                            <w:t xml:space="preserve">Įmokos apskaičiavimo akto, kuriame yra įrašyta žyma apie įmokos mokėjimą dalimis, gavimo dienos pateikia Organizatoriui banko ar draudimo kompanijos garantiją arba laidavimo raštą, kuriuo būtų užtikrinama, kad bus sumokėta visa apskaičiuota </w:t>
                          </w:r>
                          <w:r>
                            <w:t>į</w:t>
                          </w:r>
                          <w:r>
                            <w:rPr>
                              <w:szCs w:val="24"/>
                            </w:rPr>
                            <w:t>mokos suma. Nepateikęs garantijos arba laidavimo rašto,</w:t>
                          </w:r>
                          <w:r>
                            <w:t xml:space="preserve"> įmokos mokėtojas turi sumokėti visą įmoką.“ </w:t>
                          </w:r>
                        </w:p>
                      </w:sdtContent>
                    </w:sdt>
                  </w:sdtContent>
                </w:sdt>
              </w:sdtContent>
            </w:sdt>
            <w:sdt>
              <w:sdtPr>
                <w:alias w:val="2.4 pp."/>
                <w:tag w:val="part_a20c74d5297b4eb4bbd1c532b75335dd"/>
                <w:lock w:val="sdtLocked"/>
                <w:richText/>
              </w:sdtPr>
              <w:sdtContent>
                <w:p w14:paraId="39109DC1" w14:textId="48706D2C">
                  <w:pPr>
                    <w:tabs>
                      <w:tab w:val="left" w:pos="1276"/>
                    </w:tabs>
                    <w:spacing w:line="260" w:lineRule="exact"/>
                    <w:ind w:firstLine="851"/>
                    <w:jc w:val="both"/>
                    <w:rPr>
                      <w:szCs w:val="24"/>
                    </w:rPr>
                  </w:pPr>
                  <w:sdt>
                    <w:sdtPr>
                      <w:alias w:val="Numeris"/>
                      <w:tag w:val="nr_a20c74d5297b4eb4bbd1c532b75335dd"/>
                      <w:lock w:val="sdtLocked"/>
                      <w:richText/>
                    </w:sdtPr>
                    <w:sdtContent>
                      <w:r>
                        <w:rPr>
                          <w:szCs w:val="24"/>
                        </w:rPr>
                        <w:t>2.4</w:t>
                      </w:r>
                    </w:sdtContent>
                  </w:sdt>
                  <w:r>
                    <w:rPr>
                      <w:szCs w:val="24"/>
                    </w:rPr>
                    <w:t xml:space="preserve">. Pakeisti </w:t>
                  </w:r>
                  <w:r>
                    <w:t>13 punktą ir jį išdėstyti taip:</w:t>
                  </w:r>
                </w:p>
                <w:sdt>
                  <w:sdtPr>
                    <w:alias w:val="citata"/>
                    <w:tag w:val="part_bfc01d4598a0414597f0c41edaf6c77c"/>
                    <w:lock w:val="sdtLocked"/>
                    <w:richText/>
                  </w:sdtPr>
                  <w:sdtContent>
                    <w:sdt>
                      <w:sdtPr>
                        <w:alias w:val="13 p."/>
                        <w:tag w:val="part_ae835535553b4f61af8d6ee6a0cd3d30"/>
                        <w:lock w:val="sdtLocked"/>
                        <w:richText/>
                      </w:sdtPr>
                      <w:sdtContent>
                        <w:p w14:paraId="2AB3AE63" w14:textId="77777777">
                          <w:pPr>
                            <w:tabs>
                              <w:tab w:val="left" w:pos="1276"/>
                            </w:tabs>
                            <w:spacing w:line="260" w:lineRule="exact"/>
                            <w:ind w:firstLine="851"/>
                            <w:jc w:val="both"/>
                            <w:rPr>
                              <w:rFonts w:eastAsia="Calibri"/>
                              <w:szCs w:val="24"/>
                            </w:rPr>
                          </w:pPr>
                          <w:r>
                            <w:t>„</w:t>
                          </w:r>
                          <w:sdt>
                            <w:sdtPr>
                              <w:alias w:val="Numeris"/>
                              <w:tag w:val="nr_ae835535553b4f61af8d6ee6a0cd3d30"/>
                              <w:lock w:val="sdtLocked"/>
                              <w:richText/>
                            </w:sdtPr>
                            <w:sdtContent>
                              <w:r>
                                <w:t>13</w:t>
                              </w:r>
                            </w:sdtContent>
                          </w:sdt>
                          <w:r>
                            <w:t xml:space="preserve">. Įmokos </w:t>
                          </w:r>
                          <w:r>
                            <w:rPr>
                              <w:szCs w:val="24"/>
                            </w:rPr>
                            <w:t xml:space="preserve">mokėtojas, manydamas, kad atitinka Savivaldybės tarybos patvirtintus kriterijus, kai įmoka nemokama, išskyrus Savivaldybės tarybos sprendimo 1 punkte nurodytus atvejus, Prašyme </w:t>
                          </w:r>
                          <w:r>
                            <w:rPr>
                              <w:rFonts w:eastAsia="Calibri"/>
                              <w:szCs w:val="24"/>
                            </w:rPr>
                            <w:t>nurodo, kad pageidauja įmokos nemokėti.“</w:t>
                          </w:r>
                        </w:p>
                      </w:sdtContent>
                    </w:sdt>
                  </w:sdtContent>
                </w:sdt>
              </w:sdtContent>
            </w:sdt>
            <w:sdt>
              <w:sdtPr>
                <w:alias w:val="2.5 pp."/>
                <w:tag w:val="part_af36398aa4a141c6856da5bccc0b0476"/>
                <w:lock w:val="sdtLocked"/>
                <w:richText/>
              </w:sdtPr>
              <w:sdtContent>
                <w:p w14:paraId="458F69E9" w14:textId="05F24726">
                  <w:pPr>
                    <w:tabs>
                      <w:tab w:val="left" w:pos="1276"/>
                    </w:tabs>
                    <w:spacing w:line="260" w:lineRule="exact"/>
                    <w:ind w:firstLine="913"/>
                    <w:jc w:val="both"/>
                    <w:rPr>
                      <w:szCs w:val="24"/>
                    </w:rPr>
                  </w:pPr>
                  <w:sdt>
                    <w:sdtPr>
                      <w:alias w:val="Numeris"/>
                      <w:tag w:val="nr_af36398aa4a141c6856da5bccc0b0476"/>
                      <w:lock w:val="sdtLocked"/>
                      <w:richText/>
                    </w:sdtPr>
                    <w:sdtContent>
                      <w:r>
                        <w:t>2.5</w:t>
                      </w:r>
                    </w:sdtContent>
                  </w:sdt>
                  <w:r>
                    <w:t xml:space="preserve">. </w:t>
                  </w:r>
                  <w:r>
                    <w:rPr>
                      <w:szCs w:val="24"/>
                    </w:rPr>
                    <w:t xml:space="preserve">Pakeisti </w:t>
                  </w:r>
                  <w:r>
                    <w:t>17 punktą ir jį išdėstyti taip:</w:t>
                  </w:r>
                </w:p>
                <w:sdt>
                  <w:sdtPr>
                    <w:alias w:val="citata"/>
                    <w:tag w:val="part_24bfb9dfc5ff4e16aadd4595e4c9ecb0"/>
                    <w:lock w:val="sdtLocked"/>
                    <w:richText/>
                  </w:sdtPr>
                  <w:sdtContent>
                    <w:sdt>
                      <w:sdtPr>
                        <w:alias w:val="17 p."/>
                        <w:tag w:val="part_65f84aefde774a5e8e89486f81e13ce3"/>
                        <w:lock w:val="sdtLocked"/>
                        <w:richText/>
                      </w:sdtPr>
                      <w:sdtContent>
                        <w:p w14:paraId="0DEAC55B" w14:textId="32BF8DC8">
                          <w:pPr>
                            <w:tabs>
                              <w:tab w:val="left" w:pos="1276"/>
                            </w:tabs>
                            <w:spacing w:line="260" w:lineRule="exact"/>
                            <w:ind w:firstLine="851"/>
                            <w:jc w:val="both"/>
                            <w:rPr>
                              <w:szCs w:val="24"/>
                            </w:rPr>
                          </w:pPr>
                          <w:r>
                            <w:rPr>
                              <w:szCs w:val="24"/>
                              <w:lang w:eastAsia="lt-LT"/>
                            </w:rPr>
                            <w:t>„</w:t>
                          </w:r>
                          <w:sdt>
                            <w:sdtPr>
                              <w:alias w:val="Numeris"/>
                              <w:tag w:val="nr_65f84aefde774a5e8e89486f81e13ce3"/>
                              <w:lock w:val="sdtLocked"/>
                              <w:richText/>
                            </w:sdtPr>
                            <w:sdtContent>
                              <w:r>
                                <w:rPr>
                                  <w:szCs w:val="24"/>
                                  <w:lang w:eastAsia="lt-LT"/>
                                </w:rPr>
                                <w:t>17</w:t>
                              </w:r>
                            </w:sdtContent>
                          </w:sdt>
                          <w:r>
                            <w:rPr>
                              <w:szCs w:val="24"/>
                              <w:lang w:eastAsia="lt-LT"/>
                            </w:rPr>
                            <w:t xml:space="preserve">. </w:t>
                          </w:r>
                          <w:r>
                            <w:rPr>
                              <w:szCs w:val="24"/>
                            </w:rPr>
                            <w:t>Organizatorius, nustatęs, kad įmokos mokėtojas, pateikęs Prašymą, atitinka Savivaldybės tarybos patvirtintus kriterijus</w:t>
                          </w:r>
                          <w:r>
                            <w:rPr>
                              <w:rFonts w:eastAsia="Calibri"/>
                            </w:rPr>
                            <w:t xml:space="preserve"> dėl atleidimo nuo įmokos mokėjimo</w:t>
                          </w:r>
                          <w:r>
                            <w:rPr>
                              <w:szCs w:val="24"/>
                            </w:rPr>
                            <w:t xml:space="preserve">, apie </w:t>
                          </w:r>
                          <w:r>
                            <w:rPr>
                              <w:rFonts w:eastAsia="Calibri"/>
                            </w:rPr>
                            <w:t>atleidimo nuo įmokos mokėjimo</w:t>
                          </w:r>
                          <w:r>
                            <w:rPr>
                              <w:szCs w:val="24"/>
                            </w:rPr>
                            <w:t xml:space="preserve"> galimybę įmokos mokėtojo pasirinktu informavimo būdu informuoja įmokos mokėtoją, pateikdamas Metodikos 2 priede nurodytą Įmokos apskaičiavimo aktą, apskaičiuotą Savivaldybės tarybos sprendimo 6 punkte nurodytu tarifu, o atveju, nurodytu </w:t>
                          </w:r>
                          <w:r>
                            <w:rPr>
                              <w:bCs/>
                              <w:szCs w:val="24"/>
                              <w:lang w:eastAsia="lt-LT"/>
                            </w:rPr>
                            <w:t>Savivaldybės tarybos sprendimo</w:t>
                          </w:r>
                          <w:r>
                            <w:rPr>
                              <w:bCs/>
                              <w:szCs w:val="24"/>
                            </w:rPr>
                            <w:t xml:space="preserve"> </w:t>
                          </w:r>
                          <w:r>
                            <w:rPr>
                              <w:bCs/>
                              <w:szCs w:val="24"/>
                              <w:lang w:eastAsia="lt-LT"/>
                            </w:rPr>
                            <w:t xml:space="preserve">3.3 papunktyje, inicijuoja Savivaldybės tarybos sprendimo projekto parengimą ir teikimą Savivaldybės tarybai teisės aktų nustatyta tvarka.“ </w:t>
                          </w:r>
                        </w:p>
                        <w:p w14:paraId="72EB2067" w14:textId="70257D2D">
                          <w:pPr>
                            <w:tabs>
                              <w:tab w:val="center" w:pos="4153"/>
                              <w:tab w:val="right" w:pos="8306"/>
                            </w:tabs>
                            <w:ind w:firstLine="851"/>
                            <w:jc w:val="both"/>
                            <w:rPr>
                              <w:szCs w:val="24"/>
                              <w:lang w:eastAsia="lt-LT"/>
                            </w:rPr>
                          </w:pPr>
                        </w:p>
                        <w:p w14:paraId="69400A2D" w14:textId="77777777">
                          <w:pPr>
                            <w:tabs>
                              <w:tab w:val="center" w:pos="4153"/>
                              <w:tab w:val="right" w:pos="8306"/>
                            </w:tabs>
                            <w:ind w:firstLine="851"/>
                            <w:jc w:val="both"/>
                            <w:rPr>
                              <w:szCs w:val="24"/>
                              <w:lang w:eastAsia="lt-LT"/>
                            </w:rPr>
                          </w:pPr>
                        </w:p>
                      </w:sdtContent>
                    </w:sdt>
                  </w:sdtContent>
                </w:sdt>
              </w:sdtContent>
            </w:sdt>
          </w:sdtContent>
        </w:sdt>
        <w:sdt>
          <w:sdtPr>
            <w:alias w:val="signatura"/>
            <w:tag w:val="part_78c03f85259f4436b1a76809bccca2b8"/>
            <w:lock w:val="sdtLocked"/>
            <w:richText/>
          </w:sdtPr>
          <w:sdtContent>
            <w:p w14:paraId="4075DC6C" w14:textId="47AFF33D">
              <w:pPr>
                <w:tabs>
                  <w:tab w:val="center" w:pos="4153"/>
                  <w:tab w:val="left" w:pos="6390"/>
                  <w:tab w:val="right" w:pos="8306"/>
                </w:tabs>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9D9324" w14:textId="77777777">
      <w:pPr>
        <w:rPr>
          <w:rFonts w:ascii="TimesLT" w:hAnsi="TimesLT"/>
          <w:sz w:val="26"/>
          <w:lang w:eastAsia="lt-LT"/>
        </w:rPr>
      </w:pPr>
      <w:r>
        <w:rPr>
          <w:rFonts w:ascii="TimesLT" w:hAnsi="TimesLT"/>
          <w:sz w:val="26"/>
          <w:lang w:eastAsia="lt-LT"/>
        </w:rPr>
        <w:separator/>
      </w:r>
    </w:p>
  </w:endnote>
  <w:endnote w:type="continuationSeparator" w:id="0">
    <w:p w14:paraId="6680AE58" w14:textId="77777777">
      <w:pPr>
        <w:rPr>
          <w:rFonts w:ascii="TimesLT" w:hAnsi="TimesLT"/>
          <w:sz w:val="26"/>
          <w:lang w:eastAsia="lt-LT"/>
        </w:rPr>
      </w:pPr>
      <w:r>
        <w:rPr>
          <w:rFonts w:ascii="TimesLT" w:hAnsi="TimesLT"/>
          <w:sz w:val="26"/>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92A67" w14:textId="77777777">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978EE" w14:textId="77777777">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F767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E51822" w14:textId="77777777">
      <w:pPr>
        <w:rPr>
          <w:rFonts w:ascii="TimesLT" w:hAnsi="TimesLT"/>
          <w:sz w:val="26"/>
          <w:lang w:eastAsia="lt-LT"/>
        </w:rPr>
      </w:pPr>
      <w:r>
        <w:rPr>
          <w:rFonts w:ascii="TimesLT" w:hAnsi="TimesLT"/>
          <w:sz w:val="26"/>
          <w:lang w:eastAsia="lt-LT"/>
        </w:rPr>
        <w:separator/>
      </w:r>
    </w:p>
  </w:footnote>
  <w:footnote w:type="continuationSeparator" w:id="0">
    <w:p w14:paraId="5CEB8B37" w14:textId="77777777">
      <w:pPr>
        <w:rPr>
          <w:rFonts w:ascii="TimesLT" w:hAnsi="TimesLT"/>
          <w:sz w:val="26"/>
          <w:lang w:eastAsia="lt-LT"/>
        </w:rPr>
      </w:pPr>
      <w:r>
        <w:rPr>
          <w:rFonts w:ascii="TimesLT" w:hAnsi="TimesLT"/>
          <w:sz w:val="26"/>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D3FDF" w14:textId="77777777">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14:paraId="5C980562" w14:textId="77777777">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07377" w14:textId="7E35752B">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5D78355" w14:textId="77777777">
    <w:pPr>
      <w:tabs>
        <w:tab w:val="center" w:pos="4153"/>
        <w:tab w:val="right" w:pos="8306"/>
      </w:tab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B016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55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D1705"/>
  <w15:docId w15:val="{6AE70D3C-1EDE-4A4C-884D-72CA340CDC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972917">
      <w:bodyDiv w:val="1"/>
      <w:marLeft w:val="0"/>
      <w:marRight w:val="0"/>
      <w:marTop w:val="0"/>
      <w:marBottom w:val="0"/>
      <w:divBdr>
        <w:top w:val="none" w:sz="0" w:space="0" w:color="auto"/>
        <w:left w:val="none" w:sz="0" w:space="0" w:color="auto"/>
        <w:bottom w:val="none" w:sz="0" w:space="0" w:color="auto"/>
        <w:right w:val="none" w:sz="0" w:space="0" w:color="auto"/>
      </w:divBdr>
      <w:divsChild>
        <w:div w:id="1717002417">
          <w:marLeft w:val="0"/>
          <w:marRight w:val="0"/>
          <w:marTop w:val="0"/>
          <w:marBottom w:val="0"/>
          <w:divBdr>
            <w:top w:val="none" w:sz="0" w:space="0" w:color="auto"/>
            <w:left w:val="none" w:sz="0" w:space="0" w:color="auto"/>
            <w:bottom w:val="none" w:sz="0" w:space="0" w:color="auto"/>
            <w:right w:val="none" w:sz="0" w:space="0" w:color="auto"/>
          </w:divBdr>
          <w:divsChild>
            <w:div w:id="186655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897044">
      <w:bodyDiv w:val="1"/>
      <w:marLeft w:val="0"/>
      <w:marRight w:val="0"/>
      <w:marTop w:val="0"/>
      <w:marBottom w:val="0"/>
      <w:divBdr>
        <w:top w:val="none" w:sz="0" w:space="0" w:color="auto"/>
        <w:left w:val="none" w:sz="0" w:space="0" w:color="auto"/>
        <w:bottom w:val="none" w:sz="0" w:space="0" w:color="auto"/>
        <w:right w:val="none" w:sz="0" w:space="0" w:color="auto"/>
      </w:divBdr>
      <w:divsChild>
        <w:div w:id="68502514">
          <w:marLeft w:val="0"/>
          <w:marRight w:val="0"/>
          <w:marTop w:val="0"/>
          <w:marBottom w:val="0"/>
          <w:divBdr>
            <w:top w:val="none" w:sz="0" w:space="0" w:color="auto"/>
            <w:left w:val="none" w:sz="0" w:space="0" w:color="auto"/>
            <w:bottom w:val="none" w:sz="0" w:space="0" w:color="auto"/>
            <w:right w:val="none" w:sz="0" w:space="0" w:color="auto"/>
          </w:divBdr>
        </w:div>
      </w:divsChild>
    </w:div>
    <w:div w:id="1213081066">
      <w:bodyDiv w:val="1"/>
      <w:marLeft w:val="0"/>
      <w:marRight w:val="0"/>
      <w:marTop w:val="0"/>
      <w:marBottom w:val="0"/>
      <w:divBdr>
        <w:top w:val="none" w:sz="0" w:space="0" w:color="auto"/>
        <w:left w:val="none" w:sz="0" w:space="0" w:color="auto"/>
        <w:bottom w:val="none" w:sz="0" w:space="0" w:color="auto"/>
        <w:right w:val="none" w:sz="0" w:space="0" w:color="auto"/>
      </w:divBdr>
    </w:div>
    <w:div w:id="1400053223">
      <w:bodyDiv w:val="1"/>
      <w:marLeft w:val="0"/>
      <w:marRight w:val="0"/>
      <w:marTop w:val="0"/>
      <w:marBottom w:val="0"/>
      <w:divBdr>
        <w:top w:val="none" w:sz="0" w:space="0" w:color="auto"/>
        <w:left w:val="none" w:sz="0" w:space="0" w:color="auto"/>
        <w:bottom w:val="none" w:sz="0" w:space="0" w:color="auto"/>
        <w:right w:val="none" w:sz="0" w:space="0" w:color="auto"/>
      </w:divBdr>
      <w:divsChild>
        <w:div w:id="1532373407">
          <w:marLeft w:val="0"/>
          <w:marRight w:val="0"/>
          <w:marTop w:val="0"/>
          <w:marBottom w:val="0"/>
          <w:divBdr>
            <w:top w:val="none" w:sz="0" w:space="0" w:color="auto"/>
            <w:left w:val="none" w:sz="0" w:space="0" w:color="auto"/>
            <w:bottom w:val="none" w:sz="0" w:space="0" w:color="auto"/>
            <w:right w:val="none" w:sz="0" w:space="0" w:color="auto"/>
          </w:divBdr>
        </w:div>
      </w:divsChild>
    </w:div>
    <w:div w:id="1538661839">
      <w:bodyDiv w:val="1"/>
      <w:marLeft w:val="0"/>
      <w:marRight w:val="0"/>
      <w:marTop w:val="0"/>
      <w:marBottom w:val="0"/>
      <w:divBdr>
        <w:top w:val="none" w:sz="0" w:space="0" w:color="auto"/>
        <w:left w:val="none" w:sz="0" w:space="0" w:color="auto"/>
        <w:bottom w:val="none" w:sz="0" w:space="0" w:color="auto"/>
        <w:right w:val="none" w:sz="0" w:space="0" w:color="auto"/>
      </w:divBdr>
    </w:div>
    <w:div w:id="1746419511">
      <w:bodyDiv w:val="1"/>
      <w:marLeft w:val="0"/>
      <w:marRight w:val="0"/>
      <w:marTop w:val="0"/>
      <w:marBottom w:val="0"/>
      <w:divBdr>
        <w:top w:val="none" w:sz="0" w:space="0" w:color="auto"/>
        <w:left w:val="none" w:sz="0" w:space="0" w:color="auto"/>
        <w:bottom w:val="none" w:sz="0" w:space="0" w:color="auto"/>
        <w:right w:val="none" w:sz="0" w:space="0" w:color="auto"/>
      </w:divBdr>
    </w:div>
    <w:div w:id="2127767393">
      <w:bodyDiv w:val="1"/>
      <w:marLeft w:val="0"/>
      <w:marRight w:val="0"/>
      <w:marTop w:val="0"/>
      <w:marBottom w:val="0"/>
      <w:divBdr>
        <w:top w:val="none" w:sz="0" w:space="0" w:color="auto"/>
        <w:left w:val="none" w:sz="0" w:space="0" w:color="auto"/>
        <w:bottom w:val="none" w:sz="0" w:space="0" w:color="auto"/>
        <w:right w:val="none" w:sz="0" w:space="0" w:color="auto"/>
      </w:divBdr>
    </w:div>
    <w:div w:id="214580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a0da6bc8eb74c8bb8ac59d03d172434" PartId="2cab6797751a433b8a11141d8447715b">
    <Part Type="preambule" DocPartId="2d151bb2dfeb47249e9324c804d50a59" PartId="7771e921dbe74200b35ffd45d828fb8c"/>
    <Part Type="punktas" Nr="1" Abbr="1 p." DocPartId="1c8fe96d4d4741c88d8c519563e7e268" PartId="f40aff2686fd4ade8da68d31416c7fd7">
      <Part Type="papunktis" Nr="1.1" Abbr="1.1 pp." DocPartId="0fc37c3c22ae4b48ad6eb047171ca4e7" PartId="837c80ecfeb44e55a8f985068f35432f">
        <Part Type="citata" DocPartId="5681f4f457944706a4f72e55520ed9eb" PartId="3e0866a9f667443c9483f7ef50a4de33">
          <Part Type="papunktis" Nr="2.1.1" Abbr="2.1.1 pp." DocPartId="4f9bacb857644a7f973bcf0d5fdd9bd8" PartId="6b8ffdb30fab4ad1a8d9021653a9ec70"/>
        </Part>
      </Part>
      <Part Type="papunktis" Nr="1.2" Abbr="1.2 pp." DocPartId="9bd6a6b6f30b499e8114e26ebdf72abf" PartId="76d5e69f30024c82a8a308f6a360efb7">
        <Part Type="citata" DocPartId="f8c1ba04f11b472298de138634affe08" PartId="541dad1ce0754e818680962e80feb8e3">
          <Part Type="papunktis" Nr="3.3" Abbr="3.3 pp." DocPartId="554edaa3459c48a0850b8a5f6b5a7986" PartId="c02a7ff5fb94496b83bb775e02900e35"/>
        </Part>
      </Part>
      <Part Type="papunktis" Nr="1.3" Abbr="1.3 pp." DocPartId="56fcb5a2506242289c0f1a07072db3ca" PartId="607ed731ad9446cfbb045304118c00a5">
        <Part Type="citata" DocPartId="473eada07e0b40ed87a38c39a1567a0a" PartId="468b0a15efdc46b3a2ca6be9369c4f4e">
          <Part Type="punktas" Nr="5" Abbr="5 p." DocPartId="945cd173c778416bb9e3260f7806c586" PartId="a631e5f5e38645a4be14b8ee8f20d584"/>
        </Part>
      </Part>
      <Part Type="papunktis" Nr="1.4" Abbr="1.4 pp." DocPartId="f80118de58214278b4a1b91001a9d518" PartId="f6018b69c9ca44d0b95d7a54ee1f27cf">
        <Part Type="citata" DocPartId="e53625220685456fa89a7e12f58f2c3a" PartId="e9d068bba9984482bd869ca55e86a43b">
          <Part Type="punktas" Nr="6" Abbr="6 p." DocPartId="5cd8006962ee4155a5c001e37a8087e6" PartId="b423785b4e5b404aa53b8e1584ba21aa"/>
        </Part>
      </Part>
    </Part>
    <Part Type="punktas" Nr="2" Abbr="2 p." DocPartId="87e977099e8049d795cf4e451ae7e4fe" PartId="d804a7a1145c4302af12397b0d9f3ac7">
      <Part Type="papunktis" Nr="2.1" Abbr="2.1 pp." DocPartId="676c27848fba4db99393fff44686fed2" PartId="0ff905301bd743a4bebd036669ff54d5">
        <Part Type="citata" DocPartId="3b866f2326bb48b9a1e614a5a3ae5c1c" PartId="2e72d054e3c543fd89c71557ef3c66ef">
          <Part Type="punktas" Nr="4" Abbr="4 p." DocPartId="4cc2e979f33d47b196e1fc46b5900491" PartId="7a88850bc76846889c6eb2b165db5f19"/>
        </Part>
      </Part>
      <Part Type="papunktis" Nr="2.2" Abbr="2.2 pp." DocPartId="95d1360edb364dd8968b929357d2114d" PartId="6740bb32760645988bd8233cb707a6e4">
        <Part Type="citata" DocPartId="04f40ff7171f4d4cab2d56bd98ecc6ac" PartId="4395628a0a4c4660b714cc9a4fb4eb96">
          <Part Type="punktas" Nr="6" Abbr="6 p." DocPartId="16fb4b0733414eb3a6e8be3666a7b483" PartId="ace85d0c4e1745e2ae9c8c31c03298db"/>
        </Part>
      </Part>
      <Part Type="papunktis" Nr="2.3" Abbr="2.3 pp." DocPartId="7515efa3c111495087184cb0c7f094e9" PartId="6f1f3d515e5e41d9954459d16f75b7a2">
        <Part Type="citata" DocPartId="b6472cb44de7468eb236274ed6bd215c" PartId="922e6d1402fe4899b8fd543074aa0443">
          <Part Type="punktas" Nr="10" Abbr="10 p." DocPartId="1b4b41ea81e641f7a482987c0e839a69" PartId="56c310579dbb4776ad1efb0e67b2f3f9"/>
        </Part>
      </Part>
      <Part Type="papunktis" Nr="2.4" Abbr="2.4 pp." DocPartId="1b80ad92e8d8494194236ccfd6db0b2e" PartId="a20c74d5297b4eb4bbd1c532b75335dd">
        <Part Type="citata" DocPartId="04d50148ef384fa9873277ca8e88ec19" PartId="bfc01d4598a0414597f0c41edaf6c77c">
          <Part Type="punktas" Nr="13" Abbr="13 p." DocPartId="8a25b50508fd4caca4a47316070c9604" PartId="ae835535553b4f61af8d6ee6a0cd3d30"/>
        </Part>
      </Part>
      <Part Type="papunktis" Nr="2.5" Abbr="2.5 pp." DocPartId="1569aec7ab224eddb5e022048604531e" PartId="af36398aa4a141c6856da5bccc0b0476">
        <Part Type="citata" DocPartId="8fcec476f9764bfe97fab41dfb8a12ad" PartId="24bfb9dfc5ff4e16aadd4595e4c9ecb0">
          <Part Type="punktas" Nr="17" Abbr="17 p." DocPartId="8f70edc7e20e4544ae12b8a127ce9900" PartId="65f84aefde774a5e8e89486f81e13ce3"/>
        </Part>
      </Part>
    </Part>
    <Part Type="signatura" DocPartId="ceb1fcd14977437bbe0d80ba2f5f2bcf" PartId="78c03f85259f4436b1a76809bccca2b8"/>
  </Part>
</Parts>
</file>

<file path=customXml/itemProps1.xml><?xml version="1.0" encoding="utf-8"?>
<ds:datastoreItem xmlns:ds="http://schemas.openxmlformats.org/officeDocument/2006/customXml" ds:itemID="{C95F705B-417C-40C1-A5B7-AD40467F3309}">
  <ds:schemaRefs>
    <ds:schemaRef ds:uri="http://schemas.openxmlformats.org/officeDocument/2006/bibliography"/>
  </ds:schemaRefs>
</ds:datastoreItem>
</file>

<file path=customXml/itemProps2.xml><?xml version="1.0" encoding="utf-8"?>
<ds:datastoreItem xmlns:ds="http://schemas.openxmlformats.org/officeDocument/2006/customXml" ds:itemID="{7720C53B-E224-469D-8C19-ACA3A65616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528</Words>
  <Characters>3522</Characters>
  <Application>Microsoft Office Word</Application>
  <DocSecurity>4</DocSecurity>
  <Lines>69</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4019</CharactersWithSpaces>
  <SharedDoc>false</SharedDoc>
  <HyperlinkBase/>
  <HLinks>
    <vt:vector size="6" baseType="variant">
      <vt:variant>
        <vt:i4>1638514</vt:i4>
      </vt:variant>
      <vt:variant>
        <vt:i4>0</vt:i4>
      </vt:variant>
      <vt:variant>
        <vt:i4>0</vt:i4>
      </vt:variant>
      <vt:variant>
        <vt:i4>5</vt:i4>
      </vt:variant>
      <vt:variant>
        <vt:lpwstr>mailto:milda.labasauskaite@krs.lt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2025-02-13T09:12:00Z</dcterms:created>
  <dc:creator>Juozas Varapnickas</dc:creator>
  <lastModifiedBy>adlibuser</lastModifiedBy>
  <lastPrinted>2025-01-28T07:03:00Z</lastPrinted>
  <dcterms:modified xsi:type="dcterms:W3CDTF">2025-02-13T09:12:00Z</dcterms:modified>
  <revision>2</revision>
</coreProperties>
</file>