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379ab9f59b54343bb5d95249a117e6c"/>
        <w:lock w:val="sdtLocked"/>
        <w:richText/>
      </w:sdtPr>
      <w:sdtContent>
        <w:p>
          <w:pPr>
            <w:tabs>
              <w:tab w:val="center" w:pos="4819"/>
              <w:tab w:val="right" w:pos="9638"/>
            </w:tabs>
          </w:pPr>
        </w:p>
        <w:p>
          <w:pPr>
            <w:ind w:left="3888" w:firstLine="1296"/>
            <w:jc w:val="right"/>
            <w:rPr>
              <w:rFonts w:ascii="Calibri" w:hAnsi="Calibri" w:cs="Calibri"/>
              <w:sz w:val="22"/>
              <w:szCs w:val="22"/>
              <w:lang w:val="en-US"/>
            </w:rPr>
          </w:pPr>
          <w:r>
            <w:rPr>
              <w:b/>
              <w:bCs/>
              <w:szCs w:val="24"/>
            </w:rPr>
            <w:t>Projektas Nr. XIIP-4224(2)</w:t>
          </w:r>
        </w:p>
        <w:p>
          <w:pPr>
            <w:ind w:firstLine="6480"/>
            <w:jc w:val="right"/>
            <w:rPr>
              <w:szCs w:val="24"/>
            </w:rPr>
          </w:pPr>
        </w:p>
        <w:p>
          <w:pPr>
            <w:ind w:firstLine="6480"/>
            <w:jc w:val="right"/>
            <w:rPr>
              <w:szCs w:val="24"/>
            </w:rPr>
          </w:pPr>
        </w:p>
        <w:p>
          <w:pPr>
            <w:jc w:val="center"/>
            <w:rPr>
              <w:b/>
              <w:szCs w:val="24"/>
            </w:rPr>
          </w:pPr>
          <w:r>
            <w:rPr>
              <w:b/>
              <w:bCs/>
              <w:szCs w:val="24"/>
            </w:rPr>
            <w:t>LIETUVOS RESPUBLIKOS</w:t>
          </w:r>
        </w:p>
        <w:p>
          <w:pPr>
            <w:jc w:val="center"/>
            <w:rPr>
              <w:b/>
              <w:bCs/>
              <w:szCs w:val="24"/>
            </w:rPr>
          </w:pPr>
          <w:r>
            <w:rPr>
              <w:b/>
              <w:bCs/>
              <w:szCs w:val="24"/>
            </w:rPr>
            <w:t xml:space="preserve">ŽEMĖS GELMIŲ ĮSTATYMO NR. </w:t>
          </w:r>
          <w:r>
            <w:rPr>
              <w:b/>
              <w:color w:val="000000"/>
              <w:szCs w:val="24"/>
              <w:shd w:val="clear" w:color="auto" w:fill="FFFFFF"/>
            </w:rPr>
            <w:t>I-1034</w:t>
          </w:r>
          <w:r>
            <w:rPr>
              <w:b/>
              <w:bCs/>
              <w:szCs w:val="24"/>
            </w:rPr>
            <w:t xml:space="preserve"> 20 STRAIPSNIO PAKEITIMO </w:t>
          </w:r>
        </w:p>
        <w:p>
          <w:pPr>
            <w:jc w:val="center"/>
            <w:rPr>
              <w:b/>
              <w:bCs/>
              <w:szCs w:val="24"/>
            </w:rPr>
          </w:pPr>
          <w:r>
            <w:rPr>
              <w:b/>
              <w:bCs/>
              <w:szCs w:val="24"/>
            </w:rPr>
            <w:t>ĮSTATYMAS</w:t>
          </w:r>
        </w:p>
        <w:p>
          <w:pPr>
            <w:jc w:val="center"/>
            <w:rPr>
              <w:rFonts w:ascii="Calibri" w:hAnsi="Calibri" w:cs="Calibri"/>
              <w:sz w:val="22"/>
              <w:szCs w:val="22"/>
            </w:rPr>
          </w:pPr>
        </w:p>
        <w:p>
          <w:pPr>
            <w:jc w:val="center"/>
            <w:rPr>
              <w:rFonts w:ascii="Calibri" w:hAnsi="Calibri" w:cs="Calibri"/>
              <w:sz w:val="22"/>
              <w:szCs w:val="22"/>
            </w:rPr>
          </w:pPr>
          <w:smartTag w:uri="schemas-tilde-lv/tildestengine" w:element="metric2">
            <w:smartTagPr>
              <w:attr w:name="metric_value" w:val="2016"/>
              <w:attr w:name="metric_text" w:val="m"/>
            </w:smartTagPr>
            <w:r>
              <w:rPr>
                <w:szCs w:val="24"/>
              </w:rPr>
              <w:t>2016 m</w:t>
            </w:r>
          </w:smartTag>
          <w:r>
            <w:rPr>
              <w:szCs w:val="24"/>
            </w:rPr>
            <w:t>.</w:t>
            <w:tab/>
            <w:tab/>
            <w:t>d. Nr.</w:t>
          </w:r>
        </w:p>
        <w:p>
          <w:pPr>
            <w:jc w:val="center"/>
            <w:rPr>
              <w:szCs w:val="24"/>
            </w:rPr>
          </w:pPr>
          <w:r>
            <w:rPr>
              <w:szCs w:val="24"/>
            </w:rPr>
            <w:t>Vilnius</w:t>
          </w:r>
        </w:p>
        <w:p>
          <w:pPr>
            <w:ind w:firstLine="570"/>
            <w:jc w:val="both"/>
            <w:rPr>
              <w:bCs/>
              <w:color w:val="000000"/>
              <w:szCs w:val="24"/>
            </w:rPr>
          </w:pPr>
        </w:p>
        <w:p>
          <w:pPr>
            <w:ind w:firstLine="570"/>
            <w:jc w:val="both"/>
            <w:rPr>
              <w:bCs/>
              <w:color w:val="000000"/>
              <w:szCs w:val="24"/>
            </w:rPr>
          </w:pPr>
        </w:p>
        <w:sdt>
          <w:sdtPr>
            <w:alias w:val="1 str."/>
            <w:tag w:val="part_156e6883bc2441e9a75a310568822d47"/>
            <w:lock w:val="sdtLocked"/>
            <w:richText/>
          </w:sdtPr>
          <w:sdtContent>
            <w:p>
              <w:pPr>
                <w:ind w:firstLine="570"/>
                <w:jc w:val="both"/>
                <w:rPr>
                  <w:bCs/>
                  <w:color w:val="000000"/>
                  <w:szCs w:val="24"/>
                </w:rPr>
              </w:pPr>
              <w:sdt>
                <w:sdtPr>
                  <w:alias w:val="Numeris"/>
                  <w:tag w:val="nr_156e6883bc2441e9a75a310568822d47"/>
                  <w:lock w:val="sdtLocked"/>
                  <w:richText/>
                </w:sdtPr>
                <w:sdtContent>
                  <w:r>
                    <w:rPr>
                      <w:b/>
                      <w:bCs/>
                      <w:color w:val="000000"/>
                      <w:szCs w:val="24"/>
                    </w:rPr>
                    <w:t>1</w:t>
                  </w:r>
                </w:sdtContent>
              </w:sdt>
              <w:r>
                <w:rPr>
                  <w:b/>
                  <w:bCs/>
                  <w:color w:val="000000"/>
                  <w:szCs w:val="24"/>
                </w:rPr>
                <w:t xml:space="preserve"> straipsnis. </w:t>
              </w:r>
              <w:sdt>
                <w:sdtPr>
                  <w:alias w:val="Pavadinimas"/>
                  <w:tag w:val="title_156e6883bc2441e9a75a310568822d47"/>
                  <w:lock w:val="sdtLocked"/>
                  <w:richText/>
                </w:sdtPr>
                <w:sdtContent>
                  <w:r>
                    <w:rPr>
                      <w:b/>
                      <w:bCs/>
                      <w:color w:val="000000"/>
                      <w:szCs w:val="24"/>
                    </w:rPr>
                    <w:t xml:space="preserve">20 </w:t>
                  </w:r>
                  <w:r>
                    <w:rPr>
                      <w:b/>
                      <w:color w:val="000000"/>
                      <w:szCs w:val="24"/>
                      <w:lang w:eastAsia="lt-LT"/>
                    </w:rPr>
                    <w:t>straipsnio pakeitimas</w:t>
                  </w:r>
                </w:sdtContent>
              </w:sdt>
            </w:p>
            <w:sdt>
              <w:sdtPr>
                <w:alias w:val="1 str. 1 d."/>
                <w:tag w:val="part_0c471353a157408eae19f3936659f36e"/>
                <w:lock w:val="sdtLocked"/>
                <w:richText/>
              </w:sdtPr>
              <w:sdtContent>
                <w:p>
                  <w:pPr>
                    <w:ind w:firstLine="570"/>
                    <w:jc w:val="both"/>
                  </w:pPr>
                  <w:sdt>
                    <w:sdtPr>
                      <w:alias w:val="Numeris"/>
                      <w:tag w:val="nr_0c471353a157408eae19f3936659f36e"/>
                      <w:lock w:val="sdtLocked"/>
                      <w:richText/>
                    </w:sdtPr>
                    <w:sdtContent>
                      <w:r>
                        <w:rPr>
                          <w:bCs/>
                          <w:color w:val="000000"/>
                          <w:szCs w:val="24"/>
                        </w:rPr>
                        <w:t>1</w:t>
                      </w:r>
                    </w:sdtContent>
                  </w:sdt>
                  <w:r>
                    <w:rPr>
                      <w:bCs/>
                      <w:color w:val="000000"/>
                      <w:szCs w:val="24"/>
                    </w:rPr>
                    <w:t>. Pak</w:t>
                  </w:r>
                  <w:r>
                    <w:t>eisti 20 straipsnį ir jį išdėstyti taip:</w:t>
                  </w:r>
                </w:p>
                <w:sdt>
                  <w:sdtPr>
                    <w:alias w:val="citata"/>
                    <w:tag w:val="part_3096c3a8f65649e4b2ba97e7150af67a"/>
                    <w:lock w:val="sdtLocked"/>
                    <w:richText/>
                  </w:sdtPr>
                  <w:sdtContent>
                    <w:sdt>
                      <w:sdtPr>
                        <w:alias w:val="20 str."/>
                        <w:tag w:val="part_567256db200a46b39a98e4921258277f"/>
                        <w:lock w:val="sdtLocked"/>
                        <w:richText/>
                      </w:sdtPr>
                      <w:sdtContent>
                        <w:p>
                          <w:pPr>
                            <w:ind w:firstLine="570"/>
                            <w:jc w:val="both"/>
                            <w:rPr>
                              <w:b/>
                              <w:bCs/>
                              <w:color w:val="000000"/>
                              <w:szCs w:val="24"/>
                            </w:rPr>
                          </w:pPr>
                          <w:r>
                            <w:rPr>
                              <w:b/>
                              <w:bCs/>
                              <w:color w:val="000000"/>
                              <w:szCs w:val="24"/>
                            </w:rPr>
                            <w:t>„</w:t>
                          </w:r>
                          <w:sdt>
                            <w:sdtPr>
                              <w:alias w:val="Numeris"/>
                              <w:tag w:val="nr_567256db200a46b39a98e4921258277f"/>
                              <w:lock w:val="sdtLocked"/>
                              <w:richText/>
                            </w:sdtPr>
                            <w:sdtContent>
                              <w:r>
                                <w:rPr>
                                  <w:b/>
                                  <w:bCs/>
                                  <w:color w:val="000000"/>
                                  <w:szCs w:val="24"/>
                                </w:rPr>
                                <w:t>20</w:t>
                              </w:r>
                            </w:sdtContent>
                          </w:sdt>
                          <w:r>
                            <w:rPr>
                              <w:b/>
                              <w:bCs/>
                              <w:color w:val="000000"/>
                              <w:szCs w:val="24"/>
                            </w:rPr>
                            <w:t xml:space="preserve"> straipsnis. </w:t>
                          </w:r>
                          <w:sdt>
                            <w:sdtPr>
                              <w:alias w:val="Pavadinimas"/>
                              <w:tag w:val="title_567256db200a46b39a98e4921258277f"/>
                              <w:lock w:val="sdtLocked"/>
                              <w:richText/>
                            </w:sdtPr>
                            <w:sdtContent>
                              <w:r>
                                <w:rPr>
                                  <w:b/>
                                  <w:bCs/>
                                  <w:color w:val="000000"/>
                                  <w:szCs w:val="24"/>
                                </w:rPr>
                                <w:t>Teritorijų planavimas ir statyba</w:t>
                              </w:r>
                            </w:sdtContent>
                          </w:sdt>
                        </w:p>
                        <w:sdt>
                          <w:sdtPr>
                            <w:alias w:val="20 str. 1 d."/>
                            <w:tag w:val="part_2e69ef17cd594909923661c544a93ed9"/>
                            <w:lock w:val="sdtLocked"/>
                            <w:richText/>
                          </w:sdtPr>
                          <w:sdtContent>
                            <w:p>
                              <w:pPr>
                                <w:ind w:firstLine="570"/>
                                <w:jc w:val="both"/>
                                <w:rPr>
                                  <w:bCs/>
                                  <w:color w:val="000000"/>
                                  <w:szCs w:val="24"/>
                                </w:rPr>
                              </w:pPr>
                              <w:sdt>
                                <w:sdtPr>
                                  <w:alias w:val="Numeris"/>
                                  <w:tag w:val="nr_2e69ef17cd594909923661c544a93ed9"/>
                                  <w:lock w:val="sdtLocked"/>
                                  <w:richText/>
                                </w:sdtPr>
                                <w:sdtContent>
                                  <w:r>
                                    <w:rPr>
                                      <w:bCs/>
                                      <w:color w:val="000000"/>
                                      <w:szCs w:val="24"/>
                                    </w:rPr>
                                    <w:t>1</w:t>
                                  </w:r>
                                </w:sdtContent>
                              </w:sdt>
                              <w:r>
                                <w:rPr>
                                  <w:bCs/>
                                  <w:color w:val="000000"/>
                                  <w:szCs w:val="24"/>
                                </w:rPr>
                                <w:t>. Teritorijos turi būti planuojamos įvertinus teritorijų žemės gelmių sandarą ir jų išteklius, numatant ūkinės veiklos poveikį žemės gelmių būklei, jų ištekliams ir vertingosioms savybėms.</w:t>
                              </w:r>
                            </w:p>
                          </w:sdtContent>
                        </w:sdt>
                        <w:sdt>
                          <w:sdtPr>
                            <w:alias w:val="20 str. 2 d."/>
                            <w:tag w:val="part_ec24d0210a9e493faca93bbf55938deb"/>
                            <w:lock w:val="sdtLocked"/>
                            <w:richText/>
                          </w:sdtPr>
                          <w:sdtContent>
                            <w:p>
                              <w:pPr>
                                <w:ind w:firstLine="570"/>
                                <w:jc w:val="both"/>
                                <w:rPr>
                                  <w:bCs/>
                                  <w:color w:val="000000"/>
                                  <w:szCs w:val="24"/>
                                </w:rPr>
                              </w:pPr>
                              <w:sdt>
                                <w:sdtPr>
                                  <w:alias w:val="Numeris"/>
                                  <w:tag w:val="nr_ec24d0210a9e493faca93bbf55938deb"/>
                                  <w:lock w:val="sdtLocked"/>
                                  <w:richText/>
                                </w:sdtPr>
                                <w:sdtContent>
                                  <w:r>
                                    <w:rPr>
                                      <w:bCs/>
                                      <w:color w:val="000000"/>
                                      <w:szCs w:val="24"/>
                                    </w:rPr>
                                    <w:t>2</w:t>
                                  </w:r>
                                </w:sdtContent>
                              </w:sdt>
                              <w:r>
                                <w:rPr>
                                  <w:bCs/>
                                  <w:color w:val="000000"/>
                                  <w:szCs w:val="24"/>
                                </w:rPr>
                                <w:t xml:space="preserve">. Visų lygių ir rūšių teritorijų planavimo dokumentų sprendiniai ir planuojamos ūkinės veiklos poveikio aplinkai pasekmės, susijusios su žemės gelmių ir jų išteklių naudojimu bei apsauga, rengiami, vertinami ir vykdomi Teritorijų planavimo, </w:t>
                              </w:r>
                              <w:r>
                                <w:rPr>
                                  <w:bCs/>
                                  <w:iCs/>
                                  <w:color w:val="000000"/>
                                  <w:szCs w:val="24"/>
                                </w:rPr>
                                <w:t>Planuojamos ūkinės veiklos poveikio aplinkai vertinimo įstatymų</w:t>
                              </w:r>
                              <w:r>
                                <w:rPr>
                                  <w:bCs/>
                                  <w:color w:val="000000"/>
                                  <w:szCs w:val="24"/>
                                </w:rPr>
                                <w:t xml:space="preserve"> ir kitų teisės aktų nustatyta tvarka.</w:t>
                              </w:r>
                            </w:p>
                          </w:sdtContent>
                        </w:sdt>
                        <w:sdt>
                          <w:sdtPr>
                            <w:alias w:val="20 str. 3 d."/>
                            <w:tag w:val="part_57a6c3f5e7a7468d9b5b14316e897601"/>
                            <w:lock w:val="sdtLocked"/>
                            <w:richText/>
                          </w:sdtPr>
                          <w:sdtContent>
                            <w:p>
                              <w:pPr>
                                <w:tabs>
                                  <w:tab w:val="left" w:pos="567"/>
                                </w:tabs>
                                <w:ind w:firstLine="570"/>
                                <w:jc w:val="both"/>
                                <w:rPr>
                                  <w:szCs w:val="24"/>
                                  <w:lang w:eastAsia="lt-LT"/>
                                </w:rPr>
                              </w:pPr>
                              <w:sdt>
                                <w:sdtPr>
                                  <w:alias w:val="Numeris"/>
                                  <w:tag w:val="nr_57a6c3f5e7a7468d9b5b14316e897601"/>
                                  <w:lock w:val="sdtLocked"/>
                                  <w:richText/>
                                </w:sdtPr>
                                <w:sdtContent>
                                  <w:r>
                                    <w:rPr>
                                      <w:color w:val="000000"/>
                                      <w:szCs w:val="24"/>
                                      <w:lang w:eastAsia="lt-LT"/>
                                    </w:rPr>
                                    <w:t>3</w:t>
                                  </w:r>
                                </w:sdtContent>
                              </w:sdt>
                              <w:r>
                                <w:rPr>
                                  <w:color w:val="000000"/>
                                  <w:szCs w:val="24"/>
                                  <w:lang w:eastAsia="lt-LT"/>
                                </w:rPr>
                                <w:t>. Nenaudojami žemės gelmių ištekliai turi būti apsaugoti nuo bet kokio neigiamo poveikio, bloginančio jų kokybę ir (arba) gavybos sąlygas.“</w:t>
                              </w:r>
                            </w:p>
                          </w:sdtContent>
                        </w:sdt>
                      </w:sdtContent>
                    </w:sdt>
                  </w:sdtContent>
                </w:sdt>
              </w:sdtContent>
            </w:sdt>
            <w:sdt>
              <w:sdtPr>
                <w:alias w:val="1 str. 4 d."/>
                <w:tag w:val="part_18df0fc62acc4692926740354ed951a0"/>
                <w:lock w:val="sdtLocked"/>
                <w:richText/>
              </w:sdtPr>
              <w:sdtContent>
                <w:p>
                  <w:pPr>
                    <w:tabs>
                      <w:tab w:val="left" w:pos="567"/>
                    </w:tabs>
                    <w:ind w:firstLine="570"/>
                    <w:jc w:val="both"/>
                    <w:rPr>
                      <w:bCs/>
                      <w:szCs w:val="24"/>
                      <w:lang w:eastAsia="lt-LT"/>
                    </w:rPr>
                  </w:pPr>
                  <w:sdt>
                    <w:sdtPr>
                      <w:alias w:val="Numeris"/>
                      <w:tag w:val="nr_18df0fc62acc4692926740354ed951a0"/>
                      <w:lock w:val="sdtLocked"/>
                      <w:richText/>
                    </w:sdtPr>
                    <w:sdtContent>
                      <w:r>
                        <w:rPr>
                          <w:bCs/>
                          <w:szCs w:val="24"/>
                          <w:lang w:eastAsia="lt-LT"/>
                        </w:rPr>
                        <w:t>4</w:t>
                      </w:r>
                    </w:sdtContent>
                  </w:sdt>
                  <w:r>
                    <w:rPr>
                      <w:bCs/>
                      <w:szCs w:val="24"/>
                      <w:lang w:eastAsia="lt-LT"/>
                    </w:rPr>
                    <w:t>. Naudingųjų iškasenų telkiniuose leidžiama statyti nesudėtingus statinius, išskyrus gyvenamuosius pastatus ir sodo namus, taip pat leidžiama statyti kitos (šiltnamių) paskirties pastatus.</w:t>
                  </w:r>
                </w:p>
              </w:sdtContent>
            </w:sdt>
            <w:sdt>
              <w:sdtPr>
                <w:alias w:val="1 str. 5 d."/>
                <w:tag w:val="part_10bf16f341bc4a439fdc81b4b4502419"/>
                <w:lock w:val="sdtLocked"/>
                <w:richText/>
              </w:sdtPr>
              <w:sdtContent>
                <w:p>
                  <w:pPr>
                    <w:tabs>
                      <w:tab w:val="left" w:pos="567"/>
                    </w:tabs>
                    <w:ind w:firstLine="570"/>
                    <w:jc w:val="both"/>
                    <w:rPr>
                      <w:bCs/>
                      <w:szCs w:val="24"/>
                      <w:lang w:eastAsia="lt-LT"/>
                    </w:rPr>
                  </w:pPr>
                  <w:sdt>
                    <w:sdtPr>
                      <w:alias w:val="Numeris"/>
                      <w:tag w:val="nr_10bf16f341bc4a439fdc81b4b4502419"/>
                      <w:lock w:val="sdtLocked"/>
                      <w:richText/>
                    </w:sdtPr>
                    <w:sdtContent>
                      <w:r>
                        <w:rPr>
                          <w:bCs/>
                          <w:szCs w:val="24"/>
                          <w:lang w:eastAsia="lt-LT"/>
                        </w:rPr>
                        <w:t>5</w:t>
                      </w:r>
                    </w:sdtContent>
                  </w:sdt>
                  <w:r>
                    <w:rPr>
                      <w:bCs/>
                      <w:szCs w:val="24"/>
                      <w:lang w:eastAsia="lt-LT"/>
                    </w:rPr>
                    <w:t>. Statyba gali būti pradėta po sutarties tarp statytojo (užsakovo) ir Vyriausybės įgaliotos institucijos įsigaliojimo ir banko garantijos pateikimo. Banko garantijos dydis nustatomas sutartimi, tačiau negali būti mažesnis negu visos statinio nugriovimo sąnaudos. Statytojas (užsakovas) ne vėliau kaip prieš vieną mėnesį iki banko garantijos termino pabaigos privalo pateikti naują banko garantiją. Šio straipsnio 4 dalyje nurodyti statiniai turi būti nugriauti statytojo (užsakovo) lėšomis per vienus kalendorinius metus nuo tada, kai Vyriausybės įgaliota institucija informavo statytoją (užsakovą) ar žemės savininką apie planuojamą naudingųjų išteklių gavybą. Sutarties tarp statytojo (užsakovo) ir Vyriausybės įgaliotos institucijos sąlygas ir pavyzdinę formą tvirtina Vyriausybė ar jos įgaliota institucija. Statyba vykdoma Lietuvos Respublikos statybos įstatymo nustatyta tvarka.“</w:t>
                  </w:r>
                </w:p>
              </w:sdtContent>
            </w:sdt>
            <w:sdt>
              <w:sdtPr>
                <w:alias w:val="1 str. 6 d."/>
                <w:tag w:val="part_6859a10327eb4421819542293729d76b"/>
                <w:lock w:val="sdtLocked"/>
                <w:richText/>
              </w:sdtPr>
              <w:sdtContent>
                <w:p>
                  <w:pPr>
                    <w:tabs>
                      <w:tab w:val="left" w:pos="567"/>
                    </w:tabs>
                    <w:ind w:firstLine="570"/>
                    <w:jc w:val="both"/>
                    <w:rPr>
                      <w:szCs w:val="24"/>
                      <w:lang w:eastAsia="lt-LT"/>
                    </w:rPr>
                  </w:pPr>
                  <w:sdt>
                    <w:sdtPr>
                      <w:alias w:val="Numeris"/>
                      <w:tag w:val="nr_6859a10327eb4421819542293729d76b"/>
                      <w:lock w:val="sdtLocked"/>
                      <w:richText/>
                    </w:sdtPr>
                    <w:sdtContent>
                      <w:r>
                        <w:rPr>
                          <w:szCs w:val="24"/>
                          <w:lang w:eastAsia="lt-LT"/>
                        </w:rPr>
                        <w:t>6</w:t>
                      </w:r>
                    </w:sdtContent>
                  </w:sdt>
                  <w:r>
                    <w:rPr>
                      <w:szCs w:val="24"/>
                      <w:lang w:eastAsia="lt-LT"/>
                    </w:rPr>
                    <w:t>. Šio straipsnio 4 dalyje nurodyti statiniai, pastatyti ar statomi nepateikus banko garantijos, ir (arba) nesudarius šio straipsnio 5 dalyje nurodytos sutarties, ir (arba) pažeidžiant šio straipsnio 5 dalyje nurodytos sutarties sąlygas, ir (arba) nevykdant įstatymo nustatytų reikalavimų, ir (arba) statiniai, nenugriauti per nustatytą terminą, laikomi pastatytais savavališkai. Šie statiniai nugriaunami panaudojant banko garantijos lėšas.“</w:t>
                  </w:r>
                </w:p>
                <w:p>
                  <w:pPr>
                    <w:tabs>
                      <w:tab w:val="left" w:pos="567"/>
                    </w:tabs>
                    <w:ind w:firstLine="570"/>
                    <w:jc w:val="both"/>
                    <w:rPr>
                      <w:szCs w:val="24"/>
                      <w:lang w:eastAsia="lt-LT"/>
                    </w:rPr>
                  </w:pPr>
                </w:p>
              </w:sdtContent>
            </w:sdt>
          </w:sdtContent>
        </w:sdt>
        <w:sdt>
          <w:sdtPr>
            <w:alias w:val="2 str."/>
            <w:tag w:val="part_ec32604da617416e9807b0ff4bab004a"/>
            <w:lock w:val="sdtLocked"/>
            <w:richText/>
          </w:sdtPr>
          <w:sdtContent>
            <w:p>
              <w:pPr>
                <w:tabs>
                  <w:tab w:val="left" w:pos="567"/>
                </w:tabs>
                <w:ind w:firstLine="570"/>
                <w:jc w:val="both"/>
                <w:rPr>
                  <w:b/>
                  <w:bCs/>
                  <w:szCs w:val="24"/>
                  <w:shd w:val="clear" w:color="auto" w:fill="FFFFFF"/>
                </w:rPr>
              </w:pPr>
              <w:sdt>
                <w:sdtPr>
                  <w:alias w:val="Numeris"/>
                  <w:tag w:val="nr_ec32604da617416e9807b0ff4bab004a"/>
                  <w:lock w:val="sdtLocked"/>
                  <w:richText/>
                </w:sdtPr>
                <w:sdtContent>
                  <w:r>
                    <w:rPr>
                      <w:b/>
                      <w:bCs/>
                      <w:szCs w:val="24"/>
                      <w:shd w:val="clear" w:color="auto" w:fill="FFFFFF"/>
                    </w:rPr>
                    <w:t>2</w:t>
                  </w:r>
                </w:sdtContent>
              </w:sdt>
              <w:r>
                <w:rPr>
                  <w:b/>
                  <w:bCs/>
                  <w:szCs w:val="24"/>
                  <w:shd w:val="clear" w:color="auto" w:fill="FFFFFF"/>
                </w:rPr>
                <w:t xml:space="preserve"> straipsnis. </w:t>
              </w:r>
              <w:sdt>
                <w:sdtPr>
                  <w:alias w:val="Pavadinimas"/>
                  <w:tag w:val="title_ec32604da617416e9807b0ff4bab004a"/>
                  <w:lock w:val="sdtLocked"/>
                  <w:richText/>
                </w:sdtPr>
                <w:sdtContent>
                  <w:r>
                    <w:rPr>
                      <w:b/>
                      <w:bCs/>
                      <w:szCs w:val="24"/>
                      <w:shd w:val="clear" w:color="auto" w:fill="FFFFFF"/>
                    </w:rPr>
                    <w:t>Įstatymo įsigaliojimas ir įgyvendinimas</w:t>
                  </w:r>
                </w:sdtContent>
              </w:sdt>
            </w:p>
            <w:sdt>
              <w:sdtPr>
                <w:alias w:val="2 str. 1 d."/>
                <w:tag w:val="part_e80951d4711c44628175ad7236bb7146"/>
                <w:lock w:val="sdtLocked"/>
                <w:richText/>
              </w:sdtPr>
              <w:sdtContent>
                <w:p>
                  <w:pPr>
                    <w:tabs>
                      <w:tab w:val="left" w:pos="567"/>
                    </w:tabs>
                    <w:ind w:firstLine="570"/>
                    <w:jc w:val="both"/>
                    <w:rPr>
                      <w:bCs/>
                      <w:szCs w:val="24"/>
                      <w:shd w:val="clear" w:color="auto" w:fill="FFFFFF"/>
                    </w:rPr>
                  </w:pPr>
                  <w:sdt>
                    <w:sdtPr>
                      <w:alias w:val="Numeris"/>
                      <w:tag w:val="nr_e80951d4711c44628175ad7236bb7146"/>
                      <w:lock w:val="sdtLocked"/>
                      <w:richText/>
                    </w:sdtPr>
                    <w:sdtContent>
                      <w:r>
                        <w:rPr>
                          <w:bCs/>
                          <w:szCs w:val="24"/>
                          <w:shd w:val="clear" w:color="auto" w:fill="FFFFFF"/>
                        </w:rPr>
                        <w:t>1</w:t>
                      </w:r>
                    </w:sdtContent>
                  </w:sdt>
                  <w:r>
                    <w:rPr>
                      <w:bCs/>
                      <w:szCs w:val="24"/>
                      <w:shd w:val="clear" w:color="auto" w:fill="FFFFFF"/>
                    </w:rPr>
                    <w:t>. Šis įstatymas įsigalioja 2016 m. spalio 1 d.</w:t>
                  </w:r>
                </w:p>
              </w:sdtContent>
            </w:sdt>
            <w:sdt>
              <w:sdtPr>
                <w:alias w:val="2 str. 2 d."/>
                <w:tag w:val="part_55ce075082694e85861c0d5b4515184f"/>
                <w:lock w:val="sdtLocked"/>
                <w:richText/>
              </w:sdtPr>
              <w:sdtContent>
                <w:p>
                  <w:pPr>
                    <w:tabs>
                      <w:tab w:val="left" w:pos="567"/>
                    </w:tabs>
                    <w:ind w:firstLine="570"/>
                    <w:jc w:val="both"/>
                    <w:rPr>
                      <w:szCs w:val="24"/>
                      <w:shd w:val="clear" w:color="auto" w:fill="FFFFFF"/>
                    </w:rPr>
                  </w:pPr>
                  <w:sdt>
                    <w:sdtPr>
                      <w:alias w:val="Numeris"/>
                      <w:tag w:val="nr_55ce075082694e85861c0d5b4515184f"/>
                      <w:lock w:val="sdtLocked"/>
                      <w:richText/>
                    </w:sdtPr>
                    <w:sdtContent>
                      <w:r>
                        <w:rPr>
                          <w:szCs w:val="24"/>
                          <w:shd w:val="clear" w:color="auto" w:fill="FFFFFF"/>
                        </w:rPr>
                        <w:t>2</w:t>
                      </w:r>
                    </w:sdtContent>
                  </w:sdt>
                  <w:r>
                    <w:rPr>
                      <w:szCs w:val="24"/>
                      <w:shd w:val="clear" w:color="auto" w:fill="FFFFFF"/>
                    </w:rPr>
                    <w:t>. Lietuvos Respublikos Vyriausybė iki 2016 m. rugsėjo 30 d. priima šio įstatymo įgyvendinamuosius teisės aktus.</w:t>
                  </w:r>
                </w:p>
                <w:p>
                  <w:pPr>
                    <w:tabs>
                      <w:tab w:val="left" w:pos="567"/>
                    </w:tabs>
                    <w:jc w:val="both"/>
                    <w:rPr>
                      <w:color w:val="000000"/>
                      <w:szCs w:val="24"/>
                      <w:lang w:eastAsia="lt-LT"/>
                    </w:rPr>
                  </w:pPr>
                </w:p>
              </w:sdtContent>
            </w:sdt>
          </w:sdtContent>
        </w:sdt>
        <w:sdt>
          <w:sdtPr>
            <w:alias w:val="signatura"/>
            <w:tag w:val="part_6105f74f7e9a48499f24d45cd5c81a9a"/>
            <w:lock w:val="sdtLocked"/>
            <w:richText/>
          </w:sdtPr>
          <w:sdtContent>
            <w:p>
              <w:pPr>
                <w:shd w:val="clear" w:color="auto" w:fill="FFFFFF"/>
                <w:ind w:right="230" w:firstLine="570"/>
                <w:rPr>
                  <w:i/>
                  <w:iCs/>
                  <w:color w:val="000000"/>
                  <w:szCs w:val="24"/>
                  <w:lang w:eastAsia="lt-LT"/>
                </w:rPr>
              </w:pPr>
              <w:r>
                <w:rPr>
                  <w:i/>
                  <w:iCs/>
                  <w:color w:val="000000"/>
                  <w:szCs w:val="24"/>
                  <w:lang w:eastAsia="lt-LT"/>
                </w:rPr>
                <w:t>Skelbiu šį Lietuvos Respublikos Seimo priimtą įstatymą.</w:t>
              </w:r>
            </w:p>
            <w:p>
              <w:pPr>
                <w:rPr>
                  <w:szCs w:val="24"/>
                </w:rPr>
              </w:pPr>
            </w:p>
            <w:p>
              <w:pPr>
                <w:jc w:val="both"/>
                <w:rPr>
                  <w:color w:val="000000"/>
                  <w:szCs w:val="24"/>
                  <w:lang w:eastAsia="lt-LT"/>
                </w:rPr>
              </w:pPr>
              <w:r>
                <w:rPr>
                  <w:color w:val="000000"/>
                  <w:szCs w:val="24"/>
                  <w:lang w:eastAsia="lt-LT"/>
                </w:rPr>
                <w:t>Respublikos Prezidentas</w:t>
              </w:r>
            </w:p>
            <w:p>
              <w:pPr>
                <w:jc w:val="both"/>
                <w:rPr>
                  <w:color w:val="000000"/>
                  <w:szCs w:val="24"/>
                  <w:lang w:eastAsia="lt-LT"/>
                </w:rPr>
              </w:pPr>
            </w:p>
            <w:p>
              <w:pPr>
                <w:jc w:val="both"/>
                <w:rPr>
                  <w:color w:val="000000"/>
                  <w:szCs w:val="24"/>
                  <w:lang w:eastAsia="lt-LT"/>
                </w:rPr>
              </w:pPr>
            </w:p>
            <w:p>
              <w:pPr>
                <w:jc w:val="both"/>
                <w:rPr>
                  <w:color w:val="000000"/>
                  <w:szCs w:val="24"/>
                  <w:lang w:eastAsia="lt-LT"/>
                </w:rPr>
              </w:pPr>
              <w:r>
                <w:rPr>
                  <w:color w:val="000000"/>
                  <w:szCs w:val="24"/>
                  <w:lang w:eastAsia="lt-LT"/>
                </w:rPr>
                <w:t>Teikia:</w:t>
              </w:r>
            </w:p>
            <w:p>
              <w:pPr>
                <w:jc w:val="both"/>
                <w:rPr>
                  <w:color w:val="000000"/>
                  <w:szCs w:val="24"/>
                  <w:lang w:eastAsia="lt-LT"/>
                </w:rPr>
              </w:pPr>
              <w:r>
                <w:rPr>
                  <w:color w:val="000000"/>
                  <w:szCs w:val="24"/>
                  <w:lang w:eastAsia="lt-LT"/>
                </w:rPr>
                <w:t>Aplinkos apsaugos komiteto pirmininkas</w:t>
                <w:tab/>
                <w:tab/>
                <w:t>Algimantas Salamakinas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E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99b05a1ca2e417a8212fd176e9b6b84" PartId="a379ab9f59b54343bb5d95249a117e6c">
    <Part Type="straipsnis" Nr="1" Abbr="1 str." Title="20 straipsnio pakeitimas" DocPartId="16e92dd9915444e4bfba82c5cafc86c7" PartId="156e6883bc2441e9a75a310568822d47">
      <Part Type="strDalis" Nr="1" Abbr="1 str. 1 d." DocPartId="62cc058833324f09b3f26d1977337fd7" PartId="0c471353a157408eae19f3936659f36e">
        <Part Type="citata" DocPartId="22db1e2b159840819f4db3516fb3e0c8" PartId="3096c3a8f65649e4b2ba97e7150af67a">
          <Part Type="straipsnis" Nr="20" Abbr="20 str." Title="Teritorijų planavimas ir statyba" DocPartId="88ad4db413584d83a66d188c80c614a2" PartId="567256db200a46b39a98e4921258277f">
            <Part Type="strDalis" Nr="1" Abbr="20 str. 1 d." DocPartId="1439dc4ca8fd429c8f83bc4d41da656b" PartId="2e69ef17cd594909923661c544a93ed9"/>
            <Part Type="strDalis" Nr="2" Abbr="20 str. 2 d." DocPartId="7c828f1ca4c64de099220dafc4d8c3a3" PartId="ec24d0210a9e493faca93bbf55938deb"/>
            <Part Type="strDalis" Nr="3" Abbr="20 str. 3 d." DocPartId="633d97ce1bcd47c58320a66158cd6629" PartId="57a6c3f5e7a7468d9b5b14316e897601"/>
          </Part>
        </Part>
      </Part>
      <Part Type="strDalis" Nr="4" Abbr="1 str. 4 d." Notes="Numeris ne iš eilės. Trūksta dalių? [DocDalys]" DocPartId="e799be072cc0450eaf179727ff0ef514" PartId="18df0fc62acc4692926740354ed951a0"/>
      <Part Type="strDalis" Nr="5" Abbr="1 str. 5 d." DocPartId="51d0a5f219414f09af2a22a7649acedc" PartId="10bf16f341bc4a439fdc81b4b4502419"/>
      <Part Type="strDalis" Nr="6" Abbr="1 str. 6 d." DocPartId="0a48e9d0eaf54ce6b14b05e7f6ddd41c" PartId="6859a10327eb4421819542293729d76b"/>
    </Part>
    <Part Type="straipsnis" Nr="2" Abbr="2 str." Title="Įstatymo įsigaliojimas ir įgyvendinimas" DocPartId="a43f22e4614f444885939fff4d1a5704" PartId="ec32604da617416e9807b0ff4bab004a">
      <Part Type="strDalis" Nr="1" Abbr="2 str. 1 d." DocPartId="13551c5bd903499687689de84acc93db" PartId="e80951d4711c44628175ad7236bb7146"/>
      <Part Type="strDalis" Nr="2" Abbr="2 str. 2 d." DocPartId="21e9e00c5085440ea36adb890639a308" PartId="55ce075082694e85861c0d5b4515184f"/>
    </Part>
    <Part Type="signatura" DocPartId="604065e74df54557941fc62192a7edb2" PartId="6105f74f7e9a48499f24d45cd5c81a9a"/>
  </Part>
</Parts>
</file>

<file path=customXml/itemProps1.xml><?xml version="1.0" encoding="utf-8"?>
<ds:datastoreItem xmlns:ds="http://schemas.openxmlformats.org/officeDocument/2006/customXml" ds:itemID="{8ECD66DE-1845-4510-8781-827C97980F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364</Words>
  <Characters>2483</Characters>
  <Application>Microsoft Office Word</Application>
  <DocSecurity>4</DocSecurity>
  <Lines>52</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Company>
  <LinksUpToDate>false</LinksUpToDate>
  <CharactersWithSpaces>2822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2016-06-30T05:30:00Z</dcterms:created>
  <dc:creator>*</dc:creator>
  <lastModifiedBy>CLUSadmin</lastModifiedBy>
  <lastPrinted>2016-06-29T12:53:00Z</lastPrinted>
  <dcterms:modified xsi:type="dcterms:W3CDTF">2016-06-30T05:30:00Z</dcterms:modified>
  <revision>2</revision>
  <dc:title>Projektas</dc:title>
</coreProperties>
</file>