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8732cf72064490390d09c2088c0f670"/>
        <w:lock w:val="sdtLocked"/>
        <w:richText/>
      </w:sdtPr>
      <w:sdtContent>
        <w:p>
          <w:pPr>
            <w:tabs>
              <w:tab w:val="center" w:pos="4819"/>
              <w:tab w:val="right" w:pos="9638"/>
            </w:tabs>
            <w:jc w:val="center"/>
          </w:pPr>
        </w:p>
        <w:p>
          <w:pPr>
            <w:tabs>
              <w:tab w:val="center" w:pos="4320"/>
              <w:tab w:val="right" w:pos="8640"/>
            </w:tabs>
            <w:suppressAutoHyphens/>
            <w:ind w:firstLine="720"/>
            <w:jc w:val="both"/>
            <w:rPr>
              <w:sz w:val="22"/>
              <w:szCs w:val="24"/>
              <w:lang w:val="en-GB" w:eastAsia="ar-SA"/>
            </w:rPr>
          </w:pPr>
        </w:p>
        <w:p>
          <w:pPr>
            <w:rPr>
              <w:sz w:val="10"/>
              <w:szCs w:val="10"/>
            </w:rPr>
          </w:pPr>
        </w:p>
        <w:p>
          <w:pPr>
            <w:tabs>
              <w:tab w:val="center" w:pos="4320"/>
              <w:tab w:val="right" w:pos="8640"/>
            </w:tabs>
            <w:suppressAutoHyphens/>
            <w:ind w:firstLine="4275"/>
            <w:jc w:val="right"/>
            <w:rPr>
              <w:b/>
              <w:bCs/>
              <w:sz w:val="22"/>
              <w:szCs w:val="24"/>
              <w:lang w:eastAsia="lt-LT"/>
            </w:rPr>
          </w:pPr>
          <w:r>
            <w:rPr>
              <w:b/>
              <w:bCs/>
              <w:sz w:val="22"/>
              <w:szCs w:val="24"/>
              <w:lang w:eastAsia="lt-LT"/>
            </w:rPr>
            <w:t>Projektas</w:t>
          </w:r>
        </w:p>
        <w:p>
          <w:pPr>
            <w:tabs>
              <w:tab w:val="center" w:pos="4320"/>
              <w:tab w:val="right" w:pos="8640"/>
            </w:tabs>
            <w:suppressAutoHyphens/>
            <w:rPr>
              <w:b/>
              <w:bCs/>
              <w:sz w:val="22"/>
              <w:szCs w:val="24"/>
              <w:lang w:eastAsia="lt-LT"/>
            </w:rPr>
          </w:pPr>
        </w:p>
        <w:p>
          <w:pPr>
            <w:tabs>
              <w:tab w:val="center" w:pos="4320"/>
              <w:tab w:val="right" w:pos="8640"/>
            </w:tabs>
            <w:suppressAutoHyphens/>
            <w:jc w:val="center"/>
            <w:rPr>
              <w:b/>
              <w:szCs w:val="24"/>
              <w:lang w:val="fi-FI" w:eastAsia="ar-SA"/>
            </w:rPr>
          </w:pPr>
        </w:p>
        <w:p>
          <w:pPr>
            <w:tabs>
              <w:tab w:val="center" w:pos="4320"/>
              <w:tab w:val="right" w:pos="8640"/>
            </w:tabs>
            <w:suppressAutoHyphens/>
            <w:jc w:val="center"/>
            <w:rPr>
              <w:b/>
              <w:szCs w:val="24"/>
              <w:lang w:val="fi-FI" w:eastAsia="ar-SA"/>
            </w:rPr>
          </w:pPr>
          <w:r>
            <w:rPr>
              <w:b/>
              <w:szCs w:val="24"/>
              <w:lang w:val="fi-FI" w:eastAsia="ar-SA"/>
            </w:rPr>
            <w:t>LIETUVOS RESPUBLIKOS APLINKOS MINISTRAS</w:t>
          </w:r>
        </w:p>
        <w:p>
          <w:pPr>
            <w:tabs>
              <w:tab w:val="center" w:pos="4320"/>
              <w:tab w:val="right" w:pos="8640"/>
            </w:tabs>
            <w:suppressAutoHyphens/>
            <w:jc w:val="center"/>
            <w:rPr>
              <w:b/>
              <w:szCs w:val="24"/>
              <w:lang w:val="fi-FI" w:eastAsia="ar-SA"/>
            </w:rPr>
          </w:pPr>
        </w:p>
        <w:p>
          <w:pPr>
            <w:suppressAutoHyphens/>
            <w:jc w:val="center"/>
            <w:rPr>
              <w:b/>
              <w:szCs w:val="24"/>
              <w:lang w:eastAsia="ar-SA"/>
            </w:rPr>
          </w:pPr>
          <w:r>
            <w:rPr>
              <w:b/>
              <w:szCs w:val="24"/>
              <w:lang w:eastAsia="ar-SA"/>
            </w:rPr>
            <w:t>ĮSAKYMAS</w:t>
          </w:r>
        </w:p>
        <w:p>
          <w:pPr>
            <w:keepLines/>
            <w:widowControl w:val="0"/>
            <w:jc w:val="center"/>
            <w:rPr>
              <w:b/>
              <w:bCs/>
              <w:caps/>
              <w:color w:val="000000"/>
            </w:rPr>
          </w:pPr>
          <w:r>
            <w:rPr>
              <w:b/>
              <w:bCs/>
              <w:caps/>
              <w:szCs w:val="24"/>
            </w:rPr>
            <w:t>DĖL LIETUVOS RESPUBLIKOS APLINKOS MINISTRO 2012 M. LIEPOS 12 D. ĮSAKYMO Nr. D1-589 „</w:t>
          </w:r>
          <w:r>
            <w:rPr>
              <w:b/>
              <w:bCs/>
              <w:caps/>
              <w:color w:val="000000"/>
            </w:rPr>
            <w:t>DĖL GAMINTOJŲ IR IMPORTUOTOJŲ, KURIE LIETUVOS RESPUBLIKOS VIDAUS RINKAI TIEKIA ELEKTROS IR ELEKTRONINĘ ĮRANGĄ, PAKUOTES, padangas, UŽIMAMOS RINKOS DALIES NUSTATYMO TVARKOS APRAŠO PATVIRTINIMO</w:t>
          </w:r>
          <w:r>
            <w:rPr>
              <w:b/>
              <w:bCs/>
              <w:caps/>
              <w:szCs w:val="24"/>
            </w:rPr>
            <w:t>“ PAKEITIMO</w:t>
          </w:r>
        </w:p>
        <w:p>
          <w:pPr>
            <w:suppressAutoHyphens/>
            <w:jc w:val="center"/>
            <w:rPr>
              <w:szCs w:val="24"/>
              <w:lang w:eastAsia="ar-SA"/>
            </w:rPr>
          </w:pPr>
        </w:p>
        <w:p>
          <w:pPr>
            <w:suppressAutoHyphens/>
            <w:jc w:val="center"/>
            <w:rPr>
              <w:szCs w:val="24"/>
              <w:lang w:eastAsia="ar-SA"/>
            </w:rPr>
          </w:pPr>
          <w:r>
            <w:rPr>
              <w:szCs w:val="24"/>
              <w:lang w:eastAsia="ar-SA"/>
            </w:rPr>
            <w:t xml:space="preserve">2024 m.             d. Nr. </w:t>
          </w:r>
        </w:p>
        <w:p>
          <w:pPr>
            <w:suppressAutoHyphens/>
            <w:jc w:val="center"/>
            <w:rPr>
              <w:szCs w:val="24"/>
              <w:lang w:eastAsia="ar-SA"/>
            </w:rPr>
          </w:pPr>
          <w:r>
            <w:rPr>
              <w:szCs w:val="24"/>
              <w:lang w:eastAsia="ar-SA"/>
            </w:rPr>
            <w:t>Vilnius</w:t>
          </w:r>
        </w:p>
        <w:p>
          <w:pPr>
            <w:suppressAutoHyphens/>
            <w:spacing w:line="276" w:lineRule="auto"/>
            <w:ind w:firstLine="709"/>
            <w:jc w:val="center"/>
            <w:textAlignment w:val="center"/>
            <w:rPr>
              <w:szCs w:val="24"/>
            </w:rPr>
          </w:pPr>
        </w:p>
        <w:sdt>
          <w:sdtPr>
            <w:alias w:val="1 p."/>
            <w:tag w:val="part_78835b866a3d411a90014741f4028e51"/>
            <w:lock w:val="sdtLocked"/>
            <w:richText/>
          </w:sdtPr>
          <w:sdtContent>
            <w:p>
              <w:pPr>
                <w:suppressAutoHyphens/>
                <w:spacing w:line="276" w:lineRule="auto"/>
                <w:ind w:firstLine="709"/>
                <w:jc w:val="both"/>
                <w:textAlignment w:val="center"/>
              </w:pPr>
              <w:sdt>
                <w:sdtPr>
                  <w:alias w:val="Numeris"/>
                  <w:tag w:val="nr_78835b866a3d411a90014741f4028e51"/>
                  <w:lock w:val="sdtLocked"/>
                  <w:richText/>
                </w:sdtPr>
                <w:sdtContent>
                  <w:r>
                    <w:t>1</w:t>
                  </w:r>
                </w:sdtContent>
              </w:sdt>
              <w:r>
                <w:t xml:space="preserve">. P a k e i č i u </w:t>
              </w:r>
              <w:r>
                <w:rPr>
                  <w:color w:val="000000"/>
                </w:rPr>
                <w:t xml:space="preserve">Lietuvos Respublikos aplinkos ministro 2012 m. liepos 12 d. įsakymą Nr. D1-589 </w:t>
              </w:r>
              <w:r>
                <w:t>„Dėl Gamintojų ir importuotojų, kurie Lietuvos Respublikos vidaus rinkai tiekia elektros ir elektroninę įrangą, pakuotes, padangas, užimamos rinkos dalies nustatymo tvarkos aprašo patvirtinimo“ ir jį išdėstau nauja redakcija:</w:t>
              </w:r>
            </w:p>
            <w:sdt>
              <w:sdtPr>
                <w:alias w:val="citata"/>
                <w:tag w:val="part_b72ca6fd7f8b43bca70492f58c558d7d"/>
                <w:lock w:val="sdtLocked"/>
                <w:richText/>
              </w:sdtPr>
              <w:sdtContent>
                <w:sdt>
                  <w:sdtPr>
                    <w:alias w:val="pagrindine"/>
                    <w:tag w:val="part_178907592f0542a4881b196bfebd238c"/>
                    <w:lock w:val="sdtLocked"/>
                    <w:richText/>
                  </w:sdtPr>
                  <w:sdtContent>
                    <w:p>
                      <w:pPr>
                        <w:tabs>
                          <w:tab w:val="center" w:pos="4320"/>
                          <w:tab w:val="right" w:pos="8640"/>
                        </w:tabs>
                        <w:suppressAutoHyphens/>
                        <w:jc w:val="center"/>
                        <w:rPr>
                          <w:b/>
                          <w:lang w:eastAsia="ar-SA"/>
                        </w:rPr>
                      </w:pPr>
                      <w:r>
                        <w:t>„</w:t>
                      </w:r>
                      <w:r>
                        <w:rPr>
                          <w:b/>
                          <w:lang w:eastAsia="ar-SA"/>
                        </w:rPr>
                        <w:t>LIETUVOS RESPUBLIKOS APLINKOS MINISTRAS</w:t>
                      </w:r>
                    </w:p>
                    <w:p>
                      <w:pPr>
                        <w:tabs>
                          <w:tab w:val="right" w:pos="8640"/>
                        </w:tabs>
                        <w:suppressAutoHyphens/>
                        <w:jc w:val="center"/>
                        <w:rPr>
                          <w:b/>
                          <w:szCs w:val="24"/>
                          <w:lang w:eastAsia="ar-SA"/>
                        </w:rPr>
                      </w:pPr>
                    </w:p>
                    <w:p>
                      <w:pPr>
                        <w:suppressAutoHyphens/>
                        <w:jc w:val="center"/>
                        <w:rPr>
                          <w:b/>
                          <w:szCs w:val="24"/>
                          <w:lang w:eastAsia="ar-SA"/>
                        </w:rPr>
                      </w:pPr>
                      <w:r>
                        <w:rPr>
                          <w:b/>
                          <w:szCs w:val="24"/>
                          <w:lang w:eastAsia="ar-SA"/>
                        </w:rPr>
                        <w:t>ĮSAKYMAS</w:t>
                      </w:r>
                    </w:p>
                    <w:p>
                      <w:pPr>
                        <w:suppressAutoHyphens/>
                        <w:ind w:firstLine="567"/>
                        <w:jc w:val="center"/>
                        <w:textAlignment w:val="center"/>
                        <w:rPr>
                          <w:b/>
                          <w:bCs/>
                          <w:caps/>
                          <w:color w:val="000000"/>
                        </w:rPr>
                      </w:pPr>
                      <w:r>
                        <w:rPr>
                          <w:b/>
                          <w:caps/>
                        </w:rPr>
                        <w:t xml:space="preserve">DĖL </w:t>
                      </w:r>
                      <w:r>
                        <w:rPr>
                          <w:b/>
                          <w:caps/>
                          <w:color w:val="000000"/>
                        </w:rPr>
                        <w:t>GAMINTOJŲ IR IMPORTUOTOJŲ, KURIE LIETUVOS RESPUBLIKOS VIDAUS RINKAI VERSLO TIKSLAIS TIEKIA ELEKTROS IR ELEKTRONINĘ ĮRANGĄ, TRANSPORTO PRIEMONES IR LIETUVOS RESPUBLIKOS VIDAUS RINKAI TIEKIA PAKUOTES, padangas, UŽIMAMOS RINKOS DALIES NUSTATYMO TVARKOS APRAŠO PATVIRTINIMO</w:t>
                      </w:r>
                    </w:p>
                    <w:p>
                      <w:pPr>
                        <w:suppressAutoHyphens/>
                        <w:spacing w:line="320" w:lineRule="atLeast"/>
                        <w:ind w:firstLine="567"/>
                        <w:jc w:val="both"/>
                        <w:textAlignment w:val="center"/>
                        <w:rPr>
                          <w:b/>
                          <w:bCs/>
                          <w:caps/>
                          <w:color w:val="000000"/>
                        </w:rPr>
                      </w:pPr>
                    </w:p>
                    <w:sdt>
                      <w:sdtPr>
                        <w:alias w:val="preambule"/>
                        <w:tag w:val="part_665008dd099342a3a93c6818bca34270"/>
                        <w:lock w:val="sdtLocked"/>
                        <w:richText/>
                      </w:sdtPr>
                      <w:sdtContent>
                        <w:p>
                          <w:pPr>
                            <w:widowControl w:val="0"/>
                            <w:tabs>
                              <w:tab w:val="right" w:pos="9071"/>
                            </w:tabs>
                            <w:spacing w:line="276" w:lineRule="auto"/>
                            <w:ind w:firstLine="709"/>
                            <w:jc w:val="both"/>
                            <w:rPr>
                              <w:color w:val="000000"/>
                              <w:szCs w:val="24"/>
                            </w:rPr>
                          </w:pPr>
                          <w:r>
                            <w:rPr>
                              <w:color w:val="000000"/>
                              <w:szCs w:val="24"/>
                            </w:rPr>
                            <w:t>Vadovaudamasis Lietuvos Respublikos atliekų tvarkymo įstatymo 34</w:t>
                          </w:r>
                          <w:r>
                            <w:rPr>
                              <w:color w:val="000000"/>
                              <w:szCs w:val="24"/>
                              <w:vertAlign w:val="superscript"/>
                            </w:rPr>
                            <w:t>2</w:t>
                          </w:r>
                          <w:r>
                            <w:rPr>
                              <w:color w:val="000000"/>
                              <w:szCs w:val="24"/>
                            </w:rPr>
                            <w:t xml:space="preserve"> straipsnio 5 dalimi, 34</w:t>
                          </w:r>
                          <w:r>
                            <w:rPr>
                              <w:color w:val="000000"/>
                              <w:szCs w:val="24"/>
                              <w:vertAlign w:val="superscript"/>
                            </w:rPr>
                            <w:t>3</w:t>
                          </w:r>
                          <w:r>
                            <w:rPr>
                              <w:color w:val="000000"/>
                              <w:szCs w:val="24"/>
                            </w:rPr>
                            <w:t> straipsnio 2 dalimi, 34</w:t>
                          </w:r>
                          <w:r>
                            <w:rPr>
                              <w:color w:val="000000"/>
                              <w:szCs w:val="24"/>
                              <w:vertAlign w:val="superscript"/>
                            </w:rPr>
                            <w:t>19</w:t>
                          </w:r>
                          <w:r>
                            <w:rPr>
                              <w:color w:val="000000"/>
                              <w:szCs w:val="24"/>
                            </w:rPr>
                            <w:t xml:space="preserve"> straipsnio 3 dalies 2 punktu, Lietuvos Respublikos pakuočių ir pakuočių atliekų tvarkymo įstatymo 10 straipsnio 5 dalimi, įgyvendindamas Lietuvos Respublikos Vyriausybės 2002 m. spalio 29 d. nutarimo Nr. 1691 „Dėl įgaliojimų suteikimo įgyvendinant Lietuvos Respublikos atliekų tvarkymo įstatymą“ 13 ir 15 punktus, Lietuvos Respublikos Vyriausybės 2001 m. gruodžio 21 d. nutarimo Nr. 1574 „Dėl įgaliojimų suteikimo įgyvendinant Lietuvos Respublikos pakuočių ir pakuočių atliekų tvarkymo įstatymą“ 1.6 papunktį,</w:t>
                          </w:r>
                        </w:p>
                      </w:sdtContent>
                    </w:sdt>
                    <w:sdt>
                      <w:sdtPr>
                        <w:alias w:val="pastraipa"/>
                        <w:tag w:val="part_e9d7172363324d10a6717bdaac3d0248"/>
                        <w:lock w:val="sdtLocked"/>
                        <w:richText/>
                      </w:sdtPr>
                      <w:sdtContent>
                        <w:p>
                          <w:pPr>
                            <w:spacing w:line="276" w:lineRule="auto"/>
                            <w:ind w:firstLine="709"/>
                            <w:jc w:val="both"/>
                            <w:rPr>
                              <w:color w:val="000000"/>
                              <w:lang w:eastAsia="en-GB"/>
                            </w:rPr>
                          </w:pPr>
                          <w:r>
                            <w:rPr>
                              <w:color w:val="000000"/>
                              <w:lang w:eastAsia="en-GB"/>
                            </w:rPr>
                            <w:t>t v i r t i n u Gamintojų ir importuotojų, kurie Lietuvos Respublikos vidaus rinkai verslo tikslais tiekia elektros ir elektroninę įrangą, transporto priemones ir Lietuvos Respublikos vidaus rinkai tiekia pakuotes, padangas, užimamos rinkos dalies nustatymo tvarkos aprašą (pridedama).“</w:t>
                          </w:r>
                        </w:p>
                      </w:sdtContent>
                    </w:sdt>
                  </w:sdtContent>
                </w:sdt>
              </w:sdtContent>
            </w:sdt>
          </w:sdtContent>
        </w:sdt>
        <w:sdt>
          <w:sdtPr>
            <w:alias w:val="2 p."/>
            <w:tag w:val="part_2e3617768ec845d783e75bb21c2d04ee"/>
            <w:lock w:val="sdtLocked"/>
            <w:richText/>
          </w:sdtPr>
          <w:sdtContent>
            <w:p>
              <w:pPr>
                <w:spacing w:line="276" w:lineRule="auto"/>
                <w:ind w:firstLine="709"/>
                <w:jc w:val="both"/>
                <w:rPr>
                  <w:color w:val="000000"/>
                  <w:szCs w:val="24"/>
                  <w:lang w:val="en-GB" w:eastAsia="en-GB"/>
                </w:rPr>
              </w:pPr>
              <w:sdt>
                <w:sdtPr>
                  <w:alias w:val="Numeris"/>
                  <w:tag w:val="nr_2e3617768ec845d783e75bb21c2d04ee"/>
                  <w:lock w:val="sdtLocked"/>
                  <w:richText/>
                </w:sdtPr>
                <w:sdtContent>
                  <w:r>
                    <w:t>2</w:t>
                  </w:r>
                </w:sdtContent>
              </w:sdt>
              <w:r>
                <w:t>. N u s t a t a u, kad šis įsakymas įsigalioja 2025 m. sausio 1 d.</w:t>
              </w:r>
            </w:p>
            <w:p>
              <w:pPr>
                <w:suppressAutoHyphens/>
                <w:spacing w:line="320" w:lineRule="atLeast"/>
                <w:ind w:firstLine="567"/>
                <w:jc w:val="both"/>
                <w:textAlignment w:val="center"/>
              </w:pPr>
            </w:p>
            <w:p>
              <w:pPr>
                <w:suppressAutoHyphens/>
                <w:spacing w:line="320" w:lineRule="atLeast"/>
                <w:ind w:firstLine="567"/>
                <w:jc w:val="both"/>
                <w:textAlignment w:val="center"/>
              </w:pPr>
            </w:p>
          </w:sdtContent>
        </w:sdt>
        <w:sdt>
          <w:sdtPr>
            <w:alias w:val="signatura"/>
            <w:tag w:val="part_f44d8da8a2d549d2ba96a4a069024a2d"/>
            <w:lock w:val="sdtLocked"/>
            <w:richText/>
          </w:sdtPr>
          <w:sdtContent>
            <w:p>
              <w:pPr>
                <w:suppressAutoHyphens/>
                <w:spacing w:line="320" w:lineRule="atLeast"/>
                <w:jc w:val="both"/>
                <w:textAlignment w:val="center"/>
              </w:pPr>
              <w:r>
                <w:t xml:space="preserve">Aplinkos ministras          </w:t>
              </w:r>
            </w:p>
            <w:p>
              <w:pPr>
                <w:suppressAutoHyphens/>
                <w:spacing w:line="320" w:lineRule="atLeast"/>
                <w:ind w:firstLine="567"/>
                <w:jc w:val="both"/>
                <w:rPr>
                  <w:lang w:eastAsia="ar-SA"/>
                </w:rPr>
                <w:sectPr>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pgMar w:top="1134" w:right="567" w:bottom="1134" w:left="1701" w:header="567" w:footer="567" w:gutter="0"/>
                  <w:cols w:space="1296"/>
                  <w:titlePg/>
                  <w:docGrid w:linePitch="360"/>
                </w:sectPr>
              </w:pPr>
            </w:p>
            <w:p>
              <w:pPr>
                <w:tabs>
                  <w:tab w:val="center" w:pos="4819"/>
                  <w:tab w:val="right" w:pos="9638"/>
                </w:tabs>
              </w:pPr>
            </w:p>
          </w:sdtContent>
        </w:sdt>
      </w:sdtContent>
    </w:sdt>
    <w:sdt>
      <w:sdtPr>
        <w:alias w:val="patvirtinta"/>
        <w:tag w:val="part_5e7ca19b78b343059b22329ed9d1f419"/>
        <w:lock w:val="sdtLocked"/>
        <w:richText/>
      </w:sdtPr>
      <w:sdtContent>
        <w:p>
          <w:pPr>
            <w:keepLines/>
            <w:tabs>
              <w:tab w:val="left" w:pos="1304"/>
              <w:tab w:val="left" w:pos="1457"/>
              <w:tab w:val="left" w:pos="1604"/>
              <w:tab w:val="left" w:pos="1757"/>
            </w:tabs>
            <w:ind w:left="4962"/>
            <w:textAlignment w:val="center"/>
            <w:rPr>
              <w:color w:val="000000"/>
              <w:szCs w:val="24"/>
            </w:rPr>
          </w:pPr>
          <w:r>
            <w:rPr>
              <w:color w:val="000000"/>
              <w:szCs w:val="24"/>
            </w:rPr>
            <w:t>PATVIRTINTA</w:t>
          </w:r>
        </w:p>
        <w:p>
          <w:pPr>
            <w:ind w:left="4962"/>
            <w:rPr>
              <w:szCs w:val="24"/>
              <w:lang w:eastAsia="en-GB"/>
            </w:rPr>
          </w:pPr>
          <w:r>
            <w:rPr>
              <w:szCs w:val="24"/>
              <w:lang w:eastAsia="en-GB"/>
            </w:rPr>
            <w:t>Lietuvos Respublikos aplinkos ministro</w:t>
          </w:r>
        </w:p>
        <w:p>
          <w:pPr>
            <w:ind w:left="4962"/>
            <w:rPr>
              <w:szCs w:val="24"/>
              <w:lang w:eastAsia="en-GB"/>
            </w:rPr>
          </w:pPr>
          <w:r>
            <w:rPr>
              <w:szCs w:val="24"/>
              <w:lang w:eastAsia="en-GB"/>
            </w:rPr>
            <w:t>2012 m. liepos 12 d. įsakymu Nr. D1-589</w:t>
          </w:r>
        </w:p>
        <w:p>
          <w:pPr>
            <w:ind w:left="4962"/>
            <w:rPr>
              <w:szCs w:val="24"/>
              <w:lang w:eastAsia="en-GB"/>
            </w:rPr>
          </w:pPr>
          <w:r>
            <w:rPr>
              <w:szCs w:val="24"/>
              <w:lang w:eastAsia="en-GB"/>
            </w:rPr>
            <w:t>(Lietuvos Respublikos aplinkos ministro</w:t>
          </w:r>
        </w:p>
        <w:p>
          <w:pPr>
            <w:ind w:left="4962"/>
            <w:rPr>
              <w:szCs w:val="24"/>
              <w:lang w:eastAsia="en-GB"/>
            </w:rPr>
          </w:pPr>
          <w:r>
            <w:rPr>
              <w:szCs w:val="24"/>
              <w:lang w:eastAsia="en-GB"/>
            </w:rPr>
            <w:t xml:space="preserve">2024 m.                d. įsakymo Nr. D1-</w:t>
          </w:r>
        </w:p>
        <w:p>
          <w:pPr>
            <w:ind w:left="4962"/>
            <w:rPr>
              <w:szCs w:val="24"/>
              <w:lang w:eastAsia="en-GB"/>
            </w:rPr>
          </w:pPr>
          <w:r>
            <w:rPr>
              <w:szCs w:val="24"/>
              <w:lang w:eastAsia="en-GB"/>
            </w:rPr>
            <w:t>redakcija)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jc w:val="center"/>
            <w:rPr>
              <w:b/>
              <w:szCs w:val="24"/>
              <w:lang w:eastAsia="lt-LT"/>
            </w:rPr>
          </w:pPr>
        </w:p>
        <w:p>
          <w:pPr>
            <w:keepLines/>
            <w:widowControl w:val="0"/>
            <w:jc w:val="center"/>
            <w:rPr>
              <w:b/>
              <w:bCs/>
              <w:caps/>
              <w:color w:val="000000"/>
            </w:rPr>
          </w:pPr>
          <w:sdt>
            <w:sdtPr>
              <w:alias w:val="Pavadinimas"/>
              <w:tag w:val="title_5e7ca19b78b343059b22329ed9d1f419"/>
              <w:lock w:val="sdtLocked"/>
              <w:richText/>
            </w:sdtPr>
            <w:sdtContent>
              <w:r>
                <w:rPr>
                  <w:b/>
                  <w:caps/>
                  <w:color w:val="000000"/>
                </w:rPr>
                <w:t>gamintojų ir importuotojų, kurie Lietuvos Respublikos vidaus rinkai VERSLO TIKSLAIS tiekia elektros ir elektroninę įrangą, TRANSPORTO PRIEMONES IR LIETUVOS RESPUBLIKOS VIDAUS RINKAI TIEKIA PAKUOTES, PADANGAS, užimamos rinkos dalies nustatymo TVARKOS APRAŠAS</w:t>
              </w:r>
            </w:sdtContent>
          </w:sdt>
        </w:p>
        <w:p>
          <w:pPr>
            <w:keepLines/>
            <w:widowControl w:val="0"/>
            <w:jc w:val="center"/>
            <w:rPr>
              <w:b/>
              <w:bCs/>
              <w:caps/>
              <w:color w:val="000000"/>
            </w:rPr>
          </w:pPr>
        </w:p>
        <w:sdt>
          <w:sdtPr>
            <w:alias w:val="skyrius"/>
            <w:tag w:val="part_48965b3fbfac4da48302ddeef3b5913c"/>
            <w:lock w:val="sdtLocked"/>
            <w:richText/>
          </w:sdtPr>
          <w:sdtContent>
            <w:p>
              <w:pPr>
                <w:keepLines/>
                <w:widowControl w:val="0"/>
                <w:tabs>
                  <w:tab w:val="center" w:pos="4749"/>
                </w:tabs>
                <w:jc w:val="center"/>
                <w:rPr>
                  <w:b/>
                  <w:bCs/>
                  <w:caps/>
                  <w:color w:val="000000"/>
                </w:rPr>
              </w:pPr>
              <w:sdt>
                <w:sdtPr>
                  <w:alias w:val="Numeris"/>
                  <w:tag w:val="nr_48965b3fbfac4da48302ddeef3b5913c"/>
                  <w:lock w:val="sdtLocked"/>
                  <w:richText/>
                </w:sdtPr>
                <w:sdtContent>
                  <w:r>
                    <w:rPr>
                      <w:b/>
                      <w:bCs/>
                      <w:caps/>
                      <w:color w:val="000000"/>
                    </w:rPr>
                    <w:t>I</w:t>
                  </w:r>
                </w:sdtContent>
              </w:sdt>
              <w:r>
                <w:rPr>
                  <w:b/>
                  <w:bCs/>
                  <w:caps/>
                  <w:color w:val="000000"/>
                </w:rPr>
                <w:t xml:space="preserve"> SKYRIUS</w:t>
              </w:r>
            </w:p>
            <w:p>
              <w:pPr>
                <w:keepLines/>
                <w:widowControl w:val="0"/>
                <w:jc w:val="center"/>
                <w:rPr>
                  <w:b/>
                  <w:bCs/>
                  <w:caps/>
                  <w:color w:val="000000"/>
                </w:rPr>
              </w:pPr>
              <w:sdt>
                <w:sdtPr>
                  <w:alias w:val="Pavadinimas"/>
                  <w:tag w:val="title_48965b3fbfac4da48302ddeef3b5913c"/>
                  <w:lock w:val="sdtLocked"/>
                  <w:richText/>
                </w:sdtPr>
                <w:sdtContent>
                  <w:r>
                    <w:rPr>
                      <w:b/>
                      <w:bCs/>
                      <w:caps/>
                      <w:color w:val="000000"/>
                    </w:rPr>
                    <w:t>BENDROSIOS NUOSTATOS</w:t>
                  </w:r>
                </w:sdtContent>
              </w:sdt>
            </w:p>
            <w:p>
              <w:pPr>
                <w:widowControl w:val="0"/>
                <w:ind w:firstLine="567"/>
                <w:jc w:val="both"/>
                <w:rPr>
                  <w:color w:val="000000"/>
                </w:rPr>
              </w:pPr>
            </w:p>
            <w:sdt>
              <w:sdtPr>
                <w:alias w:val="1 p."/>
                <w:tag w:val="part_c84af1b9df414a1daaf5095b5b47b6c2"/>
                <w:lock w:val="sdtLocked"/>
                <w:richText/>
              </w:sdtPr>
              <w:sdtContent>
                <w:p>
                  <w:pPr>
                    <w:widowControl w:val="0"/>
                    <w:spacing w:line="276" w:lineRule="auto"/>
                    <w:ind w:firstLine="709"/>
                    <w:jc w:val="both"/>
                    <w:rPr>
                      <w:color w:val="000000"/>
                    </w:rPr>
                  </w:pPr>
                  <w:sdt>
                    <w:sdtPr>
                      <w:alias w:val="Numeris"/>
                      <w:tag w:val="nr_c84af1b9df414a1daaf5095b5b47b6c2"/>
                      <w:lock w:val="sdtLocked"/>
                      <w:richText/>
                    </w:sdtPr>
                    <w:sdtContent>
                      <w:r>
                        <w:rPr>
                          <w:color w:val="000000"/>
                        </w:rPr>
                        <w:t>1</w:t>
                      </w:r>
                    </w:sdtContent>
                  </w:sdt>
                  <w:r>
                    <w:rPr>
                      <w:color w:val="000000"/>
                    </w:rPr>
                    <w:t>. Gamintojų ir (ar) importuotojų, kurie Lietuvos Respublikos vidaus rinkai verslo tikslais tiekia elektros ir elektroninę įrangą, transporto priemones ir Lietuvos Respublikos vidaus rinkai tiekia pakuotes, padangas, užimamos rinkos dalies nustatymo tvarkos aprašas (toliau – Tvarkos aprašas) nustato tvarką, kuria vadovaujantis apskaičiuojama Lietuvos Respublikos vidaus rinkai verslo tikslais tiekiančių elektros ir elektroninę įrangą, transporto priemones ir Lietuvos Respublikos vidaus rinkai tiekiančių pakuotes, padangas gamintojų ir (ar) importuotojų užimama rinkos dalis.</w:t>
                  </w:r>
                </w:p>
              </w:sdtContent>
            </w:sdt>
            <w:sdt>
              <w:sdtPr>
                <w:alias w:val="2 p."/>
                <w:tag w:val="part_11c8f559da0b4942bf5bc47e44e1ad77"/>
                <w:lock w:val="sdtLocked"/>
                <w:richText/>
              </w:sdtPr>
              <w:sdtContent>
                <w:p>
                  <w:pPr>
                    <w:widowControl w:val="0"/>
                    <w:spacing w:line="276" w:lineRule="auto"/>
                    <w:ind w:firstLine="709"/>
                    <w:jc w:val="both"/>
                    <w:rPr>
                      <w:color w:val="000000"/>
                    </w:rPr>
                  </w:pPr>
                  <w:sdt>
                    <w:sdtPr>
                      <w:alias w:val="Numeris"/>
                      <w:tag w:val="nr_11c8f559da0b4942bf5bc47e44e1ad77"/>
                      <w:lock w:val="sdtLocked"/>
                      <w:richText/>
                    </w:sdtPr>
                    <w:sdtContent>
                      <w:r>
                        <w:rPr>
                          <w:color w:val="000000"/>
                        </w:rPr>
                        <w:t>2</w:t>
                      </w:r>
                    </w:sdtContent>
                  </w:sdt>
                  <w:r>
                    <w:rPr>
                      <w:color w:val="000000"/>
                    </w:rPr>
                    <w:t>. Tvarkos apraše vartojamos sąvokos suprantamos taip, kaip jos apibrėžtos Lietuvos Respublikos atliekų tvarkymo įstatyme, Lietuvos Respublikos pakuočių ir pakuočių atliekų tvarkymo įstatyme ir Lietuvos Respublikos mokesčio už aplinkos teršimą įstatyme.</w:t>
                  </w:r>
                </w:p>
              </w:sdtContent>
            </w:sdt>
            <w:sdt>
              <w:sdtPr>
                <w:alias w:val="3 p."/>
                <w:tag w:val="part_227df5f15c0f46bc85054b93d77cca6e"/>
                <w:lock w:val="sdtLocked"/>
                <w:richText/>
              </w:sdtPr>
              <w:sdtContent>
                <w:p>
                  <w:pPr>
                    <w:widowControl w:val="0"/>
                    <w:spacing w:line="276" w:lineRule="auto"/>
                    <w:ind w:firstLine="709"/>
                    <w:jc w:val="both"/>
                    <w:rPr>
                      <w:color w:val="000000"/>
                    </w:rPr>
                  </w:pPr>
                  <w:sdt>
                    <w:sdtPr>
                      <w:alias w:val="Numeris"/>
                      <w:tag w:val="nr_227df5f15c0f46bc85054b93d77cca6e"/>
                      <w:lock w:val="sdtLocked"/>
                      <w:richText/>
                    </w:sdtPr>
                    <w:sdtContent>
                      <w:r>
                        <w:rPr>
                          <w:color w:val="000000"/>
                        </w:rPr>
                        <w:t>3</w:t>
                      </w:r>
                    </w:sdtContent>
                  </w:sdt>
                  <w:r>
                    <w:rPr>
                      <w:color w:val="000000"/>
                    </w:rPr>
                    <w:t xml:space="preserve">. Tvarkos aprašo reikalavimai taikomi: </w:t>
                  </w:r>
                </w:p>
                <w:sdt>
                  <w:sdtPr>
                    <w:alias w:val="3.1 pp."/>
                    <w:tag w:val="part_903c8aa1d8ca41fab4554b6ee9a4e4cd"/>
                    <w:lock w:val="sdtLocked"/>
                    <w:richText/>
                  </w:sdtPr>
                  <w:sdtContent>
                    <w:p>
                      <w:pPr>
                        <w:widowControl w:val="0"/>
                        <w:spacing w:line="276" w:lineRule="auto"/>
                        <w:ind w:firstLine="709"/>
                        <w:jc w:val="both"/>
                        <w:rPr>
                          <w:color w:val="000000"/>
                        </w:rPr>
                      </w:pPr>
                      <w:sdt>
                        <w:sdtPr>
                          <w:alias w:val="Numeris"/>
                          <w:tag w:val="nr_903c8aa1d8ca41fab4554b6ee9a4e4cd"/>
                          <w:lock w:val="sdtLocked"/>
                          <w:richText/>
                        </w:sdtPr>
                        <w:sdtContent>
                          <w:r>
                            <w:rPr>
                              <w:color w:val="000000"/>
                            </w:rPr>
                            <w:t>3.1</w:t>
                          </w:r>
                        </w:sdtContent>
                      </w:sdt>
                      <w:r>
                        <w:rPr>
                          <w:color w:val="000000"/>
                        </w:rPr>
                        <w:t>. Lietuvos Respublikos vidaus rinkai verslo tikslais buitinę elektros ir elektroninę įrangą tiekiantiems gamintojams ir (ar) importuotojams, individualiai vykdantiems Atliekų tvarkymo įstatyme elektros ir elektroninės įrangos gamintojams ir (ar) importuotojams nustatytas pareigas;</w:t>
                      </w:r>
                    </w:p>
                  </w:sdtContent>
                </w:sdt>
                <w:sdt>
                  <w:sdtPr>
                    <w:alias w:val="3.2 pp."/>
                    <w:tag w:val="part_8bb82a3adabe467a8cf0b8a3a4dc94b8"/>
                    <w:lock w:val="sdtLocked"/>
                    <w:richText/>
                  </w:sdtPr>
                  <w:sdtContent>
                    <w:p>
                      <w:pPr>
                        <w:widowControl w:val="0"/>
                        <w:spacing w:line="276" w:lineRule="auto"/>
                        <w:ind w:firstLine="709"/>
                        <w:jc w:val="both"/>
                        <w:rPr>
                          <w:color w:val="000000"/>
                        </w:rPr>
                      </w:pPr>
                      <w:sdt>
                        <w:sdtPr>
                          <w:alias w:val="Numeris"/>
                          <w:tag w:val="nr_8bb82a3adabe467a8cf0b8a3a4dc94b8"/>
                          <w:lock w:val="sdtLocked"/>
                          <w:richText/>
                        </w:sdtPr>
                        <w:sdtContent>
                          <w:r>
                            <w:rPr>
                              <w:color w:val="000000"/>
                            </w:rPr>
                            <w:t>3.2</w:t>
                          </w:r>
                        </w:sdtContent>
                      </w:sdt>
                      <w:r>
                        <w:rPr>
                          <w:color w:val="000000"/>
                        </w:rPr>
                        <w:t>. elektros ir elektroninės įrangos atliekų tvarkymo organizavimo licenciją turinčioms gamintojų ir (ar) importuotojų organizacijoms;</w:t>
                      </w:r>
                    </w:p>
                  </w:sdtContent>
                </w:sdt>
                <w:sdt>
                  <w:sdtPr>
                    <w:alias w:val="3.3 pp."/>
                    <w:tag w:val="part_48e6b5ab8bd7440d89536fc94fd6ed93"/>
                    <w:lock w:val="sdtLocked"/>
                    <w:richText/>
                  </w:sdtPr>
                  <w:sdtContent>
                    <w:p>
                      <w:pPr>
                        <w:widowControl w:val="0"/>
                        <w:spacing w:line="276" w:lineRule="auto"/>
                        <w:ind w:firstLine="709"/>
                        <w:jc w:val="both"/>
                        <w:rPr>
                          <w:color w:val="000000"/>
                        </w:rPr>
                      </w:pPr>
                      <w:sdt>
                        <w:sdtPr>
                          <w:alias w:val="Numeris"/>
                          <w:tag w:val="nr_48e6b5ab8bd7440d89536fc94fd6ed93"/>
                          <w:lock w:val="sdtLocked"/>
                          <w:richText/>
                        </w:sdtPr>
                        <w:sdtContent>
                          <w:r>
                            <w:rPr>
                              <w:color w:val="000000"/>
                            </w:rPr>
                            <w:t>3.3</w:t>
                          </w:r>
                        </w:sdtContent>
                      </w:sdt>
                      <w:r>
                        <w:rPr>
                          <w:color w:val="000000"/>
                        </w:rPr>
                        <w:t>. pakuočių atliekų tvarkymo organizavimo licenciją turinčioms gamintojų ir (ar) importuotojų organizacijoms;</w:t>
                      </w:r>
                    </w:p>
                  </w:sdtContent>
                </w:sdt>
                <w:sdt>
                  <w:sdtPr>
                    <w:alias w:val="3.4 pp."/>
                    <w:tag w:val="part_a81183d76aa045b88011642eb40487cb"/>
                    <w:lock w:val="sdtLocked"/>
                    <w:richText/>
                  </w:sdtPr>
                  <w:sdtContent>
                    <w:p>
                      <w:pPr>
                        <w:widowControl w:val="0"/>
                        <w:spacing w:line="276" w:lineRule="auto"/>
                        <w:ind w:firstLine="709"/>
                        <w:jc w:val="both"/>
                        <w:rPr>
                          <w:color w:val="000000"/>
                        </w:rPr>
                      </w:pPr>
                      <w:sdt>
                        <w:sdtPr>
                          <w:alias w:val="Numeris"/>
                          <w:tag w:val="nr_a81183d76aa045b88011642eb40487cb"/>
                          <w:lock w:val="sdtLocked"/>
                          <w:richText/>
                        </w:sdtPr>
                        <w:sdtContent>
                          <w:r>
                            <w:rPr>
                              <w:color w:val="000000"/>
                            </w:rPr>
                            <w:t>3.4</w:t>
                          </w:r>
                        </w:sdtContent>
                      </w:sdt>
                      <w:r>
                        <w:rPr>
                          <w:color w:val="000000"/>
                        </w:rPr>
                        <w:t>. eksploatuoti netinkamų transporto priemonių tvarkymo organizavimo licenciją turinčioms gamintojų ir (ar) importuotojų organizacijoms;</w:t>
                      </w:r>
                    </w:p>
                  </w:sdtContent>
                </w:sdt>
                <w:sdt>
                  <w:sdtPr>
                    <w:alias w:val="3.5 pp."/>
                    <w:tag w:val="part_98cf5f06e64b4949a09b893a64605bcd"/>
                    <w:lock w:val="sdtLocked"/>
                    <w:richText/>
                  </w:sdtPr>
                  <w:sdtContent>
                    <w:p>
                      <w:pPr>
                        <w:widowControl w:val="0"/>
                        <w:spacing w:line="276" w:lineRule="auto"/>
                        <w:ind w:firstLine="709"/>
                        <w:jc w:val="both"/>
                        <w:rPr>
                          <w:color w:val="000000"/>
                        </w:rPr>
                      </w:pPr>
                      <w:sdt>
                        <w:sdtPr>
                          <w:alias w:val="Numeris"/>
                          <w:tag w:val="nr_98cf5f06e64b4949a09b893a64605bcd"/>
                          <w:lock w:val="sdtLocked"/>
                          <w:richText/>
                        </w:sdtPr>
                        <w:sdtContent>
                          <w:r>
                            <w:rPr>
                              <w:color w:val="000000"/>
                            </w:rPr>
                            <w:t>3.5</w:t>
                          </w:r>
                        </w:sdtContent>
                      </w:sdt>
                      <w:r>
                        <w:rPr>
                          <w:color w:val="000000"/>
                        </w:rPr>
                        <w:t>. padangų atliekų tvarkymo organizavimo licenciją turinčioms gamintojų ir (ar) importuotojų organizacijoms;</w:t>
                      </w:r>
                    </w:p>
                  </w:sdtContent>
                </w:sdt>
                <w:sdt>
                  <w:sdtPr>
                    <w:alias w:val="3.6 pp."/>
                    <w:tag w:val="part_96ed0f6f7316411d8c1283e5a5b15320"/>
                    <w:lock w:val="sdtLocked"/>
                    <w:richText/>
                  </w:sdtPr>
                  <w:sdtContent>
                    <w:p>
                      <w:pPr>
                        <w:widowControl w:val="0"/>
                        <w:spacing w:line="276" w:lineRule="auto"/>
                        <w:ind w:firstLine="709"/>
                        <w:jc w:val="both"/>
                        <w:rPr>
                          <w:color w:val="000000"/>
                        </w:rPr>
                      </w:pPr>
                      <w:sdt>
                        <w:sdtPr>
                          <w:alias w:val="Numeris"/>
                          <w:tag w:val="nr_96ed0f6f7316411d8c1283e5a5b15320"/>
                          <w:lock w:val="sdtLocked"/>
                          <w:richText/>
                        </w:sdtPr>
                        <w:sdtContent>
                          <w:r>
                            <w:rPr>
                              <w:lang w:eastAsia="lt-LT"/>
                            </w:rPr>
                            <w:t>3.6</w:t>
                          </w:r>
                        </w:sdtContent>
                      </w:sdt>
                      <w:r>
                        <w:rPr>
                          <w:lang w:eastAsia="lt-LT"/>
                        </w:rPr>
                        <w:t xml:space="preserve">. apmokestinamųjų gaminių atliekų tvarkymo organizavimo licenciją </w:t>
                      </w:r>
                      <w:r>
                        <w:rPr>
                          <w:color w:val="000000"/>
                        </w:rPr>
                        <w:t>turinčioms gamintojų ir (ar) importuotojų organizacijoms.</w:t>
                      </w:r>
                    </w:p>
                    <w:p>
                      <w:pPr>
                        <w:keepLines/>
                        <w:widowControl w:val="0"/>
                        <w:tabs>
                          <w:tab w:val="left" w:pos="3721"/>
                          <w:tab w:val="center" w:pos="4749"/>
                          <w:tab w:val="left" w:pos="7718"/>
                        </w:tabs>
                        <w:rPr>
                          <w:color w:val="000000"/>
                        </w:rPr>
                      </w:pPr>
                    </w:p>
                  </w:sdtContent>
                </w:sdt>
              </w:sdtContent>
            </w:sdt>
          </w:sdtContent>
        </w:sdt>
        <w:sdt>
          <w:sdtPr>
            <w:alias w:val="skyrius"/>
            <w:tag w:val="part_1b838b3bf96d4416b328a0025540ea3a"/>
            <w:lock w:val="sdtLocked"/>
            <w:richText/>
          </w:sdtPr>
          <w:sdtContent>
            <w:p>
              <w:pPr>
                <w:keepLines/>
                <w:widowControl w:val="0"/>
                <w:tabs>
                  <w:tab w:val="left" w:pos="3721"/>
                  <w:tab w:val="center" w:pos="4749"/>
                  <w:tab w:val="left" w:pos="7718"/>
                </w:tabs>
                <w:jc w:val="center"/>
                <w:rPr>
                  <w:b/>
                  <w:bCs/>
                  <w:caps/>
                  <w:color w:val="000000"/>
                </w:rPr>
              </w:pPr>
              <w:sdt>
                <w:sdtPr>
                  <w:alias w:val="Numeris"/>
                  <w:tag w:val="nr_1b838b3bf96d4416b328a0025540ea3a"/>
                  <w:lock w:val="sdtLocked"/>
                  <w:richText/>
                </w:sdtPr>
                <w:sdtContent>
                  <w:r>
                    <w:rPr>
                      <w:b/>
                      <w:bCs/>
                      <w:caps/>
                      <w:color w:val="000000"/>
                    </w:rPr>
                    <w:t>II</w:t>
                  </w:r>
                </w:sdtContent>
              </w:sdt>
              <w:r>
                <w:rPr>
                  <w:b/>
                  <w:bCs/>
                  <w:caps/>
                  <w:color w:val="000000"/>
                </w:rPr>
                <w:t xml:space="preserve"> SKYRIUS</w:t>
              </w:r>
            </w:p>
            <w:p>
              <w:pPr>
                <w:keepLines/>
                <w:widowControl w:val="0"/>
                <w:jc w:val="center"/>
                <w:rPr>
                  <w:b/>
                  <w:bCs/>
                  <w:caps/>
                  <w:color w:val="000000"/>
                </w:rPr>
              </w:pPr>
              <w:sdt>
                <w:sdtPr>
                  <w:alias w:val="Pavadinimas"/>
                  <w:tag w:val="title_1b838b3bf96d4416b328a0025540ea3a"/>
                  <w:lock w:val="sdtLocked"/>
                  <w:richText/>
                </w:sdtPr>
                <w:sdtContent>
                  <w:r>
                    <w:rPr>
                      <w:b/>
                      <w:bCs/>
                      <w:caps/>
                      <w:color w:val="000000"/>
                    </w:rPr>
                    <w:t>UŽIMAMOS RINKOS DALIES APSKAIČIAVIMO TVARKA</w:t>
                  </w:r>
                </w:sdtContent>
              </w:sdt>
            </w:p>
            <w:p>
              <w:pPr>
                <w:widowControl w:val="0"/>
                <w:ind w:firstLine="567"/>
                <w:jc w:val="both"/>
                <w:rPr>
                  <w:color w:val="000000"/>
                </w:rPr>
              </w:pPr>
            </w:p>
            <w:sdt>
              <w:sdtPr>
                <w:alias w:val="4 p."/>
                <w:tag w:val="part_f38af735767842d2a72fdaf29c448bc5"/>
                <w:lock w:val="sdtLocked"/>
                <w:richText/>
              </w:sdtPr>
              <w:sdtContent>
                <w:p>
                  <w:pPr>
                    <w:widowControl w:val="0"/>
                    <w:spacing w:line="276" w:lineRule="auto"/>
                    <w:ind w:firstLine="709"/>
                    <w:jc w:val="both"/>
                    <w:rPr>
                      <w:color w:val="000000"/>
                    </w:rPr>
                  </w:pPr>
                  <w:sdt>
                    <w:sdtPr>
                      <w:alias w:val="Numeris"/>
                      <w:tag w:val="nr_f38af735767842d2a72fdaf29c448bc5"/>
                      <w:lock w:val="sdtLocked"/>
                      <w:richText/>
                    </w:sdtPr>
                    <w:sdtContent>
                      <w:r>
                        <w:rPr>
                          <w:color w:val="000000"/>
                        </w:rPr>
                        <w:t>4</w:t>
                      </w:r>
                    </w:sdtContent>
                  </w:sdt>
                  <w:r>
                    <w:rPr>
                      <w:color w:val="000000"/>
                    </w:rPr>
                    <w:t>. Elektros ir elektroninę įrangą Lietuvos Respublikos vidaus rinkai verslo tikslais tiekiančių gamintojų ir (ar) importuotojų, individualiai vykdančių Atliekų tvarkymo įstatyme elektros ir elektroninės įrangos gamintojams ir (ar) importuotojams nustatytas pareigas, ir Tvarkos aprašo</w:t>
                  </w:r>
                  <w:r>
                    <w:rPr>
                      <w:color w:val="000000"/>
                      <w:szCs w:val="24"/>
                    </w:rPr>
                    <w:t xml:space="preserve">      </w:t>
                  </w:r>
                  <w:r>
                    <w:rPr>
                      <w:color w:val="000000"/>
                    </w:rPr>
                    <w:t>3.2–3.6</w:t>
                  </w:r>
                  <w:r>
                    <w:rPr>
                      <w:color w:val="000000"/>
                      <w:szCs w:val="24"/>
                    </w:rPr>
                    <w:t xml:space="preserve"> </w:t>
                  </w:r>
                  <w:r>
                    <w:rPr>
                      <w:color w:val="000000"/>
                    </w:rPr>
                    <w:t>papunkčiuose nurodytų organizacijų užimama rinkos dalis apskaičiuojama pagal praėjusių metų elektros ir elektroninės įrangos, transporto priemonių tiekimo Lietuvos Respublikos vidaus rinkai verslo tikslais, padangų ir pripildytų vienkartinių pakuočių tiekimo Lietuvos Respublikos vidaus rinkai apskaitos duomenis.</w:t>
                  </w:r>
                </w:p>
              </w:sdtContent>
            </w:sdt>
            <w:sdt>
              <w:sdtPr>
                <w:alias w:val="5 p."/>
                <w:tag w:val="part_e773070f78e9400cba340586e059aa7b"/>
                <w:lock w:val="sdtLocked"/>
                <w:richText/>
              </w:sdtPr>
              <w:sdtContent>
                <w:p>
                  <w:pPr>
                    <w:widowControl w:val="0"/>
                    <w:spacing w:line="276" w:lineRule="auto"/>
                    <w:ind w:firstLine="709"/>
                    <w:jc w:val="both"/>
                    <w:rPr>
                      <w:color w:val="000000"/>
                    </w:rPr>
                  </w:pPr>
                  <w:sdt>
                    <w:sdtPr>
                      <w:alias w:val="Numeris"/>
                      <w:tag w:val="nr_e773070f78e9400cba340586e059aa7b"/>
                      <w:lock w:val="sdtLocked"/>
                      <w:richText/>
                    </w:sdtPr>
                    <w:sdtContent>
                      <w:r>
                        <w:rPr>
                          <w:color w:val="000000"/>
                        </w:rPr>
                        <w:t>5</w:t>
                      </w:r>
                    </w:sdtContent>
                  </w:sdt>
                  <w:r>
                    <w:rPr>
                      <w:color w:val="000000"/>
                    </w:rPr>
                    <w:t>. Lietuvos Respublikos vidaus rinkai verslo tikslais elektros ir elektroninę įrangą tiekiančio gamintojo ir (ar) importuotojo, kuris individualiai vykdo Atliekų tvarkymo įstatyme elektros ir elektroninės įrangos gamintojams ir (ar) importuotojams nustatytas pareigas, užimama rinkos dalis apskaičiuojama pagal formulę:</w:t>
                  </w:r>
                </w:p>
                <w:p>
                  <w:pPr>
                    <w:widowControl w:val="0"/>
                    <w:spacing w:line="276" w:lineRule="auto"/>
                    <w:ind w:firstLine="709"/>
                    <w:jc w:val="both"/>
                    <w:rPr>
                      <w:color w:val="000000"/>
                      <w:szCs w:val="24"/>
                    </w:rPr>
                  </w:pPr>
                </w:p>
                <w:p>
                  <w:pPr>
                    <w:widowControl w:val="0"/>
                    <w:spacing w:line="276" w:lineRule="auto"/>
                    <w:ind w:firstLine="709"/>
                    <w:jc w:val="both"/>
                    <w:rPr>
                      <w:color w:val="000000"/>
                      <w:szCs w:val="24"/>
                    </w:rPr>
                  </w:pPr>
                  <w:r>
                    <w:rPr>
                      <w:color w:val="000000"/>
                      <w:szCs w:val="24"/>
                    </w:rPr>
                    <w:t>D</w:t>
                  </w:r>
                  <w:r>
                    <w:rPr>
                      <w:color w:val="000000"/>
                      <w:szCs w:val="24"/>
                      <w:vertAlign w:val="subscript"/>
                    </w:rPr>
                    <w:t>i</w:t>
                  </w:r>
                  <w:r>
                    <w:rPr>
                      <w:color w:val="000000"/>
                      <w:szCs w:val="24"/>
                    </w:rPr>
                    <w:t xml:space="preserve"> = (Q</w:t>
                  </w:r>
                  <w:r>
                    <w:rPr>
                      <w:color w:val="000000"/>
                      <w:szCs w:val="24"/>
                      <w:vertAlign w:val="subscript"/>
                    </w:rPr>
                    <w:t>ie</w:t>
                  </w:r>
                  <w:r>
                    <w:rPr>
                      <w:color w:val="000000"/>
                      <w:szCs w:val="24"/>
                    </w:rPr>
                    <w:t>/Q</w:t>
                  </w:r>
                  <w:r>
                    <w:rPr>
                      <w:color w:val="000000"/>
                      <w:szCs w:val="24"/>
                      <w:vertAlign w:val="subscript"/>
                    </w:rPr>
                    <w:t>be</w:t>
                  </w:r>
                  <w:r>
                    <w:rPr>
                      <w:color w:val="000000"/>
                      <w:szCs w:val="24"/>
                    </w:rPr>
                    <w:t xml:space="preserve">) x 100, </w:t>
                  </w:r>
                </w:p>
                <w:p>
                  <w:pPr>
                    <w:widowControl w:val="0"/>
                    <w:spacing w:line="276" w:lineRule="auto"/>
                    <w:ind w:firstLine="709"/>
                    <w:jc w:val="both"/>
                    <w:rPr>
                      <w:color w:val="000000"/>
                      <w:szCs w:val="24"/>
                    </w:rPr>
                  </w:pPr>
                </w:p>
                <w:p>
                  <w:pPr>
                    <w:widowControl w:val="0"/>
                    <w:spacing w:line="276" w:lineRule="auto"/>
                    <w:ind w:firstLine="709"/>
                    <w:jc w:val="both"/>
                    <w:rPr>
                      <w:color w:val="000000"/>
                      <w:szCs w:val="24"/>
                    </w:rPr>
                  </w:pPr>
                  <w:r>
                    <w:rPr>
                      <w:color w:val="000000"/>
                      <w:szCs w:val="24"/>
                    </w:rPr>
                    <w:t>kur:</w:t>
                  </w:r>
                </w:p>
                <w:p>
                  <w:pPr>
                    <w:widowControl w:val="0"/>
                    <w:spacing w:line="276" w:lineRule="auto"/>
                    <w:ind w:firstLine="709"/>
                    <w:jc w:val="both"/>
                    <w:rPr>
                      <w:color w:val="000000"/>
                    </w:rPr>
                  </w:pPr>
                  <w:r>
                    <w:rPr>
                      <w:color w:val="000000"/>
                    </w:rPr>
                    <w:t>D</w:t>
                  </w:r>
                  <w:r>
                    <w:rPr>
                      <w:color w:val="000000"/>
                      <w:vertAlign w:val="subscript"/>
                    </w:rPr>
                    <w:t>i</w:t>
                  </w:r>
                  <w:r>
                    <w:rPr>
                      <w:color w:val="000000"/>
                    </w:rPr>
                    <w:t xml:space="preserve"> – Lietuvos Respublikos vidaus rinkai verslo tikslais buitinę elektros ir elektroninę įrangą tiekiančio gamintojo ir (ar) importuotojo, kuris individualiai vykdo Atliekų tvarkymo įstatyme elektros ir elektroninės įrangos gamintojams ir (ar) importuotojams nustatytas pareigas, užimama rinkos dalis, procentais (šeši skaitmenys po kablelio);</w:t>
                  </w:r>
                </w:p>
                <w:p>
                  <w:pPr>
                    <w:widowControl w:val="0"/>
                    <w:ind w:firstLine="709"/>
                    <w:jc w:val="both"/>
                    <w:rPr>
                      <w:color w:val="000000"/>
                    </w:rPr>
                  </w:pPr>
                  <w:r>
                    <w:rPr>
                      <w:color w:val="000000"/>
                    </w:rPr>
                    <w:t>Q</w:t>
                  </w:r>
                  <w:r>
                    <w:rPr>
                      <w:color w:val="000000"/>
                      <w:vertAlign w:val="subscript"/>
                    </w:rPr>
                    <w:t>ie</w:t>
                  </w:r>
                  <w:r>
                    <w:rPr>
                      <w:color w:val="000000"/>
                    </w:rPr>
                    <w:t xml:space="preserve"> – individualiai Atliekų tvarkymo įstatyme elektros ir elektroninės įrangos gamintojams ir (ar) importuotojams nustatytas pareigas vykdančio gamintojo ir (ar) importuotojo praėjusiais kalendoriniais metais Lietuvos Respublikos vidaus rinkai verslo tikslais patiektas buitinės elektros ir elektroninės įrangos kiekis, tonomis (trys skaitmenys po kablelio), </w:t>
                  </w:r>
                  <w:r>
                    <w:rPr>
                      <w:color w:val="000000"/>
                      <w:lang w:eastAsia="lt-LT"/>
                    </w:rPr>
                    <w:t xml:space="preserve">Vieningoje gaminių, pakuočių ir atliekų apskaitos informacinėje sistemoje (toliau – GPAIS) </w:t>
                  </w:r>
                  <w:r>
                    <w:rPr>
                      <w:color w:val="000000"/>
                    </w:rPr>
                    <w:t xml:space="preserve">nurodytas gamintojo ir (ar) importuotojo pateiktoje apskaitos ataskaitoje ir (ar) ketvirčių apskaitos suvestinėse Gaminių apskaitos ir atliekų tvarkymo organizavimo veiklos ataskaitų teikimo taisyklių, patvirtintų Lietuvos Respublikos aplinkos ministro 2009 m. gegužės 27 d. įsakymu Nr. D1-290 „Dėl Gaminių apskaitos ir atliekų tvarkymo </w:t>
                  </w:r>
                  <w:r>
                    <w:t xml:space="preserve">organizavimo veiklos </w:t>
                  </w:r>
                  <w:r>
                    <w:rPr>
                      <w:color w:val="000000"/>
                    </w:rPr>
                    <w:t xml:space="preserve">ataskaitų teikimo taisyklių patvirtinimo“ (toliau – Gaminių apskaitos ir atliekų tvarkymo </w:t>
                  </w:r>
                  <w:r>
                    <w:t xml:space="preserve">organizavimo veiklos </w:t>
                  </w:r>
                  <w:r>
                    <w:rPr>
                      <w:color w:val="000000"/>
                    </w:rPr>
                    <w:t>ataskaitų teikimo taisyklės), nustatyta tvarka;</w:t>
                  </w:r>
                </w:p>
                <w:p>
                  <w:pPr>
                    <w:widowControl w:val="0"/>
                    <w:ind w:firstLine="709"/>
                    <w:jc w:val="both"/>
                    <w:rPr>
                      <w:color w:val="000000"/>
                    </w:rPr>
                  </w:pPr>
                  <w:r>
                    <w:rPr>
                      <w:color w:val="000000"/>
                    </w:rPr>
                    <w:t>Q</w:t>
                  </w:r>
                  <w:r>
                    <w:rPr>
                      <w:color w:val="000000"/>
                      <w:vertAlign w:val="subscript"/>
                    </w:rPr>
                    <w:t>be</w:t>
                  </w:r>
                  <w:r>
                    <w:rPr>
                      <w:color w:val="000000"/>
                    </w:rPr>
                    <w:t xml:space="preserve"> – bendras visų gamintojų ir (ar) importuotojų praėjusiais kalendoriniais metais Lietuvos Respublikos vidaus rinkai verslo tikslais patiektas buitinės elektros ir elektroninės įrangos kiekis, tonomis (trys skaitmenys po kablelio), pagal pateiktų apskaitos ataskaitų ir (ar) ketvirčių apskaitos suvestinių suvestinius duomenis Gaminių apskaitos ir atliekų tvarkymo organizavimo veiklos ataskaitų teikimo taisyklėse nustatyta tvarka.</w:t>
                  </w:r>
                </w:p>
              </w:sdtContent>
            </w:sdt>
            <w:sdt>
              <w:sdtPr>
                <w:alias w:val="6 p."/>
                <w:tag w:val="part_ba93270cefa74130bf4c95e222437172"/>
                <w:lock w:val="sdtLocked"/>
                <w:richText/>
              </w:sdtPr>
              <w:sdtContent>
                <w:p>
                  <w:pPr>
                    <w:widowControl w:val="0"/>
                    <w:spacing w:line="276" w:lineRule="auto"/>
                    <w:ind w:firstLine="709"/>
                    <w:jc w:val="both"/>
                    <w:rPr>
                      <w:color w:val="000000"/>
                    </w:rPr>
                  </w:pPr>
                  <w:sdt>
                    <w:sdtPr>
                      <w:alias w:val="Numeris"/>
                      <w:tag w:val="nr_ba93270cefa74130bf4c95e222437172"/>
                      <w:lock w:val="sdtLocked"/>
                      <w:richText/>
                    </w:sdtPr>
                    <w:sdtContent>
                      <w:r>
                        <w:rPr>
                          <w:color w:val="000000"/>
                        </w:rPr>
                        <w:t>6</w:t>
                      </w:r>
                    </w:sdtContent>
                  </w:sdt>
                  <w:r>
                    <w:rPr>
                      <w:color w:val="000000"/>
                    </w:rPr>
                    <w:t>. Elektros ir elektroninės įrangos atliekų tvarkymo organizavimo licenciją turinčios gamintojų ir (ar) importuotojų organizacijos užimama rinkos dalis apskaičiuojama pagal formulę:</w:t>
                  </w:r>
                </w:p>
                <w:p>
                  <w:pPr>
                    <w:widowControl w:val="0"/>
                    <w:spacing w:line="276" w:lineRule="auto"/>
                    <w:ind w:firstLine="709"/>
                    <w:jc w:val="both"/>
                    <w:rPr>
                      <w:color w:val="000000"/>
                      <w:szCs w:val="24"/>
                    </w:rPr>
                  </w:pPr>
                </w:p>
                <w:p>
                  <w:pPr>
                    <w:widowControl w:val="0"/>
                    <w:spacing w:line="276" w:lineRule="auto"/>
                    <w:ind w:firstLine="709"/>
                    <w:jc w:val="both"/>
                    <w:rPr>
                      <w:color w:val="000000"/>
                      <w:szCs w:val="24"/>
                    </w:rPr>
                  </w:pPr>
                  <w:r>
                    <w:rPr>
                      <w:color w:val="000000"/>
                      <w:szCs w:val="24"/>
                    </w:rPr>
                    <w:t>D</w:t>
                  </w:r>
                  <w:r>
                    <w:rPr>
                      <w:color w:val="000000"/>
                      <w:szCs w:val="24"/>
                      <w:vertAlign w:val="subscript"/>
                    </w:rPr>
                    <w:t>oe</w:t>
                  </w:r>
                  <w:r>
                    <w:rPr>
                      <w:color w:val="000000"/>
                      <w:szCs w:val="24"/>
                    </w:rPr>
                    <w:t xml:space="preserve"> = (Q</w:t>
                  </w:r>
                  <w:r>
                    <w:rPr>
                      <w:color w:val="000000"/>
                      <w:szCs w:val="24"/>
                      <w:vertAlign w:val="subscript"/>
                    </w:rPr>
                    <w:t>oe</w:t>
                  </w:r>
                  <w:r>
                    <w:rPr>
                      <w:color w:val="000000"/>
                      <w:szCs w:val="24"/>
                    </w:rPr>
                    <w:t>/Q</w:t>
                  </w:r>
                  <w:r>
                    <w:rPr>
                      <w:color w:val="000000"/>
                      <w:szCs w:val="24"/>
                      <w:vertAlign w:val="subscript"/>
                    </w:rPr>
                    <w:t>be</w:t>
                  </w:r>
                  <w:r>
                    <w:rPr>
                      <w:color w:val="000000"/>
                      <w:szCs w:val="24"/>
                    </w:rPr>
                    <w:t xml:space="preserve">) ×100, </w:t>
                  </w:r>
                </w:p>
                <w:p>
                  <w:pPr>
                    <w:widowControl w:val="0"/>
                    <w:spacing w:line="276" w:lineRule="auto"/>
                    <w:ind w:firstLine="709"/>
                    <w:jc w:val="both"/>
                    <w:rPr>
                      <w:color w:val="000000"/>
                      <w:szCs w:val="24"/>
                    </w:rPr>
                  </w:pPr>
                </w:p>
                <w:p>
                  <w:pPr>
                    <w:widowControl w:val="0"/>
                    <w:spacing w:line="276" w:lineRule="auto"/>
                    <w:ind w:firstLine="709"/>
                    <w:jc w:val="both"/>
                    <w:rPr>
                      <w:color w:val="000000"/>
                      <w:szCs w:val="24"/>
                    </w:rPr>
                  </w:pPr>
                  <w:r>
                    <w:rPr>
                      <w:color w:val="000000"/>
                      <w:szCs w:val="24"/>
                    </w:rPr>
                    <w:t>kur:</w:t>
                  </w:r>
                </w:p>
                <w:p>
                  <w:pPr>
                    <w:widowControl w:val="0"/>
                    <w:spacing w:line="276" w:lineRule="auto"/>
                    <w:ind w:firstLine="709"/>
                    <w:jc w:val="both"/>
                    <w:rPr>
                      <w:color w:val="000000"/>
                    </w:rPr>
                  </w:pPr>
                  <w:r>
                    <w:rPr>
                      <w:color w:val="000000"/>
                    </w:rPr>
                    <w:t>D</w:t>
                  </w:r>
                  <w:r>
                    <w:rPr>
                      <w:color w:val="000000"/>
                      <w:vertAlign w:val="subscript"/>
                    </w:rPr>
                    <w:t>oe</w:t>
                  </w:r>
                  <w:r>
                    <w:rPr>
                      <w:color w:val="000000"/>
                    </w:rPr>
                    <w:t xml:space="preserve"> – elektros ir elektroninės įrangos atliekų tvarkymo organizavimo licenciją turinčios gamintojų ir (ar) importuotojų organizacijos užimama rinkos dalis, procentais (šeši skaitmenys po kablelio);</w:t>
                  </w:r>
                </w:p>
                <w:p>
                  <w:pPr>
                    <w:widowControl w:val="0"/>
                    <w:spacing w:line="276" w:lineRule="auto"/>
                    <w:ind w:firstLine="709"/>
                    <w:jc w:val="both"/>
                    <w:rPr>
                      <w:color w:val="000000"/>
                    </w:rPr>
                  </w:pPr>
                  <w:r>
                    <w:rPr>
                      <w:color w:val="000000"/>
                    </w:rPr>
                    <w:t>Q</w:t>
                  </w:r>
                  <w:r>
                    <w:rPr>
                      <w:color w:val="000000"/>
                      <w:vertAlign w:val="subscript"/>
                    </w:rPr>
                    <w:t>oe</w:t>
                  </w:r>
                  <w:r>
                    <w:rPr>
                      <w:color w:val="000000"/>
                    </w:rPr>
                    <w:t xml:space="preserve"> – elektros ir elektroninės įrangos atliekų tvarkymo organizavimo licenciją turinčiai gamintojų ir (ar) importuotojų organizacijai Atliekų tvarkymo įstatyme elektros ir elektroninės įrangos gamintojams ir (ar) importuotojams nustatytų pareigų vykdymą einamaisiais metais pavedusių gamintojų ir (ar) importuotojų praėjusiais kalendoriniais metais Lietuvos Respublikos vidaus rinkai verslo tikslais patiektas buitinės elektros ir elektroninės įrangos kiekis, tonomis (trys skaitmenys po kablelio), GPAIS nurodytas gamintojų ir (ar) importuotojų pateiktose apskaitos ataskaitose ir (ar) ketvirčių apskaitos suvestinėse Gaminių apskaitos ir atliekų tvarkymo organizavimo veiklos ataskaitų teikimo taisyklių nustatyta tvarka.</w:t>
                  </w:r>
                </w:p>
              </w:sdtContent>
            </w:sdt>
            <w:sdt>
              <w:sdtPr>
                <w:alias w:val="7 p."/>
                <w:tag w:val="part_e650ae2920c849648824cba5eeb9bf08"/>
                <w:lock w:val="sdtLocked"/>
                <w:richText/>
              </w:sdtPr>
              <w:sdtContent>
                <w:p>
                  <w:pPr>
                    <w:suppressAutoHyphens/>
                    <w:spacing w:line="276" w:lineRule="auto"/>
                    <w:ind w:firstLine="709"/>
                    <w:jc w:val="both"/>
                    <w:rPr>
                      <w:color w:val="000000"/>
                      <w:lang w:eastAsia="lt-LT"/>
                    </w:rPr>
                  </w:pPr>
                  <w:sdt>
                    <w:sdtPr>
                      <w:alias w:val="Numeris"/>
                      <w:tag w:val="nr_e650ae2920c849648824cba5eeb9bf08"/>
                      <w:lock w:val="sdtLocked"/>
                      <w:richText/>
                    </w:sdtPr>
                    <w:sdtContent>
                      <w:r>
                        <w:rPr>
                          <w:lang w:eastAsia="en-GB"/>
                        </w:rPr>
                        <w:t>7</w:t>
                      </w:r>
                    </w:sdtContent>
                  </w:sdt>
                  <w:r>
                    <w:rPr>
                      <w:lang w:eastAsia="en-GB"/>
                    </w:rPr>
                    <w:t xml:space="preserve">. </w:t>
                  </w:r>
                  <w:r>
                    <w:rPr>
                      <w:color w:val="000000"/>
                      <w:lang w:eastAsia="lt-LT"/>
                    </w:rPr>
                    <w:t>Pakuočių atliekų tvarkymo organizavimo licenciją pageidaujančios gauti gamintojų ir (ar) importuotojų organizacijos užimama rinkos dalis apskaičiuojama pagal formulę:</w:t>
                  </w:r>
                </w:p>
                <w:p>
                  <w:pPr>
                    <w:suppressAutoHyphens/>
                    <w:spacing w:line="276" w:lineRule="auto"/>
                    <w:ind w:firstLine="709"/>
                    <w:jc w:val="both"/>
                    <w:rPr>
                      <w:color w:val="000000"/>
                      <w:szCs w:val="24"/>
                      <w:lang w:eastAsia="lt-LT"/>
                    </w:rPr>
                  </w:pPr>
                </w:p>
                <w:p>
                  <w:pPr>
                    <w:suppressAutoHyphens/>
                    <w:spacing w:line="276" w:lineRule="auto"/>
                    <w:ind w:firstLine="709"/>
                    <w:jc w:val="both"/>
                    <w:rPr>
                      <w:color w:val="000000"/>
                      <w:szCs w:val="24"/>
                      <w:lang w:eastAsia="lt-LT"/>
                    </w:rPr>
                  </w:pPr>
                  <w:r>
                    <w:rPr>
                      <w:color w:val="000000"/>
                      <w:szCs w:val="24"/>
                      <w:lang w:eastAsia="lt-LT"/>
                    </w:rPr>
                    <w:t>D</w:t>
                  </w:r>
                  <w:r>
                    <w:rPr>
                      <w:color w:val="000000"/>
                      <w:szCs w:val="24"/>
                      <w:vertAlign w:val="subscript"/>
                      <w:lang w:eastAsia="lt-LT"/>
                    </w:rPr>
                    <w:t>op</w:t>
                  </w:r>
                  <w:r>
                    <w:rPr>
                      <w:color w:val="000000"/>
                      <w:szCs w:val="24"/>
                      <w:lang w:eastAsia="lt-LT"/>
                    </w:rPr>
                    <w:t xml:space="preserve"> = (Q</w:t>
                  </w:r>
                  <w:r>
                    <w:rPr>
                      <w:color w:val="000000"/>
                      <w:szCs w:val="24"/>
                      <w:vertAlign w:val="subscript"/>
                      <w:lang w:eastAsia="lt-LT"/>
                    </w:rPr>
                    <w:t>op</w:t>
                  </w:r>
                  <w:r>
                    <w:rPr>
                      <w:color w:val="000000"/>
                      <w:szCs w:val="24"/>
                      <w:lang w:eastAsia="lt-LT"/>
                    </w:rPr>
                    <w:t>/Q</w:t>
                  </w:r>
                  <w:r>
                    <w:rPr>
                      <w:color w:val="000000"/>
                      <w:szCs w:val="24"/>
                      <w:vertAlign w:val="subscript"/>
                      <w:lang w:eastAsia="lt-LT"/>
                    </w:rPr>
                    <w:t>bp</w:t>
                  </w:r>
                  <w:r>
                    <w:rPr>
                      <w:color w:val="000000"/>
                      <w:szCs w:val="24"/>
                      <w:lang w:eastAsia="lt-LT"/>
                    </w:rPr>
                    <w:t xml:space="preserve">) ×100, </w:t>
                  </w:r>
                </w:p>
                <w:p>
                  <w:pPr>
                    <w:suppressAutoHyphens/>
                    <w:spacing w:line="276" w:lineRule="auto"/>
                    <w:ind w:firstLine="709"/>
                    <w:jc w:val="both"/>
                    <w:rPr>
                      <w:color w:val="000000"/>
                      <w:szCs w:val="24"/>
                      <w:lang w:eastAsia="lt-LT"/>
                    </w:rPr>
                  </w:pPr>
                </w:p>
                <w:p>
                  <w:pPr>
                    <w:suppressAutoHyphens/>
                    <w:spacing w:line="276" w:lineRule="auto"/>
                    <w:ind w:firstLine="709"/>
                    <w:jc w:val="both"/>
                    <w:rPr>
                      <w:color w:val="000000"/>
                      <w:szCs w:val="24"/>
                      <w:lang w:eastAsia="lt-LT"/>
                    </w:rPr>
                  </w:pPr>
                  <w:r>
                    <w:rPr>
                      <w:color w:val="000000"/>
                      <w:szCs w:val="24"/>
                      <w:lang w:eastAsia="lt-LT"/>
                    </w:rPr>
                    <w:t>kur:</w:t>
                  </w:r>
                </w:p>
                <w:p>
                  <w:pPr>
                    <w:suppressAutoHyphens/>
                    <w:spacing w:line="276" w:lineRule="auto"/>
                    <w:ind w:firstLine="709"/>
                    <w:jc w:val="both"/>
                    <w:rPr>
                      <w:color w:val="000000"/>
                      <w:lang w:eastAsia="lt-LT"/>
                    </w:rPr>
                  </w:pPr>
                  <w:r>
                    <w:rPr>
                      <w:color w:val="000000"/>
                      <w:lang w:eastAsia="lt-LT"/>
                    </w:rPr>
                    <w:t>D</w:t>
                  </w:r>
                  <w:r>
                    <w:rPr>
                      <w:color w:val="000000"/>
                      <w:vertAlign w:val="subscript"/>
                      <w:lang w:eastAsia="lt-LT"/>
                    </w:rPr>
                    <w:t>op</w:t>
                  </w:r>
                  <w:r>
                    <w:rPr>
                      <w:color w:val="000000"/>
                      <w:lang w:eastAsia="lt-LT"/>
                    </w:rPr>
                    <w:t xml:space="preserve"> – pakuočių atliekų tvarkymo organizavimo licenciją pageidaujančios gauti gamintojų ir (ar) importuotojų organizacijos užimama rinkos dalis, procentais (šeši skaitmenys po kablelio);</w:t>
                  </w:r>
                </w:p>
                <w:p>
                  <w:pPr>
                    <w:suppressAutoHyphens/>
                    <w:spacing w:line="276" w:lineRule="auto"/>
                    <w:ind w:firstLine="709"/>
                    <w:jc w:val="both"/>
                    <w:rPr>
                      <w:color w:val="000000"/>
                      <w:lang w:eastAsia="lt-LT"/>
                    </w:rPr>
                  </w:pPr>
                  <w:r>
                    <w:rPr>
                      <w:color w:val="000000"/>
                      <w:lang w:eastAsia="lt-LT"/>
                    </w:rPr>
                    <w:t>Q</w:t>
                  </w:r>
                  <w:r>
                    <w:rPr>
                      <w:color w:val="000000"/>
                      <w:vertAlign w:val="subscript"/>
                      <w:lang w:eastAsia="lt-LT"/>
                    </w:rPr>
                    <w:t>op</w:t>
                  </w:r>
                  <w:r>
                    <w:rPr>
                      <w:color w:val="000000"/>
                      <w:lang w:eastAsia="lt-LT"/>
                    </w:rPr>
                    <w:t xml:space="preserve"> – pakuočių atliekų tvarkymo organizavimo licenciją pageidaujančiai gauti gamintojų ir (ar) importuotojų organizacijai Pakuočių ir pakuočių atliekų tvarkymo įstatyme nustatytų pareigų vykdymą einamaisiais metais pavedusių gamintojų ir (ar) importuotojų praėjusiais kalendoriniais metais Lietuvos Respublikos vidaus rinkai patiektas pripildytų vienkartinių pakuočių kiekis, tonomis (trys skaitmenys po kablelio), GPAIS nurodytas gamintojų ir (ar) importuotojų pateiktose pakuočių apskaitos ataskaitose ir (ar) ketvirčių apskaitos suvestinėse, ir (ar) patvirtintuose duomenyse mokesčiui už aplinkos teršimą pakuočių atliekomis apskaičiuoti Pakuočių ir pakuočių atliekų tvarkymo taisyklių, patvirtintų Lietuvos Respublikos aplinkos ministro 2002 m. birželio 27 d. įsakymu Nr. 348 „Dėl Pakuočių ir pakuočių atliekų tvarkymo taisyklių patvirtinimo“ (toliau – Pakuočių apskaitos taisyklės), nustatyta tvarka;</w:t>
                  </w:r>
                </w:p>
                <w:p>
                  <w:pPr>
                    <w:suppressAutoHyphens/>
                    <w:spacing w:line="276" w:lineRule="auto"/>
                    <w:ind w:firstLine="709"/>
                    <w:jc w:val="both"/>
                  </w:pPr>
                  <w:r>
                    <w:rPr>
                      <w:color w:val="000000"/>
                      <w:lang w:eastAsia="lt-LT"/>
                    </w:rPr>
                    <w:t>Q</w:t>
                  </w:r>
                  <w:r>
                    <w:rPr>
                      <w:color w:val="000000"/>
                      <w:vertAlign w:val="subscript"/>
                      <w:lang w:eastAsia="lt-LT"/>
                    </w:rPr>
                    <w:t>bp</w:t>
                  </w:r>
                  <w:r>
                    <w:rPr>
                      <w:color w:val="000000"/>
                      <w:lang w:eastAsia="lt-LT"/>
                    </w:rPr>
                    <w:t xml:space="preserve"> – bendras visų gamintojų ir (ar) importuotojų praėjusiais kalendoriniais metais Lietuvos Respublikos vidaus rinkai patiektas pripildytų vienkartinių pakuočių kiekis, tonomis (trys skaitmenys po kablelio), GPAIS nurodytas gamintojų ir (ar) importuotojų pateiktose pakuočių apskaitos ataskaitose ir (ar) ketvirčių apskaitos suvestinėse, ir (ar) patvirtintuose duomenyse mokesčiui už aplinkos teršimą pakuočių atliekomis apskaičiuoti.</w:t>
                  </w:r>
                  <w:r>
                    <w:t xml:space="preserve"> </w:t>
                  </w:r>
                </w:p>
              </w:sdtContent>
            </w:sdt>
            <w:sdt>
              <w:sdtPr>
                <w:alias w:val="8 p."/>
                <w:tag w:val="part_a45d587f9aa74bf6851c1453cd343011"/>
                <w:lock w:val="sdtLocked"/>
                <w:richText/>
              </w:sdtPr>
              <w:sdtContent>
                <w:p>
                  <w:pPr>
                    <w:spacing w:line="276" w:lineRule="auto"/>
                    <w:ind w:firstLine="709"/>
                    <w:jc w:val="both"/>
                    <w:rPr>
                      <w:color w:val="000000"/>
                      <w:lang w:eastAsia="en-GB"/>
                    </w:rPr>
                  </w:pPr>
                  <w:sdt>
                    <w:sdtPr>
                      <w:alias w:val="Numeris"/>
                      <w:tag w:val="nr_a45d587f9aa74bf6851c1453cd343011"/>
                      <w:lock w:val="sdtLocked"/>
                      <w:richText/>
                    </w:sdtPr>
                    <w:sdtContent>
                      <w:r>
                        <w:rPr>
                          <w:color w:val="000000"/>
                          <w:lang w:eastAsia="en-GB"/>
                        </w:rPr>
                        <w:t>8</w:t>
                      </w:r>
                    </w:sdtContent>
                  </w:sdt>
                  <w:r>
                    <w:rPr>
                      <w:color w:val="000000"/>
                      <w:lang w:eastAsia="en-GB"/>
                    </w:rPr>
                    <w:t xml:space="preserve">. Pakuočių atliekų tvarkymo organizavimo licenciją turinčios gamintojų ir (ar) importuotojų organizacijos rinkos dalis, pagal kurią gamintojų ir (ar) importuotojų organizacija finansuoja </w:t>
                  </w:r>
                  <w:r>
                    <w:rPr>
                      <w:color w:val="000000"/>
                      <w:lang w:eastAsia="lt-LT"/>
                    </w:rPr>
                    <w:t>komunalinių atliekų sraute susidarančių pakuočių atliekų</w:t>
                  </w:r>
                  <w:r>
                    <w:rPr>
                      <w:color w:val="000000"/>
                      <w:lang w:eastAsia="en-GB"/>
                    </w:rPr>
                    <w:t xml:space="preserve"> (išskyrus stiklinių ir medinių pakuočių atliekas)</w:t>
                  </w:r>
                  <w:r>
                    <w:rPr>
                      <w:color w:val="000000"/>
                      <w:lang w:eastAsia="lt-LT"/>
                    </w:rPr>
                    <w:t xml:space="preserve"> rūšiuojamojo surinkimo ir vežimo paslaugų teikimo </w:t>
                  </w:r>
                  <w:r>
                    <w:rPr>
                      <w:color w:val="000000"/>
                      <w:lang w:eastAsia="en-GB"/>
                    </w:rPr>
                    <w:t>išlaidas</w:t>
                  </w:r>
                  <w:r>
                    <w:rPr>
                      <w:color w:val="000000"/>
                      <w:lang w:eastAsia="lt-LT"/>
                    </w:rPr>
                    <w:t>,</w:t>
                  </w:r>
                  <w:r>
                    <w:rPr>
                      <w:color w:val="000000"/>
                      <w:lang w:eastAsia="en-GB"/>
                    </w:rPr>
                    <w:t xml:space="preserve"> komunalinių atliekų sraute susidarančių pakuočių atliekų (išskyrus stiklinių ir medinių pakuočių atliekas) surinkimo sistemos infrastruktūrą, </w:t>
                  </w:r>
                  <w:r>
                    <w:rPr>
                      <w:color w:val="000000"/>
                      <w:lang w:eastAsia="lt-LT"/>
                    </w:rPr>
                    <w:t>jos įrengimą, priežiūrą, atnaujinimą,</w:t>
                  </w:r>
                  <w:r>
                    <w:rPr>
                      <w:color w:val="000000"/>
                      <w:lang w:eastAsia="en-GB"/>
                    </w:rPr>
                    <w:t xml:space="preserve"> plėtrą</w:t>
                  </w:r>
                  <w:r>
                    <w:rPr>
                      <w:color w:val="000000"/>
                      <w:lang w:eastAsia="lt-LT"/>
                    </w:rPr>
                    <w:t xml:space="preserve">, komunalinių atliekų sraute susidarančių pakuočių atliekų </w:t>
                  </w:r>
                  <w:r>
                    <w:rPr>
                      <w:color w:val="000000"/>
                      <w:lang w:eastAsia="en-GB"/>
                    </w:rPr>
                    <w:t>(išskyrus stiklinių ir medinių pakuočių atliekas)</w:t>
                  </w:r>
                  <w:r>
                    <w:rPr>
                      <w:color w:val="000000"/>
                      <w:lang w:eastAsia="lt-LT"/>
                    </w:rPr>
                    <w:t>, rūšiuojamojo surinkimo būdu surinktų savivaldybių organizuojamose komunalinių atliekų tvarkymo sistemose, paruošimo naudoti, įskaitant pradinį apdorojimą, naudojimo išlaidas</w:t>
                  </w:r>
                  <w:r>
                    <w:rPr>
                      <w:color w:val="000000"/>
                      <w:lang w:eastAsia="en-GB"/>
                    </w:rPr>
                    <w:t>, apskaičiuojama pagal formulę:</w:t>
                  </w:r>
                </w:p>
                <w:p>
                  <w:pPr>
                    <w:suppressAutoHyphens/>
                    <w:spacing w:line="276" w:lineRule="auto"/>
                    <w:ind w:firstLine="709"/>
                    <w:jc w:val="both"/>
                    <w:rPr>
                      <w:color w:val="000000"/>
                      <w:szCs w:val="24"/>
                      <w:lang w:eastAsia="en-GB"/>
                    </w:rPr>
                  </w:pPr>
                </w:p>
                <w:p>
                  <w:pPr>
                    <w:suppressAutoHyphens/>
                    <w:spacing w:line="276" w:lineRule="auto"/>
                    <w:ind w:firstLine="709"/>
                    <w:jc w:val="both"/>
                    <w:rPr>
                      <w:color w:val="000000"/>
                      <w:szCs w:val="24"/>
                      <w:lang w:eastAsia="en-GB"/>
                    </w:rPr>
                  </w:pPr>
                  <w:r>
                    <w:rPr>
                      <w:color w:val="000000"/>
                      <w:szCs w:val="24"/>
                      <w:lang w:eastAsia="en-GB"/>
                    </w:rPr>
                    <w:t>D</w:t>
                  </w:r>
                  <w:r>
                    <w:rPr>
                      <w:color w:val="000000"/>
                      <w:szCs w:val="24"/>
                      <w:vertAlign w:val="subscript"/>
                      <w:lang w:eastAsia="en-GB"/>
                    </w:rPr>
                    <w:t>fop</w:t>
                  </w:r>
                  <w:r>
                    <w:rPr>
                      <w:color w:val="000000"/>
                      <w:szCs w:val="24"/>
                      <w:lang w:eastAsia="en-GB"/>
                    </w:rPr>
                    <w:t xml:space="preserve"> = (Q</w:t>
                  </w:r>
                  <w:r>
                    <w:rPr>
                      <w:color w:val="000000"/>
                      <w:szCs w:val="24"/>
                      <w:vertAlign w:val="subscript"/>
                      <w:lang w:eastAsia="en-GB"/>
                    </w:rPr>
                    <w:t>op</w:t>
                  </w:r>
                  <w:r>
                    <w:rPr>
                      <w:color w:val="000000"/>
                      <w:szCs w:val="24"/>
                      <w:lang w:eastAsia="en-GB"/>
                    </w:rPr>
                    <w:t>/Q</w:t>
                  </w:r>
                  <w:r>
                    <w:rPr>
                      <w:color w:val="000000"/>
                      <w:szCs w:val="24"/>
                      <w:vertAlign w:val="subscript"/>
                      <w:lang w:eastAsia="en-GB"/>
                    </w:rPr>
                    <w:t>bop</w:t>
                  </w:r>
                  <w:r>
                    <w:rPr>
                      <w:color w:val="000000"/>
                      <w:szCs w:val="24"/>
                      <w:lang w:eastAsia="en-GB"/>
                    </w:rPr>
                    <w:t xml:space="preserve">) x100, </w:t>
                  </w:r>
                </w:p>
                <w:p>
                  <w:pPr>
                    <w:suppressAutoHyphens/>
                    <w:spacing w:line="276" w:lineRule="auto"/>
                    <w:ind w:firstLine="709"/>
                    <w:jc w:val="both"/>
                    <w:rPr>
                      <w:color w:val="000000"/>
                      <w:szCs w:val="24"/>
                      <w:lang w:eastAsia="en-GB"/>
                    </w:rPr>
                  </w:pPr>
                </w:p>
                <w:p>
                  <w:pPr>
                    <w:suppressAutoHyphens/>
                    <w:spacing w:line="276" w:lineRule="auto"/>
                    <w:ind w:firstLine="709"/>
                    <w:jc w:val="both"/>
                    <w:rPr>
                      <w:color w:val="000000"/>
                      <w:szCs w:val="24"/>
                      <w:lang w:eastAsia="en-GB"/>
                    </w:rPr>
                  </w:pPr>
                  <w:r>
                    <w:rPr>
                      <w:color w:val="000000"/>
                      <w:szCs w:val="24"/>
                      <w:lang w:eastAsia="en-GB"/>
                    </w:rPr>
                    <w:t>kur:</w:t>
                  </w:r>
                </w:p>
                <w:p>
                  <w:pPr>
                    <w:suppressAutoHyphens/>
                    <w:spacing w:line="276" w:lineRule="auto"/>
                    <w:ind w:firstLine="709"/>
                    <w:jc w:val="both"/>
                    <w:rPr>
                      <w:color w:val="000000"/>
                      <w:lang w:eastAsia="en-GB"/>
                    </w:rPr>
                  </w:pPr>
                  <w:r>
                    <w:rPr>
                      <w:color w:val="000000"/>
                      <w:lang w:eastAsia="en-GB"/>
                    </w:rPr>
                    <w:t>D</w:t>
                  </w:r>
                  <w:r>
                    <w:rPr>
                      <w:color w:val="000000"/>
                      <w:vertAlign w:val="subscript"/>
                      <w:lang w:eastAsia="en-GB"/>
                    </w:rPr>
                    <w:t>fop</w:t>
                  </w:r>
                  <w:r>
                    <w:rPr>
                      <w:color w:val="000000"/>
                      <w:lang w:eastAsia="en-GB"/>
                    </w:rPr>
                    <w:t xml:space="preserve"> – pakuočių atliekų tvarkymo organizavimo licenciją turinčios gamintojų ir (ar) importuotojų organizacijos užimama rinkos dalis, pagal kurią gamintojų ir (ar) importuotojų organizacija finansuoja </w:t>
                  </w:r>
                  <w:r>
                    <w:rPr>
                      <w:color w:val="000000"/>
                      <w:lang w:eastAsia="lt-LT"/>
                    </w:rPr>
                    <w:t>komunalinių atliekų sraute susidarančių pakuočių atliekų</w:t>
                  </w:r>
                  <w:r>
                    <w:rPr>
                      <w:color w:val="000000"/>
                      <w:lang w:eastAsia="en-GB"/>
                    </w:rPr>
                    <w:t xml:space="preserve"> (išskyrus stiklinių ir medinių pakuočių atliekas)</w:t>
                  </w:r>
                  <w:r>
                    <w:rPr>
                      <w:color w:val="000000"/>
                      <w:lang w:eastAsia="lt-LT"/>
                    </w:rPr>
                    <w:t xml:space="preserve"> rūšiuojamojo surinkimo ir vežimo paslaugų teikimo </w:t>
                  </w:r>
                  <w:r>
                    <w:rPr>
                      <w:color w:val="000000"/>
                      <w:lang w:eastAsia="en-GB"/>
                    </w:rPr>
                    <w:t>išlaidas</w:t>
                  </w:r>
                  <w:r>
                    <w:rPr>
                      <w:color w:val="000000"/>
                      <w:lang w:eastAsia="lt-LT"/>
                    </w:rPr>
                    <w:t>,</w:t>
                  </w:r>
                  <w:r>
                    <w:rPr>
                      <w:color w:val="000000"/>
                      <w:lang w:eastAsia="en-GB"/>
                    </w:rPr>
                    <w:t xml:space="preserve"> komunalinių atliekų sraute susidarančių pakuočių atliekų (išskyrus stiklinių ir medinių pakuočių atliekas) surinkimo sistemos infrastruktūrą, </w:t>
                  </w:r>
                  <w:r>
                    <w:rPr>
                      <w:color w:val="000000"/>
                      <w:lang w:eastAsia="lt-LT"/>
                    </w:rPr>
                    <w:t>jos įrengimą, priežiūrą, atnaujinimą,</w:t>
                  </w:r>
                  <w:r>
                    <w:rPr>
                      <w:color w:val="000000"/>
                      <w:lang w:eastAsia="en-GB"/>
                    </w:rPr>
                    <w:t xml:space="preserve"> plėtrą</w:t>
                  </w:r>
                  <w:r>
                    <w:rPr>
                      <w:color w:val="000000"/>
                      <w:lang w:eastAsia="lt-LT"/>
                    </w:rPr>
                    <w:t xml:space="preserve">, komunalinių atliekų sraute susidarančių pakuočių atliekų </w:t>
                  </w:r>
                  <w:r>
                    <w:rPr>
                      <w:color w:val="000000"/>
                      <w:lang w:eastAsia="en-GB"/>
                    </w:rPr>
                    <w:t>(išskyrus stiklinių ir medinių pakuočių atliekas)</w:t>
                  </w:r>
                  <w:r>
                    <w:rPr>
                      <w:color w:val="000000"/>
                      <w:lang w:eastAsia="lt-LT"/>
                    </w:rPr>
                    <w:t>, rūšiuojamojo surinkimo būdu surinktų savivaldybių organizuojamose komunalinių atliekų tvarkymo sistemose, paruošimo naudoti, įskaitant pradinį apdorojimą, naudojimo išlaidas</w:t>
                  </w:r>
                  <w:r>
                    <w:rPr>
                      <w:color w:val="000000"/>
                      <w:lang w:eastAsia="en-GB"/>
                    </w:rPr>
                    <w:t>, procentais (šeši skaitmenys po kablelio);</w:t>
                  </w:r>
                </w:p>
                <w:p>
                  <w:pPr>
                    <w:suppressAutoHyphens/>
                    <w:spacing w:line="276" w:lineRule="auto"/>
                    <w:ind w:firstLine="709"/>
                    <w:jc w:val="both"/>
                    <w:rPr>
                      <w:color w:val="000000"/>
                      <w:lang w:eastAsia="en-GB"/>
                    </w:rPr>
                  </w:pPr>
                  <w:r>
                    <w:rPr>
                      <w:color w:val="000000"/>
                      <w:lang w:eastAsia="en-GB"/>
                    </w:rPr>
                    <w:t>Q</w:t>
                  </w:r>
                  <w:r>
                    <w:rPr>
                      <w:color w:val="000000"/>
                      <w:vertAlign w:val="subscript"/>
                      <w:lang w:eastAsia="en-GB"/>
                    </w:rPr>
                    <w:t>op</w:t>
                  </w:r>
                  <w:r>
                    <w:rPr>
                      <w:color w:val="000000"/>
                      <w:lang w:eastAsia="en-GB"/>
                    </w:rPr>
                    <w:t xml:space="preserve"> – pakuočių atliekų tvarkymo organizavimo licenciją turinčiai gamintojų ir (ar) importuotojų organizacijai Pakuočių ir pakuočių atliekų tvarkymo įstatyme nustatytų pareigų vykdymą einamaisiais metais pavedusių gamintojų ir (ar) importuotojų praėjusiais kalendoriniais metais Lietuvos Respublikos vidaus rinkai patiektas pripildytų vienkartinių pakuočių, neįskaitant vienkartinių stiklinių ir medinių pakuočių, kiekis, tonomis (trys skaitmenys po kablelio), GPAIS nurodytas gamintojų ir (ar) importuotojų pateiktose pakuočių apskaitos ataskaitose ir (ar) ketvirčių apskaitos suvestinėse, ir (ar) patvirtintuose duomenyse mokesčiui už aplinkos teršimą pakuočių atliekomis apskaičiuoti;</w:t>
                  </w:r>
                </w:p>
                <w:p>
                  <w:pPr>
                    <w:suppressAutoHyphens/>
                    <w:spacing w:line="276" w:lineRule="auto"/>
                    <w:ind w:firstLine="709"/>
                    <w:jc w:val="both"/>
                  </w:pPr>
                  <w:r>
                    <w:rPr>
                      <w:color w:val="000000"/>
                      <w:lang w:eastAsia="en-GB"/>
                    </w:rPr>
                    <w:t>Q</w:t>
                  </w:r>
                  <w:r>
                    <w:rPr>
                      <w:color w:val="000000"/>
                      <w:vertAlign w:val="subscript"/>
                      <w:lang w:eastAsia="en-GB"/>
                    </w:rPr>
                    <w:t>bop</w:t>
                  </w:r>
                  <w:r>
                    <w:rPr>
                      <w:color w:val="000000"/>
                      <w:lang w:eastAsia="en-GB"/>
                    </w:rPr>
                    <w:t xml:space="preserve"> – bendras visų gamintojų ir (ar) importuotojų, Pakuočių ir pakuočių atliekų tvarkymo įstatyme nustatytų pareigų vykdymą pavedusių pakuočių atliekų tvarkymo organizavimo licencijas turinčioms gamintojų ir (ar) importuotojų organizacijoms, praėjusiais kalendoriniais metais Lietuvos Respublikos vidaus rinkai patiektas pripildytų vienkartinių pakuočių, neįskaitant vienkartinių stiklinių ir medinių pakuočių, kiekis, tonomis (trys skaitmenys po kablelio), GPAIS nurodytas gamintojų ir (ar) importuotojų pateiktose pakuočių apskaitos ataskaitose ir (ar) ketvirčių apskaitos suvestinėse, ir (ar) patvirtintuose duomenyse mokesčiui už aplinkos teršimą pakuočių atliekomis apskaičiuoti.</w:t>
                  </w:r>
                  <w:r>
                    <w:t xml:space="preserve"> </w:t>
                  </w:r>
                </w:p>
              </w:sdtContent>
            </w:sdt>
            <w:sdt>
              <w:sdtPr>
                <w:alias w:val="9 p."/>
                <w:tag w:val="part_173bdaca4d3648b9b15fbc3d1331d477"/>
                <w:lock w:val="sdtLocked"/>
                <w:richText/>
              </w:sdtPr>
              <w:sdtContent>
                <w:p>
                  <w:pPr>
                    <w:suppressAutoHyphens/>
                    <w:spacing w:line="276" w:lineRule="auto"/>
                    <w:ind w:firstLine="709"/>
                    <w:jc w:val="both"/>
                    <w:rPr>
                      <w:color w:val="000000"/>
                      <w:lang w:eastAsia="en-GB"/>
                    </w:rPr>
                  </w:pPr>
                  <w:sdt>
                    <w:sdtPr>
                      <w:alias w:val="Numeris"/>
                      <w:tag w:val="nr_173bdaca4d3648b9b15fbc3d1331d477"/>
                      <w:lock w:val="sdtLocked"/>
                      <w:richText/>
                    </w:sdtPr>
                    <w:sdtContent>
                      <w:r>
                        <w:rPr>
                          <w:lang w:eastAsia="en-GB"/>
                        </w:rPr>
                        <w:t>9</w:t>
                      </w:r>
                    </w:sdtContent>
                  </w:sdt>
                  <w:r>
                    <w:rPr>
                      <w:lang w:eastAsia="en-GB"/>
                    </w:rPr>
                    <w:t xml:space="preserve">. </w:t>
                  </w:r>
                  <w:r>
                    <w:rPr>
                      <w:color w:val="000000"/>
                      <w:lang w:eastAsia="en-GB"/>
                    </w:rPr>
                    <w:t xml:space="preserve">Pakuočių atliekų tvarkymo organizavimo licenciją turinčios gamintojų ir (ar) importuotojų organizacijos rinkos dalis, pagal kurią gamintojų ir (ar) importuotojų organizacija finansuoja </w:t>
                  </w:r>
                  <w:r>
                    <w:rPr>
                      <w:color w:val="000000"/>
                      <w:lang w:eastAsia="lt-LT"/>
                    </w:rPr>
                    <w:t xml:space="preserve">komunalinių atliekų sraute susidarančių </w:t>
                  </w:r>
                  <w:r>
                    <w:rPr>
                      <w:color w:val="000000"/>
                      <w:lang w:eastAsia="en-GB"/>
                    </w:rPr>
                    <w:t>stiklinių</w:t>
                  </w:r>
                  <w:r>
                    <w:rPr>
                      <w:color w:val="000000"/>
                      <w:lang w:eastAsia="lt-LT"/>
                    </w:rPr>
                    <w:t xml:space="preserve"> pakuočių atliekų</w:t>
                  </w:r>
                  <w:r>
                    <w:rPr>
                      <w:color w:val="000000"/>
                      <w:lang w:eastAsia="en-GB"/>
                    </w:rPr>
                    <w:t xml:space="preserve"> </w:t>
                  </w:r>
                  <w:r>
                    <w:rPr>
                      <w:color w:val="000000"/>
                      <w:lang w:eastAsia="lt-LT"/>
                    </w:rPr>
                    <w:t xml:space="preserve">rūšiuojamojo surinkimo ir vežimo paslaugų teikimo išlaidas, komunalinių atliekų sraute susidarančių </w:t>
                  </w:r>
                  <w:r>
                    <w:rPr>
                      <w:color w:val="000000"/>
                      <w:lang w:eastAsia="en-GB"/>
                    </w:rPr>
                    <w:t>stiklinių</w:t>
                  </w:r>
                  <w:r>
                    <w:rPr>
                      <w:color w:val="000000"/>
                      <w:lang w:eastAsia="lt-LT"/>
                    </w:rPr>
                    <w:t xml:space="preserve"> pakuočių atliekų, rūšiuojamojo surinkimo būdu surinktų savivaldybių organizuojamose komunalinių atliekų tvarkymo sistemose, paruošimo naudoti, įskaitant pradinį apdorojimą, naudojimo </w:t>
                  </w:r>
                  <w:r>
                    <w:rPr>
                      <w:color w:val="000000"/>
                      <w:lang w:eastAsia="en-GB"/>
                    </w:rPr>
                    <w:t xml:space="preserve">išlaidas ir komunalinių atliekų sraute susidarančių stiklinių pakuočių atliekų surinkimo sistemos infrastruktūrą, </w:t>
                  </w:r>
                  <w:r>
                    <w:rPr>
                      <w:color w:val="000000"/>
                      <w:lang w:eastAsia="lt-LT"/>
                    </w:rPr>
                    <w:t>jos įrengimą, priežiūrą, atnaujinimą,</w:t>
                  </w:r>
                  <w:r>
                    <w:rPr>
                      <w:color w:val="000000"/>
                      <w:lang w:eastAsia="en-GB"/>
                    </w:rPr>
                    <w:t xml:space="preserve"> plėtrą, apskaičiuojama pagal formulę:</w:t>
                  </w:r>
                </w:p>
                <w:p>
                  <w:pPr>
                    <w:suppressAutoHyphens/>
                    <w:spacing w:line="276" w:lineRule="auto"/>
                    <w:ind w:firstLine="709"/>
                    <w:jc w:val="both"/>
                    <w:textAlignment w:val="baseline"/>
                    <w:rPr>
                      <w:bCs/>
                      <w:szCs w:val="24"/>
                      <w:lang w:eastAsia="en-GB"/>
                    </w:rPr>
                  </w:pPr>
                </w:p>
                <w:p>
                  <w:pPr>
                    <w:suppressAutoHyphens/>
                    <w:spacing w:line="276" w:lineRule="auto"/>
                    <w:ind w:firstLine="709"/>
                    <w:jc w:val="both"/>
                    <w:rPr>
                      <w:color w:val="000000"/>
                      <w:szCs w:val="24"/>
                      <w:lang w:eastAsia="en-GB"/>
                    </w:rPr>
                  </w:pPr>
                  <w:r>
                    <w:rPr>
                      <w:color w:val="000000"/>
                      <w:szCs w:val="24"/>
                      <w:lang w:eastAsia="en-GB"/>
                    </w:rPr>
                    <w:t>D</w:t>
                  </w:r>
                  <w:r>
                    <w:rPr>
                      <w:color w:val="000000"/>
                      <w:szCs w:val="24"/>
                      <w:vertAlign w:val="subscript"/>
                      <w:lang w:eastAsia="en-GB"/>
                    </w:rPr>
                    <w:t>fops</w:t>
                  </w:r>
                  <w:r>
                    <w:rPr>
                      <w:color w:val="000000"/>
                      <w:szCs w:val="24"/>
                      <w:lang w:eastAsia="en-GB"/>
                    </w:rPr>
                    <w:t xml:space="preserve"> = (Q</w:t>
                  </w:r>
                  <w:r>
                    <w:rPr>
                      <w:color w:val="000000"/>
                      <w:szCs w:val="24"/>
                      <w:vertAlign w:val="subscript"/>
                      <w:lang w:eastAsia="en-GB"/>
                    </w:rPr>
                    <w:t>ops</w:t>
                  </w:r>
                  <w:r>
                    <w:rPr>
                      <w:color w:val="000000"/>
                      <w:szCs w:val="24"/>
                      <w:lang w:eastAsia="en-GB"/>
                    </w:rPr>
                    <w:t>/Q</w:t>
                  </w:r>
                  <w:r>
                    <w:rPr>
                      <w:color w:val="000000"/>
                      <w:szCs w:val="24"/>
                      <w:vertAlign w:val="subscript"/>
                      <w:lang w:eastAsia="en-GB"/>
                    </w:rPr>
                    <w:t>bops</w:t>
                  </w:r>
                  <w:r>
                    <w:rPr>
                      <w:color w:val="000000"/>
                      <w:szCs w:val="24"/>
                      <w:lang w:eastAsia="en-GB"/>
                    </w:rPr>
                    <w:t xml:space="preserve">) x100, </w:t>
                  </w:r>
                </w:p>
                <w:p>
                  <w:pPr>
                    <w:suppressAutoHyphens/>
                    <w:spacing w:line="276" w:lineRule="auto"/>
                    <w:ind w:firstLine="709"/>
                    <w:jc w:val="both"/>
                    <w:rPr>
                      <w:color w:val="000000"/>
                      <w:szCs w:val="24"/>
                      <w:lang w:eastAsia="en-GB"/>
                    </w:rPr>
                  </w:pPr>
                </w:p>
                <w:p>
                  <w:pPr>
                    <w:suppressAutoHyphens/>
                    <w:spacing w:line="276" w:lineRule="auto"/>
                    <w:ind w:firstLine="709"/>
                    <w:jc w:val="both"/>
                    <w:rPr>
                      <w:color w:val="000000"/>
                      <w:szCs w:val="24"/>
                      <w:lang w:eastAsia="en-GB"/>
                    </w:rPr>
                  </w:pPr>
                  <w:r>
                    <w:rPr>
                      <w:color w:val="000000"/>
                      <w:szCs w:val="24"/>
                      <w:lang w:eastAsia="en-GB"/>
                    </w:rPr>
                    <w:t>kur:</w:t>
                  </w:r>
                </w:p>
                <w:p>
                  <w:pPr>
                    <w:suppressAutoHyphens/>
                    <w:spacing w:line="276" w:lineRule="auto"/>
                    <w:ind w:firstLine="709"/>
                    <w:jc w:val="both"/>
                    <w:textAlignment w:val="baseline"/>
                    <w:rPr>
                      <w:color w:val="000000"/>
                      <w:lang w:eastAsia="en-GB"/>
                    </w:rPr>
                  </w:pPr>
                  <w:r>
                    <w:rPr>
                      <w:color w:val="000000"/>
                      <w:lang w:eastAsia="en-GB"/>
                    </w:rPr>
                    <w:t>D</w:t>
                  </w:r>
                  <w:r>
                    <w:rPr>
                      <w:color w:val="000000"/>
                      <w:vertAlign w:val="subscript"/>
                      <w:lang w:eastAsia="en-GB"/>
                    </w:rPr>
                    <w:t>fops</w:t>
                  </w:r>
                  <w:r>
                    <w:rPr>
                      <w:color w:val="000000"/>
                      <w:lang w:eastAsia="en-GB"/>
                    </w:rPr>
                    <w:t xml:space="preserve"> – pakuočių atliekų tvarkymo organizavimo licenciją turinčios gamintojų ir (ar) importuotojų organizacijos užimama rinkos dalis, pagal kurią gamintojų ir (ar) importuotojų organizacija finansuoja </w:t>
                  </w:r>
                  <w:r>
                    <w:rPr>
                      <w:color w:val="000000"/>
                      <w:lang w:eastAsia="lt-LT"/>
                    </w:rPr>
                    <w:t xml:space="preserve">komunalinių atliekų sraute susidarančių </w:t>
                  </w:r>
                  <w:r>
                    <w:rPr>
                      <w:color w:val="000000"/>
                      <w:lang w:eastAsia="en-GB"/>
                    </w:rPr>
                    <w:t>stiklinių</w:t>
                  </w:r>
                  <w:r>
                    <w:rPr>
                      <w:color w:val="000000"/>
                      <w:lang w:eastAsia="lt-LT"/>
                    </w:rPr>
                    <w:t xml:space="preserve"> pakuočių atliekų</w:t>
                  </w:r>
                  <w:r>
                    <w:rPr>
                      <w:color w:val="000000"/>
                      <w:lang w:eastAsia="en-GB"/>
                    </w:rPr>
                    <w:t xml:space="preserve"> </w:t>
                  </w:r>
                  <w:r>
                    <w:rPr>
                      <w:color w:val="000000"/>
                      <w:lang w:eastAsia="lt-LT"/>
                    </w:rPr>
                    <w:t xml:space="preserve">rūšiuojamojo surinkimo ir vežimo paslaugų teikimo </w:t>
                  </w:r>
                  <w:r>
                    <w:rPr>
                      <w:color w:val="000000"/>
                      <w:lang w:eastAsia="en-GB"/>
                    </w:rPr>
                    <w:t xml:space="preserve">išlaidas ir komunalinių atliekų sraute susidarančių stiklinių pakuočių atliekų surinkimo sistemos infrastruktūrą, </w:t>
                  </w:r>
                  <w:r>
                    <w:rPr>
                      <w:color w:val="000000"/>
                      <w:lang w:eastAsia="lt-LT"/>
                    </w:rPr>
                    <w:t>jos įrengimą, priežiūrą, atnaujinimą,</w:t>
                  </w:r>
                  <w:r>
                    <w:rPr>
                      <w:color w:val="000000"/>
                      <w:lang w:eastAsia="en-GB"/>
                    </w:rPr>
                    <w:t xml:space="preserve"> plėtrą, </w:t>
                  </w:r>
                  <w:r>
                    <w:rPr>
                      <w:color w:val="000000"/>
                      <w:lang w:eastAsia="lt-LT"/>
                    </w:rPr>
                    <w:t xml:space="preserve">komunalinių atliekų sraute susidarančių </w:t>
                  </w:r>
                  <w:r>
                    <w:rPr>
                      <w:color w:val="000000"/>
                      <w:lang w:eastAsia="en-GB"/>
                    </w:rPr>
                    <w:t>stiklinių</w:t>
                  </w:r>
                  <w:r>
                    <w:rPr>
                      <w:color w:val="000000"/>
                      <w:lang w:eastAsia="lt-LT"/>
                    </w:rPr>
                    <w:t xml:space="preserve"> pakuočių atliekų, rūšiuojamojo surinkimo būdu surinktų savivaldybių organizuojamose komunalinių atliekų tvarkymo sistemose, paruošimo naudoti, įskaitant pradinį apdorojimą, naudojimo išlaidas</w:t>
                  </w:r>
                  <w:r>
                    <w:rPr>
                      <w:color w:val="000000"/>
                      <w:lang w:eastAsia="en-GB"/>
                    </w:rPr>
                    <w:t>, procentais (šeši skaitmenys po kablelio);</w:t>
                  </w:r>
                </w:p>
                <w:p>
                  <w:pPr>
                    <w:suppressAutoHyphens/>
                    <w:spacing w:line="276" w:lineRule="auto"/>
                    <w:ind w:firstLine="709"/>
                    <w:jc w:val="both"/>
                    <w:rPr>
                      <w:color w:val="000000"/>
                      <w:lang w:eastAsia="en-GB"/>
                    </w:rPr>
                  </w:pPr>
                  <w:r>
                    <w:rPr>
                      <w:color w:val="000000"/>
                      <w:lang w:eastAsia="en-GB"/>
                    </w:rPr>
                    <w:t>Q</w:t>
                  </w:r>
                  <w:r>
                    <w:rPr>
                      <w:color w:val="000000"/>
                      <w:vertAlign w:val="subscript"/>
                      <w:lang w:eastAsia="en-GB"/>
                    </w:rPr>
                    <w:t>ops</w:t>
                  </w:r>
                  <w:r>
                    <w:rPr>
                      <w:color w:val="000000"/>
                      <w:lang w:eastAsia="en-GB"/>
                    </w:rPr>
                    <w:t xml:space="preserve"> – pakuočių atliekų tvarkymo organizavimo licenciją turinčiai gamintojų ir (ar) importuotojų organizacijai Pakuočių ir pakuočių atliekų tvarkymo įstatyme nustatytų pareigų vykdymą einamaisiais metais pavedusių gamintojų ir (ar) importuotojų praėjusiais kalendoriniais metais Lietuvos Respublikos vidaus rinkai patiektas pripildytų vienkartinių stiklinių pakuočių kiekis, tonomis (trys skaitmenys po kablelio), GPAIS nurodytas gamintojų ir (ar) importuotojų pateiktose pakuočių apskaitos ataskaitose ir (ar) ketvirčių apskaitos suvestinėse, ir (ar) patvirtintuose duomenyse mokesčiui už aplinkos teršimą pakuočių atliekomis apskaičiuoti;</w:t>
                  </w:r>
                </w:p>
                <w:p>
                  <w:pPr>
                    <w:suppressAutoHyphens/>
                    <w:spacing w:line="276" w:lineRule="auto"/>
                    <w:ind w:firstLine="709"/>
                    <w:jc w:val="both"/>
                  </w:pPr>
                  <w:r>
                    <w:rPr>
                      <w:color w:val="000000"/>
                      <w:lang w:eastAsia="en-GB"/>
                    </w:rPr>
                    <w:t>Q</w:t>
                  </w:r>
                  <w:r>
                    <w:rPr>
                      <w:color w:val="000000"/>
                      <w:vertAlign w:val="subscript"/>
                      <w:lang w:eastAsia="en-GB"/>
                    </w:rPr>
                    <w:t>bops</w:t>
                  </w:r>
                  <w:r>
                    <w:rPr>
                      <w:color w:val="000000"/>
                      <w:lang w:eastAsia="en-GB"/>
                    </w:rPr>
                    <w:t xml:space="preserve"> – bendras visų gamintojų ir (ar) importuotojų, Pakuočių ir pakuočių atliekų tvarkymo įstatyme nustatytų pareigų vykdymą einamaisiais metais pavedusių pakuočių atliekų tvarkymo organizavimo licencijas turinčioms gamintojų ir (ar) importuotojų organizacijoms, praėjusiais kalendoriniais metais Lietuvos Respublikos vidaus rinkai patiektas pripildytų vienkartinių stiklinių pakuočių kiekis, tonomis (trys skaitmenys po kablelio), GPAIS nurodytas gamintojų ir (ar) importuotojų pateiktose pakuočių apskaitos ataskaitose ir (ar) ketvirčių apskaitos suvestinėse, ir (ar) patvirtintuose duomenyse mokesčiui už aplinkos teršimą pakuočių atliekomis apskaičiuoti.</w:t>
                  </w:r>
                  <w:r>
                    <w:t xml:space="preserve"> </w:t>
                  </w:r>
                </w:p>
              </w:sdtContent>
            </w:sdt>
            <w:sdt>
              <w:sdtPr>
                <w:alias w:val="10 p."/>
                <w:tag w:val="part_aeab46568280487da656e804c2ae8423"/>
                <w:lock w:val="sdtLocked"/>
                <w:richText/>
              </w:sdtPr>
              <w:sdtContent>
                <w:p>
                  <w:pPr>
                    <w:suppressAutoHyphens/>
                    <w:spacing w:line="276" w:lineRule="auto"/>
                    <w:ind w:firstLine="709"/>
                    <w:jc w:val="both"/>
                    <w:rPr>
                      <w:color w:val="000000"/>
                      <w:lang w:eastAsia="en-GB"/>
                    </w:rPr>
                  </w:pPr>
                  <w:sdt>
                    <w:sdtPr>
                      <w:alias w:val="Numeris"/>
                      <w:tag w:val="nr_aeab46568280487da656e804c2ae8423"/>
                      <w:lock w:val="sdtLocked"/>
                      <w:richText/>
                    </w:sdtPr>
                    <w:sdtContent>
                      <w:r>
                        <w:rPr>
                          <w:lang w:eastAsia="lt-LT"/>
                        </w:rPr>
                        <w:t>10</w:t>
                      </w:r>
                    </w:sdtContent>
                  </w:sdt>
                  <w:r>
                    <w:rPr>
                      <w:color w:val="000000"/>
                      <w:lang w:eastAsia="en-GB"/>
                    </w:rPr>
                    <w:t xml:space="preserve">. Pakuočių atliekų tvarkymo organizavimo licenciją turinčios gamintojų ir (ar) importuotojų organizacijos rinkos dalis, pagal kurią gamintojų ir (ar) importuotojų organizacija finansuoja </w:t>
                  </w:r>
                  <w:r>
                    <w:rPr>
                      <w:color w:val="000000"/>
                      <w:lang w:eastAsia="lt-LT"/>
                    </w:rPr>
                    <w:t>komunalinių atliekų sraute susidarančių pakuočių atliekų</w:t>
                  </w:r>
                  <w:r>
                    <w:rPr>
                      <w:color w:val="000000"/>
                      <w:lang w:eastAsia="en-GB"/>
                    </w:rPr>
                    <w:t xml:space="preserve"> </w:t>
                  </w:r>
                  <w:r>
                    <w:rPr>
                      <w:color w:val="000000"/>
                      <w:lang w:eastAsia="lt-LT"/>
                    </w:rPr>
                    <w:t xml:space="preserve">rūšiuojamojo surinkimo ir vežimo paslaugų teikimo ir </w:t>
                  </w:r>
                  <w:r>
                    <w:rPr>
                      <w:color w:val="000000"/>
                      <w:lang w:eastAsia="en-GB"/>
                    </w:rPr>
                    <w:t>komunalinių atliekų sraute susidarančių pakuočių atliekų surinkimo sistemos infrastruktūros</w:t>
                  </w:r>
                  <w:r>
                    <w:rPr>
                      <w:color w:val="000000"/>
                      <w:lang w:eastAsia="lt-LT"/>
                    </w:rPr>
                    <w:t xml:space="preserve"> įrengimo, priežiūros, atnaujinimo,</w:t>
                  </w:r>
                  <w:r>
                    <w:rPr>
                      <w:color w:val="000000"/>
                      <w:lang w:eastAsia="en-GB"/>
                    </w:rPr>
                    <w:t xml:space="preserve"> plėtros </w:t>
                  </w:r>
                  <w:r>
                    <w:rPr>
                      <w:color w:val="000000"/>
                      <w:lang w:eastAsia="lt-LT"/>
                    </w:rPr>
                    <w:t>administravimo išlaidas, komunalinių atliekų sraute susidarančių pakuočių atliekų</w:t>
                  </w:r>
                  <w:r>
                    <w:rPr>
                      <w:color w:val="000000"/>
                      <w:lang w:eastAsia="en-GB"/>
                    </w:rPr>
                    <w:t xml:space="preserve"> (išskyrus medinių pakuočių atliekas) </w:t>
                  </w:r>
                  <w:r>
                    <w:rPr>
                      <w:color w:val="000000"/>
                      <w:lang w:eastAsia="lt-LT"/>
                    </w:rPr>
                    <w:t>rūšiuojamojo surinkimo ir vežimo paslaugų teikimo išlaidų finansavimo pastoviąją dalį, jei tokia dalis numatyta pakuočių atliekų tvarkymo organizavimo sutartyse, sudarytose iki 2021 m. gruodžio 31 d. (tokiu atveju rinkos dalis, pagal kurią pakuočių atliekų tvarkymo licenciją turinti gamintojų ir (ar) importuotojų organizacija finansuoja rūšiuojamojo surinkimo ir vežimo paslaugų teikimo išlaidų finansavimo kintamąją dalį, apskaičiuojama pagal Tvarkos aprašo 8 ir  9 punktuose nurodytas formules)</w:t>
                  </w:r>
                  <w:r>
                    <w:rPr>
                      <w:color w:val="000000"/>
                      <w:lang w:eastAsia="en-GB"/>
                    </w:rPr>
                    <w:t>, apskaičiuojama pagal formulę:</w:t>
                  </w:r>
                </w:p>
                <w:p>
                  <w:pPr>
                    <w:suppressAutoHyphens/>
                    <w:spacing w:line="276" w:lineRule="auto"/>
                    <w:ind w:firstLine="709"/>
                    <w:jc w:val="both"/>
                    <w:textAlignment w:val="baseline"/>
                    <w:rPr>
                      <w:bCs/>
                      <w:szCs w:val="24"/>
                      <w:lang w:eastAsia="en-GB"/>
                    </w:rPr>
                  </w:pPr>
                </w:p>
                <w:p>
                  <w:pPr>
                    <w:suppressAutoHyphens/>
                    <w:spacing w:line="276" w:lineRule="auto"/>
                    <w:ind w:firstLine="709"/>
                    <w:jc w:val="both"/>
                    <w:textAlignment w:val="baseline"/>
                    <w:rPr>
                      <w:bCs/>
                      <w:color w:val="000000"/>
                      <w:szCs w:val="24"/>
                      <w:lang w:eastAsia="en-GB"/>
                    </w:rPr>
                  </w:pPr>
                  <w:r>
                    <w:rPr>
                      <w:color w:val="000000"/>
                      <w:szCs w:val="24"/>
                      <w:lang w:eastAsia="en-GB"/>
                    </w:rPr>
                    <w:t>D</w:t>
                  </w:r>
                  <w:r>
                    <w:rPr>
                      <w:color w:val="000000"/>
                      <w:szCs w:val="24"/>
                      <w:vertAlign w:val="subscript"/>
                      <w:lang w:eastAsia="en-GB"/>
                    </w:rPr>
                    <w:t>fpa</w:t>
                  </w:r>
                  <w:r>
                    <w:rPr>
                      <w:color w:val="000000"/>
                      <w:szCs w:val="24"/>
                      <w:lang w:eastAsia="en-GB"/>
                    </w:rPr>
                    <w:t xml:space="preserve"> = (Q</w:t>
                  </w:r>
                  <w:r>
                    <w:rPr>
                      <w:color w:val="000000"/>
                      <w:szCs w:val="24"/>
                      <w:vertAlign w:val="subscript"/>
                      <w:lang w:eastAsia="en-GB"/>
                    </w:rPr>
                    <w:t>opm</w:t>
                  </w:r>
                  <w:r>
                    <w:rPr>
                      <w:color w:val="000000"/>
                      <w:szCs w:val="24"/>
                      <w:lang w:eastAsia="en-GB"/>
                    </w:rPr>
                    <w:t>/Q</w:t>
                  </w:r>
                  <w:r>
                    <w:rPr>
                      <w:color w:val="000000"/>
                      <w:szCs w:val="24"/>
                      <w:vertAlign w:val="subscript"/>
                      <w:lang w:eastAsia="en-GB"/>
                    </w:rPr>
                    <w:t>bopm</w:t>
                  </w:r>
                  <w:r>
                    <w:rPr>
                      <w:color w:val="000000"/>
                      <w:szCs w:val="24"/>
                      <w:lang w:eastAsia="en-GB"/>
                    </w:rPr>
                    <w:t xml:space="preserve">) x100, </w:t>
                  </w:r>
                </w:p>
                <w:p>
                  <w:pPr>
                    <w:suppressAutoHyphens/>
                    <w:spacing w:line="276" w:lineRule="auto"/>
                    <w:ind w:firstLine="709"/>
                    <w:jc w:val="both"/>
                    <w:textAlignment w:val="baseline"/>
                    <w:rPr>
                      <w:szCs w:val="24"/>
                      <w:lang w:eastAsia="en-GB"/>
                    </w:rPr>
                  </w:pPr>
                </w:p>
                <w:p>
                  <w:pPr>
                    <w:suppressAutoHyphens/>
                    <w:spacing w:line="276" w:lineRule="auto"/>
                    <w:ind w:firstLine="709"/>
                    <w:jc w:val="both"/>
                    <w:textAlignment w:val="baseline"/>
                    <w:rPr>
                      <w:szCs w:val="24"/>
                      <w:lang w:eastAsia="en-GB"/>
                    </w:rPr>
                  </w:pPr>
                  <w:r>
                    <w:rPr>
                      <w:szCs w:val="24"/>
                      <w:lang w:eastAsia="en-GB"/>
                    </w:rPr>
                    <w:t>kur:</w:t>
                  </w:r>
                </w:p>
                <w:p>
                  <w:pPr>
                    <w:suppressAutoHyphens/>
                    <w:spacing w:line="276" w:lineRule="auto"/>
                    <w:ind w:firstLine="709"/>
                    <w:jc w:val="both"/>
                    <w:textAlignment w:val="baseline"/>
                    <w:rPr>
                      <w:color w:val="000000"/>
                      <w:lang w:eastAsia="en-GB"/>
                    </w:rPr>
                  </w:pPr>
                  <w:r>
                    <w:rPr>
                      <w:color w:val="000000"/>
                      <w:lang w:eastAsia="en-GB"/>
                    </w:rPr>
                    <w:t>D</w:t>
                  </w:r>
                  <w:r>
                    <w:rPr>
                      <w:color w:val="000000"/>
                      <w:vertAlign w:val="subscript"/>
                      <w:lang w:eastAsia="en-GB"/>
                    </w:rPr>
                    <w:t>fpa</w:t>
                  </w:r>
                  <w:r>
                    <w:rPr>
                      <w:color w:val="000000"/>
                      <w:lang w:eastAsia="en-GB"/>
                    </w:rPr>
                    <w:t xml:space="preserve"> – pakuočių atliekų tvarkymo organizavimo licenciją turinčios gamintojų ir (ar) importuotojų organizacijos užimama rinkos dalis, pagal kurią gamintojų ir (ar) importuotojų organizacija finansuoja </w:t>
                  </w:r>
                  <w:r>
                    <w:rPr>
                      <w:color w:val="000000"/>
                      <w:lang w:eastAsia="lt-LT"/>
                    </w:rPr>
                    <w:t>komunalinių atliekų sraute susidarančių pakuočių atliekų</w:t>
                  </w:r>
                  <w:r>
                    <w:rPr>
                      <w:color w:val="000000"/>
                      <w:lang w:eastAsia="en-GB"/>
                    </w:rPr>
                    <w:t xml:space="preserve"> </w:t>
                  </w:r>
                  <w:r>
                    <w:rPr>
                      <w:color w:val="000000"/>
                      <w:lang w:eastAsia="lt-LT"/>
                    </w:rPr>
                    <w:t xml:space="preserve">rūšiuojamojo surinkimo ir vežimo paslaugų teikimo ir </w:t>
                  </w:r>
                  <w:r>
                    <w:rPr>
                      <w:color w:val="000000"/>
                      <w:lang w:eastAsia="en-GB"/>
                    </w:rPr>
                    <w:t>komunalinių atliekų sraute susidarančių pakuočių atliekų surinkimo sistemos infrastruktūros</w:t>
                  </w:r>
                  <w:r>
                    <w:rPr>
                      <w:color w:val="000000"/>
                      <w:lang w:eastAsia="lt-LT"/>
                    </w:rPr>
                    <w:t xml:space="preserve"> įrengimo, priežiūros, atnaujinimo,</w:t>
                  </w:r>
                  <w:r>
                    <w:rPr>
                      <w:color w:val="000000"/>
                      <w:lang w:eastAsia="en-GB"/>
                    </w:rPr>
                    <w:t xml:space="preserve"> plėtros </w:t>
                  </w:r>
                  <w:r>
                    <w:rPr>
                      <w:color w:val="000000"/>
                      <w:lang w:eastAsia="lt-LT"/>
                    </w:rPr>
                    <w:t>administravimo išlaidas, komunalinių atliekų sraute susidarančių pakuočių atliekų</w:t>
                  </w:r>
                  <w:r>
                    <w:rPr>
                      <w:color w:val="000000"/>
                      <w:lang w:eastAsia="en-GB"/>
                    </w:rPr>
                    <w:t xml:space="preserve"> (išskyrus medinių pakuočių atliekas) </w:t>
                  </w:r>
                  <w:r>
                    <w:rPr>
                      <w:color w:val="000000"/>
                      <w:lang w:eastAsia="lt-LT"/>
                    </w:rPr>
                    <w:t>rūšiuojamojo surinkimo ir vežimo paslaugų teikimo išlaidų finansavimo pastoviąją dalį, jei tokia dalis numatyta pakuočių atliekų tvarkymo organizavimo sutartyse, sudarytose iki 2021 m. gruodžio 31 d.</w:t>
                  </w:r>
                  <w:r>
                    <w:rPr>
                      <w:color w:val="000000"/>
                      <w:lang w:eastAsia="en-GB"/>
                    </w:rPr>
                    <w:t>, procentais (šeši skaitmenys po kablelio);</w:t>
                  </w:r>
                </w:p>
                <w:p>
                  <w:pPr>
                    <w:suppressAutoHyphens/>
                    <w:spacing w:line="276" w:lineRule="auto"/>
                    <w:ind w:firstLine="709"/>
                    <w:jc w:val="both"/>
                    <w:rPr>
                      <w:color w:val="000000"/>
                      <w:lang w:eastAsia="en-GB"/>
                    </w:rPr>
                  </w:pPr>
                  <w:r>
                    <w:rPr>
                      <w:color w:val="000000"/>
                      <w:lang w:eastAsia="en-GB"/>
                    </w:rPr>
                    <w:t>Q</w:t>
                  </w:r>
                  <w:r>
                    <w:rPr>
                      <w:color w:val="000000"/>
                      <w:vertAlign w:val="subscript"/>
                      <w:lang w:eastAsia="en-GB"/>
                    </w:rPr>
                    <w:t>opm</w:t>
                  </w:r>
                  <w:r>
                    <w:rPr>
                      <w:color w:val="000000"/>
                      <w:lang w:eastAsia="en-GB"/>
                    </w:rPr>
                    <w:t xml:space="preserve"> – pakuočių atliekų tvarkymo organizavimo licenciją turinčiai gamintojų ir importuotojų organizacijai Pakuočių ir pakuočių atliekų tvarkymo įstatyme nustatytų pareigų vykdymą einamaisiais metais pavedusių gamintojų ir (ar) importuotojų praėjusiais kalendoriniais metais Lietuvos Respublikos vidaus rinkai patiektas pripildytų vienkartinių pakuočių, neįskaitant vienkartinių medinių pakuočių, kiekis, tonomis (trys skaitmenys po kablelio), GPAIS nurodytas gamintojų ir (ar) importuotojų pateiktose pakuočių apskaitos ataskaitose ir (ar) ketvirčių apskaitos suvestinėse, ir (ar) patvirtintuose duomenyse mokesčiui už aplinkos teršimą pakuočių atliekomis apskaičiuoti;</w:t>
                  </w:r>
                </w:p>
                <w:p>
                  <w:pPr>
                    <w:suppressAutoHyphens/>
                    <w:spacing w:line="276" w:lineRule="auto"/>
                    <w:ind w:firstLine="709"/>
                    <w:jc w:val="both"/>
                    <w:rPr>
                      <w:color w:val="000000"/>
                    </w:rPr>
                  </w:pPr>
                  <w:r>
                    <w:rPr>
                      <w:color w:val="000000"/>
                      <w:lang w:eastAsia="en-GB"/>
                    </w:rPr>
                    <w:t>Q</w:t>
                  </w:r>
                  <w:r>
                    <w:rPr>
                      <w:color w:val="000000"/>
                      <w:vertAlign w:val="subscript"/>
                      <w:lang w:eastAsia="en-GB"/>
                    </w:rPr>
                    <w:t>bopm</w:t>
                  </w:r>
                  <w:r>
                    <w:rPr>
                      <w:color w:val="000000"/>
                      <w:lang w:eastAsia="en-GB"/>
                    </w:rPr>
                    <w:t xml:space="preserve"> – bendras visų gamintojų ir (ar) importuotojų, Pakuočių ir pakuočių atliekų tvarkymo įstatyme nustatytų pareigų vykdymą pavedusių pakuočių atliekų tvarkymo organizavimo licencijas turinčioms gamintojų ir (ar) importuotojų organizacijoms, praėjusiais kalendoriniais metais Lietuvos Respublikos vidaus rinkai patiektas pripildytų vienkartinių pakuočių, neįskaitant vienkartinių medinių pakuočių, kiekis, tonomis (trys skaitmenys po kablelio), GPAIS nurodytas gamintojų ir (ar) importuotojų pateiktose pakuočių apskaitos ataskaitose ir (ar) ketvirčių apskaitos suvestinėse, ir (ar) patvirtintuose duomenyse mokesčiui už aplinkos teršimą pakuočių atliekomis apskaičiuoti.</w:t>
                  </w:r>
                  <w:r>
                    <w:t xml:space="preserve"> </w:t>
                  </w:r>
                </w:p>
              </w:sdtContent>
            </w:sdt>
            <w:sdt>
              <w:sdtPr>
                <w:alias w:val="11 p."/>
                <w:tag w:val="part_7d0cc3e7ca0344178c5abddfebed6bbe"/>
                <w:lock w:val="sdtLocked"/>
                <w:richText/>
              </w:sdtPr>
              <w:sdtContent>
                <w:p>
                  <w:pPr>
                    <w:widowControl w:val="0"/>
                    <w:spacing w:line="276" w:lineRule="auto"/>
                    <w:ind w:firstLine="709"/>
                    <w:jc w:val="both"/>
                    <w:rPr>
                      <w:color w:val="000000"/>
                    </w:rPr>
                  </w:pPr>
                  <w:sdt>
                    <w:sdtPr>
                      <w:alias w:val="Numeris"/>
                      <w:tag w:val="nr_7d0cc3e7ca0344178c5abddfebed6bbe"/>
                      <w:lock w:val="sdtLocked"/>
                      <w:richText/>
                    </w:sdtPr>
                    <w:sdtContent>
                      <w:r>
                        <w:rPr>
                          <w:color w:val="000000"/>
                        </w:rPr>
                        <w:t>11</w:t>
                      </w:r>
                    </w:sdtContent>
                  </w:sdt>
                  <w:r>
                    <w:rPr>
                      <w:color w:val="000000"/>
                    </w:rPr>
                    <w:t>. Eksploatuoti netinkamų transporto priemonių tvarkymo organizavimo licenciją turinčios gamintojų ir (ar) importuotojų organizacijos užimama rinkos dalis apskaičiuojama pagal formulę:</w:t>
                  </w:r>
                </w:p>
                <w:p>
                  <w:pPr>
                    <w:widowControl w:val="0"/>
                    <w:spacing w:line="276" w:lineRule="auto"/>
                    <w:ind w:firstLine="709"/>
                    <w:jc w:val="both"/>
                    <w:rPr>
                      <w:color w:val="000000"/>
                      <w:szCs w:val="24"/>
                    </w:rPr>
                  </w:pPr>
                </w:p>
                <w:p>
                  <w:pPr>
                    <w:widowControl w:val="0"/>
                    <w:spacing w:line="276" w:lineRule="auto"/>
                    <w:ind w:firstLine="709"/>
                    <w:jc w:val="both"/>
                    <w:rPr>
                      <w:color w:val="000000"/>
                      <w:szCs w:val="24"/>
                    </w:rPr>
                  </w:pPr>
                  <w:r>
                    <w:rPr>
                      <w:color w:val="000000"/>
                      <w:szCs w:val="24"/>
                    </w:rPr>
                    <w:t>D</w:t>
                  </w:r>
                  <w:r>
                    <w:rPr>
                      <w:color w:val="000000"/>
                      <w:szCs w:val="24"/>
                      <w:vertAlign w:val="subscript"/>
                    </w:rPr>
                    <w:t>otp</w:t>
                  </w:r>
                  <w:r>
                    <w:rPr>
                      <w:color w:val="000000"/>
                      <w:szCs w:val="24"/>
                    </w:rPr>
                    <w:t xml:space="preserve"> = (Q</w:t>
                  </w:r>
                  <w:r>
                    <w:rPr>
                      <w:color w:val="000000"/>
                      <w:szCs w:val="24"/>
                      <w:vertAlign w:val="subscript"/>
                    </w:rPr>
                    <w:t>otp</w:t>
                  </w:r>
                  <w:r>
                    <w:rPr>
                      <w:color w:val="000000"/>
                      <w:szCs w:val="24"/>
                    </w:rPr>
                    <w:t>/Q</w:t>
                  </w:r>
                  <w:r>
                    <w:rPr>
                      <w:color w:val="000000"/>
                      <w:szCs w:val="24"/>
                      <w:vertAlign w:val="subscript"/>
                    </w:rPr>
                    <w:t>btp</w:t>
                  </w:r>
                  <w:r>
                    <w:rPr>
                      <w:color w:val="000000"/>
                      <w:szCs w:val="24"/>
                    </w:rPr>
                    <w:t xml:space="preserve">) ×100, </w:t>
                  </w:r>
                </w:p>
                <w:p>
                  <w:pPr>
                    <w:widowControl w:val="0"/>
                    <w:spacing w:line="276" w:lineRule="auto"/>
                    <w:ind w:firstLine="709"/>
                    <w:jc w:val="both"/>
                    <w:rPr>
                      <w:color w:val="000000"/>
                      <w:szCs w:val="24"/>
                    </w:rPr>
                  </w:pPr>
                </w:p>
                <w:p>
                  <w:pPr>
                    <w:widowControl w:val="0"/>
                    <w:spacing w:line="276" w:lineRule="auto"/>
                    <w:ind w:firstLine="709"/>
                    <w:jc w:val="both"/>
                    <w:rPr>
                      <w:color w:val="000000"/>
                      <w:szCs w:val="24"/>
                    </w:rPr>
                  </w:pPr>
                  <w:r>
                    <w:rPr>
                      <w:color w:val="000000"/>
                      <w:szCs w:val="24"/>
                    </w:rPr>
                    <w:t>kur:</w:t>
                  </w:r>
                </w:p>
                <w:p>
                  <w:pPr>
                    <w:widowControl w:val="0"/>
                    <w:spacing w:line="276" w:lineRule="auto"/>
                    <w:ind w:firstLine="709"/>
                    <w:jc w:val="both"/>
                    <w:rPr>
                      <w:color w:val="000000"/>
                      <w:szCs w:val="24"/>
                    </w:rPr>
                  </w:pPr>
                  <w:r>
                    <w:rPr>
                      <w:color w:val="000000"/>
                      <w:szCs w:val="24"/>
                    </w:rPr>
                    <w:t>D</w:t>
                  </w:r>
                  <w:r>
                    <w:rPr>
                      <w:color w:val="000000"/>
                      <w:szCs w:val="24"/>
                      <w:vertAlign w:val="subscript"/>
                    </w:rPr>
                    <w:t>otp</w:t>
                  </w:r>
                  <w:r>
                    <w:rPr>
                      <w:color w:val="000000"/>
                      <w:szCs w:val="24"/>
                    </w:rPr>
                    <w:t xml:space="preserve"> – eksploatuoti netinkamų transporto priemonių tvarkymo organizavimo licenciją turinčios gamintojų ir (ar) importuotojų organizacijos užimama rinkos dalis, procentais (šeši skaitmenys po kablelio);</w:t>
                  </w:r>
                </w:p>
                <w:p>
                  <w:pPr>
                    <w:widowControl w:val="0"/>
                    <w:spacing w:line="276" w:lineRule="auto"/>
                    <w:ind w:firstLine="709"/>
                    <w:jc w:val="both"/>
                    <w:rPr>
                      <w:color w:val="000000"/>
                    </w:rPr>
                  </w:pPr>
                  <w:r>
                    <w:rPr>
                      <w:color w:val="000000"/>
                    </w:rPr>
                    <w:t>Q</w:t>
                  </w:r>
                  <w:r>
                    <w:rPr>
                      <w:color w:val="000000"/>
                      <w:vertAlign w:val="subscript"/>
                    </w:rPr>
                    <w:t>otp</w:t>
                  </w:r>
                  <w:r>
                    <w:rPr>
                      <w:color w:val="000000"/>
                    </w:rPr>
                    <w:t xml:space="preserve"> – eksploatuoti netinkamų transporto priemonių tvarkymo organizavimo licenciją turinčiai gamintojų ir (ar) importuotojų organizacijai Atliekų tvarkymo įstatyme transporto priemonių gamintojams ir (ar) importuotojams nustatytų pareigų vykdymą einamaisiais metais pavedusių gamintojų ir (ar) importuotojų praėjusiais kalendoriniais metais Lietuvos Respublikos vidaus rinkai verslo tikslais patiektas transporto priemonių skaičius, vienetais, GPAIS nurodytas gamintojų ir (ar) importuotojų Gaminių apskaitos ir atliekų tvarkymo organizavimo veiklos ataskaitų teikimo taisyklių nustatyta tvarka pateiktose apskaitos ataskaitose ir (ar) ketvirčių apskaitos suvestinėse.</w:t>
                  </w:r>
                </w:p>
                <w:p>
                  <w:pPr>
                    <w:widowControl w:val="0"/>
                    <w:spacing w:line="276" w:lineRule="auto"/>
                    <w:ind w:firstLine="709"/>
                    <w:jc w:val="both"/>
                    <w:rPr>
                      <w:color w:val="000000"/>
                    </w:rPr>
                  </w:pPr>
                  <w:r>
                    <w:rPr>
                      <w:color w:val="000000"/>
                    </w:rPr>
                    <w:t>Q</w:t>
                  </w:r>
                  <w:r>
                    <w:rPr>
                      <w:color w:val="000000"/>
                      <w:vertAlign w:val="subscript"/>
                    </w:rPr>
                    <w:t>btp</w:t>
                  </w:r>
                  <w:r>
                    <w:rPr>
                      <w:color w:val="000000"/>
                    </w:rPr>
                    <w:t xml:space="preserve"> – bendras visų gamintojų ir (ar) importuotojų praėjusiais kalendoriniais metais Lietuvos Respublikos vidaus rinkai verslo tikslais patiektas transporto priemonių skaičius, vienetais, GPAIS nurodytas gamintojų ir (ar) importuotojų pagal pateiktų apskaitos ataskaitų ir (ar) ketvirčių apskaitos suvestinių suvestinius duomenis.</w:t>
                  </w:r>
                </w:p>
              </w:sdtContent>
            </w:sdt>
            <w:sdt>
              <w:sdtPr>
                <w:alias w:val="12 p."/>
                <w:tag w:val="part_7cfe5a145e584060a14e0b90d6a9cd90"/>
                <w:lock w:val="sdtLocked"/>
                <w:richText/>
              </w:sdtPr>
              <w:sdtContent>
                <w:p>
                  <w:pPr>
                    <w:widowControl w:val="0"/>
                    <w:spacing w:line="276" w:lineRule="auto"/>
                    <w:ind w:firstLine="709"/>
                    <w:jc w:val="both"/>
                    <w:rPr>
                      <w:color w:val="000000"/>
                    </w:rPr>
                  </w:pPr>
                  <w:sdt>
                    <w:sdtPr>
                      <w:alias w:val="Numeris"/>
                      <w:tag w:val="nr_7cfe5a145e584060a14e0b90d6a9cd90"/>
                      <w:lock w:val="sdtLocked"/>
                      <w:richText/>
                    </w:sdtPr>
                    <w:sdtContent>
                      <w:r>
                        <w:rPr>
                          <w:color w:val="000000"/>
                        </w:rPr>
                        <w:t>12</w:t>
                      </w:r>
                    </w:sdtContent>
                  </w:sdt>
                  <w:r>
                    <w:rPr>
                      <w:color w:val="000000"/>
                    </w:rPr>
                    <w:t xml:space="preserve">. Padangų atliekų tvarkymo organizavimo licenciją ar </w:t>
                  </w:r>
                  <w:r>
                    <w:rPr>
                      <w:lang w:eastAsia="lt-LT"/>
                    </w:rPr>
                    <w:t>apmokestinamųjų gaminių atliekų tvarkymo organizavimo licenciją</w:t>
                  </w:r>
                  <w:r>
                    <w:rPr>
                      <w:color w:val="000000"/>
                    </w:rPr>
                    <w:t xml:space="preserve"> turinčios gamintojų ir (ar) importuotojų organizacijos užimama padangų rinkos dalis apskaičiuojama pagal formulę:</w:t>
                  </w:r>
                </w:p>
                <w:p>
                  <w:pPr>
                    <w:widowControl w:val="0"/>
                    <w:spacing w:line="276" w:lineRule="auto"/>
                    <w:ind w:firstLine="709"/>
                    <w:jc w:val="both"/>
                    <w:rPr>
                      <w:color w:val="000000"/>
                      <w:szCs w:val="24"/>
                    </w:rPr>
                  </w:pPr>
                </w:p>
                <w:p>
                  <w:pPr>
                    <w:widowControl w:val="0"/>
                    <w:spacing w:line="276" w:lineRule="auto"/>
                    <w:ind w:firstLine="709"/>
                    <w:jc w:val="both"/>
                    <w:rPr>
                      <w:color w:val="000000"/>
                    </w:rPr>
                  </w:pPr>
                  <w:r>
                    <w:rPr>
                      <w:color w:val="000000"/>
                    </w:rPr>
                    <w:t>D</w:t>
                  </w:r>
                  <w:r>
                    <w:rPr>
                      <w:color w:val="000000"/>
                      <w:vertAlign w:val="subscript"/>
                    </w:rPr>
                    <w:t>opad</w:t>
                  </w:r>
                  <w:r>
                    <w:rPr>
                      <w:color w:val="000000"/>
                    </w:rPr>
                    <w:t xml:space="preserve"> = (Q</w:t>
                  </w:r>
                  <w:r>
                    <w:rPr>
                      <w:color w:val="000000"/>
                      <w:vertAlign w:val="subscript"/>
                    </w:rPr>
                    <w:t>opad</w:t>
                  </w:r>
                  <w:r>
                    <w:rPr>
                      <w:color w:val="000000"/>
                    </w:rPr>
                    <w:t>/Q</w:t>
                  </w:r>
                  <w:r>
                    <w:rPr>
                      <w:color w:val="000000"/>
                      <w:vertAlign w:val="subscript"/>
                    </w:rPr>
                    <w:t>bpad</w:t>
                  </w:r>
                  <w:r>
                    <w:rPr>
                      <w:color w:val="000000"/>
                    </w:rPr>
                    <w:t xml:space="preserve">) ×100, </w:t>
                  </w:r>
                </w:p>
                <w:p>
                  <w:pPr>
                    <w:widowControl w:val="0"/>
                    <w:spacing w:line="276" w:lineRule="auto"/>
                    <w:ind w:firstLine="709"/>
                    <w:jc w:val="both"/>
                    <w:rPr>
                      <w:color w:val="000000"/>
                    </w:rPr>
                  </w:pPr>
                </w:p>
                <w:p>
                  <w:pPr>
                    <w:widowControl w:val="0"/>
                    <w:spacing w:line="276" w:lineRule="auto"/>
                    <w:ind w:firstLine="709"/>
                    <w:jc w:val="both"/>
                    <w:rPr>
                      <w:color w:val="000000"/>
                      <w:szCs w:val="24"/>
                    </w:rPr>
                  </w:pPr>
                  <w:r>
                    <w:rPr>
                      <w:color w:val="000000"/>
                    </w:rPr>
                    <w:t>kur:</w:t>
                  </w:r>
                </w:p>
                <w:p>
                  <w:pPr>
                    <w:widowControl w:val="0"/>
                    <w:spacing w:line="276" w:lineRule="auto"/>
                    <w:ind w:firstLine="709"/>
                    <w:jc w:val="both"/>
                    <w:rPr>
                      <w:color w:val="000000"/>
                    </w:rPr>
                  </w:pPr>
                  <w:r>
                    <w:rPr>
                      <w:color w:val="000000"/>
                    </w:rPr>
                    <w:t>D</w:t>
                  </w:r>
                  <w:r>
                    <w:rPr>
                      <w:color w:val="000000"/>
                      <w:vertAlign w:val="subscript"/>
                    </w:rPr>
                    <w:t>opad</w:t>
                  </w:r>
                  <w:r>
                    <w:rPr>
                      <w:color w:val="000000"/>
                    </w:rPr>
                    <w:t xml:space="preserve"> – padangų atliekų tvarkymo organizavimo licenciją ar </w:t>
                  </w:r>
                  <w:r>
                    <w:rPr>
                      <w:lang w:eastAsia="lt-LT"/>
                    </w:rPr>
                    <w:t>apmokestinamųjų gaminių atliekų tvarkymo organizavimo licenciją</w:t>
                  </w:r>
                  <w:r>
                    <w:rPr>
                      <w:color w:val="000000"/>
                    </w:rPr>
                    <w:t xml:space="preserve"> turinčios gamintojų ir (ar) importuotojų organizacijos užimama padangų rinkos dalis, procentais (šeši skaitmenys po kablelio);</w:t>
                  </w:r>
                </w:p>
                <w:p>
                  <w:pPr>
                    <w:widowControl w:val="0"/>
                    <w:spacing w:line="276" w:lineRule="auto"/>
                    <w:ind w:firstLine="709"/>
                    <w:jc w:val="both"/>
                    <w:rPr>
                      <w:color w:val="000000"/>
                    </w:rPr>
                  </w:pPr>
                  <w:r>
                    <w:rPr>
                      <w:color w:val="000000"/>
                    </w:rPr>
                    <w:t>Q</w:t>
                  </w:r>
                  <w:r>
                    <w:rPr>
                      <w:color w:val="000000"/>
                      <w:vertAlign w:val="subscript"/>
                    </w:rPr>
                    <w:t>opad</w:t>
                  </w:r>
                  <w:r>
                    <w:rPr>
                      <w:color w:val="000000"/>
                    </w:rPr>
                    <w:t xml:space="preserve"> – padangų atliekų tvarkymo organizavimo licenciją ar </w:t>
                  </w:r>
                  <w:r>
                    <w:rPr>
                      <w:lang w:eastAsia="lt-LT"/>
                    </w:rPr>
                    <w:t>apmokestinamųjų gaminių atliekų tvarkymo organizavimo licenciją</w:t>
                  </w:r>
                  <w:r>
                    <w:rPr>
                      <w:color w:val="000000"/>
                    </w:rPr>
                    <w:t xml:space="preserve"> turinčiai gamintojų ir (ar) importuotojų organizacijai Atliekų tvarkymo įstatyme padangų gamintojams ir (ar) importuotojams nustatytų pareigų vykdymą einamaisiais metais pavedusių gamintojų ir (ar) importuotojų praėjusiais kalendoriniais metais Lietuvos Respublikos vidaus rinkai patiektas padangų kiekis, tonomis (trys skaitmenys po kablelio), GPAIS nurodytas gamintojų ir (ar) importuotojų Gaminių apskaitos ir atliekų tvarkymo organizavimo veiklos ataskaitų teikimo taisyklių nustatyta tvarka pateiktose apskaitos ataskaitose ir (ar) ketvirčių apskaitos suvestinėse, ir (ar) patvirtintuose duomenyse mokesčiui už aplinkos teršimą apmokestinamųjų gaminių atliekomis apskaičiuoti.</w:t>
                  </w:r>
                </w:p>
                <w:p>
                  <w:pPr>
                    <w:widowControl w:val="0"/>
                    <w:spacing w:line="276" w:lineRule="auto"/>
                    <w:ind w:firstLine="709"/>
                    <w:jc w:val="both"/>
                    <w:rPr>
                      <w:color w:val="000000"/>
                    </w:rPr>
                  </w:pPr>
                  <w:r>
                    <w:rPr>
                      <w:color w:val="000000"/>
                    </w:rPr>
                    <w:t>Q</w:t>
                  </w:r>
                  <w:r>
                    <w:rPr>
                      <w:color w:val="000000"/>
                      <w:vertAlign w:val="subscript"/>
                    </w:rPr>
                    <w:t>bpad</w:t>
                  </w:r>
                  <w:r>
                    <w:rPr>
                      <w:color w:val="000000"/>
                    </w:rPr>
                    <w:t xml:space="preserve"> – bendras visų gamintojų ir (ar) importuotojų praėjusiais kalendoriniais metais Lietuvos Respublikos vidaus rinkai patiektas padangų kiekis, tonomis (trys skaitmenys po kablelio), GPAIS nurodytas gamintojų ir (ar) importuotojų pateiktose apskaitos ataskaitose ir (ar) ketvirčių apskaitos suvestinėse, ir (ar) patvirtintuose duomenyse mokesčiui už aplinkos teršimą apmokestinamųjų gaminių atliekomis apskaičiuoti.</w:t>
                  </w:r>
                </w:p>
                <w:p>
                  <w:pPr>
                    <w:spacing w:line="276" w:lineRule="auto"/>
                    <w:ind w:firstLine="709"/>
                    <w:jc w:val="both"/>
                    <w:rPr>
                      <w:color w:val="000000"/>
                    </w:rPr>
                  </w:pPr>
                </w:p>
                <w:p>
                  <w:pPr>
                    <w:keepLines/>
                    <w:widowControl w:val="0"/>
                    <w:jc w:val="center"/>
                    <w:rPr>
                      <w:b/>
                      <w:bCs/>
                      <w:caps/>
                      <w:color w:val="000000"/>
                    </w:rPr>
                  </w:pPr>
                </w:p>
                <w:p>
                  <w:pPr>
                    <w:keepLines/>
                    <w:widowControl w:val="0"/>
                    <w:jc w:val="center"/>
                    <w:rPr>
                      <w:b/>
                      <w:bCs/>
                      <w:caps/>
                      <w:color w:val="000000"/>
                    </w:rPr>
                  </w:pPr>
                </w:p>
              </w:sdtContent>
            </w:sdt>
          </w:sdtContent>
        </w:sdt>
        <w:sdt>
          <w:sdtPr>
            <w:alias w:val="skyrius"/>
            <w:tag w:val="part_a26c89f2aa4b44e6ac20c3be90ce6f57"/>
            <w:lock w:val="sdtLocked"/>
            <w:richText/>
          </w:sdtPr>
          <w:sdtContent>
            <w:p>
              <w:pPr>
                <w:keepLines/>
                <w:widowControl w:val="0"/>
                <w:jc w:val="center"/>
                <w:rPr>
                  <w:b/>
                  <w:bCs/>
                  <w:caps/>
                  <w:color w:val="000000"/>
                </w:rPr>
              </w:pPr>
              <w:sdt>
                <w:sdtPr>
                  <w:alias w:val="Numeris"/>
                  <w:tag w:val="nr_a26c89f2aa4b44e6ac20c3be90ce6f57"/>
                  <w:lock w:val="sdtLocked"/>
                  <w:richText/>
                </w:sdtPr>
                <w:sdtContent>
                  <w:r>
                    <w:rPr>
                      <w:b/>
                      <w:bCs/>
                      <w:caps/>
                      <w:color w:val="000000"/>
                    </w:rPr>
                    <w:t>III</w:t>
                  </w:r>
                </w:sdtContent>
              </w:sdt>
              <w:r>
                <w:rPr>
                  <w:b/>
                  <w:bCs/>
                  <w:caps/>
                  <w:color w:val="000000"/>
                </w:rPr>
                <w:t xml:space="preserve"> SKYRIUS</w:t>
              </w:r>
            </w:p>
            <w:p>
              <w:pPr>
                <w:keepLines/>
                <w:widowControl w:val="0"/>
                <w:ind w:firstLine="62"/>
                <w:jc w:val="center"/>
                <w:rPr>
                  <w:b/>
                  <w:bCs/>
                  <w:caps/>
                  <w:color w:val="000000"/>
                </w:rPr>
              </w:pPr>
              <w:sdt>
                <w:sdtPr>
                  <w:alias w:val="Pavadinimas"/>
                  <w:tag w:val="title_a26c89f2aa4b44e6ac20c3be90ce6f57"/>
                  <w:lock w:val="sdtLocked"/>
                  <w:richText/>
                </w:sdtPr>
                <w:sdtContent>
                  <w:r>
                    <w:rPr>
                      <w:b/>
                      <w:bCs/>
                      <w:caps/>
                      <w:color w:val="000000"/>
                    </w:rPr>
                    <w:t>BAIGIAMOSIOS NUOSTATOS</w:t>
                  </w:r>
                </w:sdtContent>
              </w:sdt>
            </w:p>
            <w:p>
              <w:pPr>
                <w:widowControl w:val="0"/>
                <w:ind w:firstLine="567"/>
                <w:jc w:val="both"/>
                <w:rPr>
                  <w:color w:val="000000"/>
                </w:rPr>
              </w:pPr>
            </w:p>
            <w:sdt>
              <w:sdtPr>
                <w:alias w:val="13 p."/>
                <w:tag w:val="part_681ebd274ee146fd9ca49a46ba40991f"/>
                <w:lock w:val="sdtLocked"/>
                <w:richText/>
              </w:sdtPr>
              <w:sdtContent>
                <w:p>
                  <w:pPr>
                    <w:suppressAutoHyphens/>
                    <w:spacing w:line="276" w:lineRule="auto"/>
                    <w:ind w:firstLine="709"/>
                    <w:jc w:val="both"/>
                    <w:rPr>
                      <w:color w:val="000000"/>
                    </w:rPr>
                  </w:pPr>
                  <w:sdt>
                    <w:sdtPr>
                      <w:alias w:val="Numeris"/>
                      <w:tag w:val="nr_681ebd274ee146fd9ca49a46ba40991f"/>
                      <w:lock w:val="sdtLocked"/>
                      <w:richText/>
                    </w:sdtPr>
                    <w:sdtContent>
                      <w:r>
                        <w:rPr>
                          <w:lang w:eastAsia="en-GB"/>
                        </w:rPr>
                        <w:t>13</w:t>
                      </w:r>
                    </w:sdtContent>
                  </w:sdt>
                  <w:r>
                    <w:rPr>
                      <w:lang w:eastAsia="en-GB"/>
                    </w:rPr>
                    <w:t xml:space="preserve">. </w:t>
                  </w:r>
                  <w:r>
                    <w:rPr>
                      <w:color w:val="000000"/>
                      <w:lang w:eastAsia="lt-LT"/>
                    </w:rPr>
                    <w:t>Tvarkos aprašo 7–10 punktuose nurodytas einamųjų metų rinkos dalis pagal praėjusių metų pakuočių tiekimo Lietuvos Respublikos vidaus rinkai duomenis apskaičiuoja Aplinkos apsaugos agentūra (toliau – Agentūra) ir kasmet iki kovo 15 d. paskelbia savo interneto svetainėje</w:t>
                  </w:r>
                  <w:r>
                    <w:t>.</w:t>
                  </w:r>
                </w:p>
              </w:sdtContent>
            </w:sdt>
            <w:sdt>
              <w:sdtPr>
                <w:alias w:val="14 p."/>
                <w:tag w:val="part_912f0eca82c24bd2bb1bd7edbd9fdfa0"/>
                <w:lock w:val="sdtLocked"/>
                <w:richText/>
              </w:sdtPr>
              <w:sdtContent>
                <w:p>
                  <w:pPr>
                    <w:widowControl w:val="0"/>
                    <w:spacing w:line="276" w:lineRule="auto"/>
                    <w:ind w:firstLine="709"/>
                    <w:jc w:val="both"/>
                    <w:rPr>
                      <w:color w:val="000000"/>
                    </w:rPr>
                  </w:pPr>
                  <w:sdt>
                    <w:sdtPr>
                      <w:alias w:val="Numeris"/>
                      <w:tag w:val="nr_912f0eca82c24bd2bb1bd7edbd9fdfa0"/>
                      <w:lock w:val="sdtLocked"/>
                      <w:richText/>
                    </w:sdtPr>
                    <w:sdtContent>
                      <w:r>
                        <w:rPr>
                          <w:color w:val="000000"/>
                        </w:rPr>
                        <w:t>14</w:t>
                      </w:r>
                    </w:sdtContent>
                  </w:sdt>
                  <w:r>
                    <w:rPr>
                      <w:color w:val="000000"/>
                    </w:rPr>
                    <w:t xml:space="preserve">. Tvarkos aprašo 5–6, 12 punktuose nurodytas einamųjų metų rinkos dalis pagal praėjusių metų elektros ir elektroninės įrangos tiekimo Lietuvos Respublikos vidaus rinkai verslo tikslais ir padangų tiekimo Lietuvos Respublikos vidaus rinkai duomenis apskaičiuoja Agentūra ir kasmet iki balandžio 15 d. paskelbia savo interneto </w:t>
                  </w:r>
                  <w:r>
                    <w:t>svetainėje.</w:t>
                  </w:r>
                </w:p>
              </w:sdtContent>
            </w:sdt>
            <w:sdt>
              <w:sdtPr>
                <w:alias w:val="15 p."/>
                <w:tag w:val="part_cf2663db28574b66be4bfeccfbb94c60"/>
                <w:lock w:val="sdtLocked"/>
                <w:richText/>
              </w:sdtPr>
              <w:sdtContent>
                <w:p>
                  <w:pPr>
                    <w:widowControl w:val="0"/>
                    <w:spacing w:line="276" w:lineRule="auto"/>
                    <w:ind w:firstLine="709"/>
                    <w:jc w:val="both"/>
                    <w:rPr>
                      <w:color w:val="000000"/>
                    </w:rPr>
                  </w:pPr>
                  <w:sdt>
                    <w:sdtPr>
                      <w:alias w:val="Numeris"/>
                      <w:tag w:val="nr_cf2663db28574b66be4bfeccfbb94c60"/>
                      <w:lock w:val="sdtLocked"/>
                      <w:richText/>
                    </w:sdtPr>
                    <w:sdtContent>
                      <w:r>
                        <w:rPr>
                          <w:color w:val="000000"/>
                        </w:rPr>
                        <w:t>15</w:t>
                      </w:r>
                    </w:sdtContent>
                  </w:sdt>
                  <w:r>
                    <w:rPr>
                      <w:color w:val="000000"/>
                    </w:rPr>
                    <w:t xml:space="preserve">. Tvarkos aprašo 11 punkte nurodytas einamųjų metų rinkos dalis pagal praėjusių metų transporto priemonių tiekimo Lietuvos Respublikos vidaus rinkai verslo tikslais duomenis apskaičiuoja Agentūra ir kasmet iki gegužės 15 d. paskelbia savo interneto </w:t>
                  </w:r>
                  <w:r>
                    <w:t>svetainėje.</w:t>
                  </w:r>
                </w:p>
              </w:sdtContent>
            </w:sdt>
            <w:sdt>
              <w:sdtPr>
                <w:alias w:val="16 p."/>
                <w:tag w:val="part_2627af1394b44387989d2d8c8f625c47"/>
                <w:lock w:val="sdtLocked"/>
                <w:richText/>
              </w:sdtPr>
              <w:sdtContent>
                <w:p>
                  <w:pPr>
                    <w:widowControl w:val="0"/>
                    <w:spacing w:line="276" w:lineRule="auto"/>
                    <w:ind w:firstLine="709"/>
                    <w:jc w:val="both"/>
                    <w:rPr>
                      <w:color w:val="000000"/>
                    </w:rPr>
                  </w:pPr>
                  <w:sdt>
                    <w:sdtPr>
                      <w:alias w:val="Numeris"/>
                      <w:tag w:val="nr_2627af1394b44387989d2d8c8f625c47"/>
                      <w:lock w:val="sdtLocked"/>
                      <w:richText/>
                    </w:sdtPr>
                    <w:sdtContent>
                      <w:r>
                        <w:rPr>
                          <w:color w:val="000000"/>
                        </w:rPr>
                        <w:t>16</w:t>
                      </w:r>
                    </w:sdtContent>
                  </w:sdt>
                  <w:r>
                    <w:rPr>
                      <w:color w:val="000000"/>
                    </w:rPr>
                    <w:t>. Einamaisiais metais galioja praėjusiais metais galiojusios Tvarkos aprašo 5–12 punktuose nurodytos rinkos dalys, kol paskelbiamos patikslintos einamųjų metų rinkos dalys.</w:t>
                  </w:r>
                </w:p>
              </w:sdtContent>
            </w:sdt>
            <w:sdt>
              <w:sdtPr>
                <w:alias w:val="17 p."/>
                <w:tag w:val="part_e304e48b82804982882aa07e28a96705"/>
                <w:lock w:val="sdtLocked"/>
                <w:richText/>
              </w:sdtPr>
              <w:sdtContent>
                <w:p>
                  <w:pPr>
                    <w:suppressAutoHyphens/>
                    <w:spacing w:line="276" w:lineRule="auto"/>
                    <w:ind w:firstLine="709"/>
                    <w:jc w:val="both"/>
                  </w:pPr>
                  <w:sdt>
                    <w:sdtPr>
                      <w:alias w:val="Numeris"/>
                      <w:tag w:val="nr_e304e48b82804982882aa07e28a96705"/>
                      <w:lock w:val="sdtLocked"/>
                      <w:richText/>
                    </w:sdtPr>
                    <w:sdtContent>
                      <w:r>
                        <w:rPr>
                          <w:color w:val="000000"/>
                          <w:lang w:eastAsia="lt-LT"/>
                        </w:rPr>
                        <w:t>17</w:t>
                      </w:r>
                    </w:sdtContent>
                  </w:sdt>
                  <w:r>
                    <w:rPr>
                      <w:color w:val="000000"/>
                      <w:lang w:eastAsia="lt-LT"/>
                    </w:rPr>
                    <w:t xml:space="preserve">. Tvarkos aprašo 3.2–3.6 papunkčiuose nurodytai organizacijai bankrutavus, ją restruktūrizavus, sustabdžius ar panaikinus jos licencijos galiojimą, Agentūra ne vėliau kaip per 20 darbo dienų atitinkamos rūšies gaminių ir (ar) pakuočių atliekų tvarkymo organizavimo licencijas turinčioms ir einamaisiais metais veiklą tęsiančioms organizacijoms perskaičiuoja einamųjų metų rinkos dalis, nurodytas Tvarkos aprašo 6–12 punktuose, pagal praėjusių metų tiekimo Lietuvos Respublikos vidaus rinkai duomenis ir šių organizacijų  steigėjų, dalyvių ir pavedimo davėjų sąrašus, nurodytus Gamintojų ir importuotojų organizacijos veiklos organizavimo plano, finansavimo schemos ir švietimo programos rengimo, derinimo ir ataskaitų bei informacijos apie jų vykdymą teikimo tvarkos aprašo, patvirtinto Lietuvos Respublikos aplinkos ministro 2006 m. sausio 30 d. įsakymu Nr. D1-57 „Dėl Gamintojų ir importuotojų organizacijos veiklos organizavimo plano, finansavimo schemos ir švietimo programos rengimo, derinimo ir ataskaitų bei informacijos apie jų vykdymą teikimo tvarkos aprašo patvirtinimo“, 39 punkte, atnaujintus GPAIS arba pateiktus Agentūra. Perskaičiuotas organizacijų rinkos dalis Agentūra paskelbia savo interneto svetainėje.</w:t>
                  </w:r>
                  <w:r>
                    <w:t xml:space="preserve"> </w:t>
                  </w:r>
                </w:p>
                <w:p>
                  <w:pPr>
                    <w:suppressAutoHyphens/>
                    <w:spacing w:line="276" w:lineRule="auto"/>
                    <w:ind w:firstLine="709"/>
                    <w:jc w:val="both"/>
                  </w:pPr>
                </w:p>
                <w:p>
                  <w:pPr>
                    <w:suppressAutoHyphens/>
                    <w:spacing w:line="276" w:lineRule="auto"/>
                    <w:ind w:firstLine="3600"/>
                    <w:jc w:val="both"/>
                  </w:pPr>
                  <w:r>
                    <w:t>___________________________</w:t>
                  </w:r>
                </w:p>
                <w:p>
                  <w:pPr>
                    <w:suppressAutoHyphens/>
                    <w:spacing w:line="276" w:lineRule="auto"/>
                    <w:ind w:firstLine="709"/>
                    <w:jc w:val="both"/>
                  </w:pPr>
                </w:p>
                <w:p>
                  <w:pPr>
                    <w:suppressAutoHyphens/>
                    <w:spacing w:line="276" w:lineRule="auto"/>
                    <w:jc w:val="both"/>
                  </w:pPr>
                </w:p>
                <w:p>
                  <w:pPr>
                    <w:suppressAutoHyphens/>
                    <w:spacing w:line="276" w:lineRule="auto"/>
                    <w:jc w:val="both"/>
                  </w:pPr>
                </w:p>
                <w:p>
                  <w:pPr>
                    <w:suppressAutoHyphens/>
                    <w:spacing w:line="320" w:lineRule="atLeast"/>
                    <w:ind w:firstLine="567"/>
                    <w:jc w:val="both"/>
                    <w:rPr>
                      <w:lang w:eastAsia="ar-SA"/>
                    </w:rPr>
                  </w:pPr>
                </w:p>
                <w:p>
                  <w:pPr>
                    <w:suppressAutoHyphens/>
                    <w:spacing w:line="320" w:lineRule="atLeast"/>
                    <w:ind w:firstLine="567"/>
                    <w:jc w:val="both"/>
                    <w:rPr>
                      <w:lang w:eastAsia="ar-SA"/>
                    </w:rPr>
                  </w:pPr>
                </w:p>
              </w:sdtContent>
            </w:sdt>
          </w:sdtContent>
        </w:sdt>
      </w:sdtContent>
    </w:sdt>
    <w:sectPr>
      <w:footnotePr>
        <w:pos w:val="beneathText"/>
      </w:footnotePr>
      <w:pgSz w:w="11905" w:h="16837"/>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ind w:firstLine="720"/>
        <w:jc w:val="both"/>
        <w:rPr>
          <w:sz w:val="22"/>
          <w:szCs w:val="24"/>
          <w:lang w:val="en-GB" w:eastAsia="ar-SA"/>
        </w:rPr>
      </w:pPr>
      <w:r>
        <w:rPr>
          <w:sz w:val="22"/>
          <w:szCs w:val="24"/>
          <w:lang w:val="en-GB" w:eastAsia="ar-SA"/>
        </w:rPr>
        <w:separator/>
      </w:r>
    </w:p>
  </w:endnote>
  <w:endnote w:type="continuationSeparator" w:id="0">
    <w:p>
      <w:pPr>
        <w:suppressAutoHyphens/>
        <w:ind w:firstLine="720"/>
        <w:jc w:val="both"/>
        <w:rPr>
          <w:sz w:val="22"/>
          <w:szCs w:val="24"/>
          <w:lang w:val="en-GB" w:eastAsia="ar-SA"/>
        </w:rPr>
      </w:pPr>
      <w:r>
        <w:rPr>
          <w:sz w:val="22"/>
          <w:szCs w:val="24"/>
          <w:lang w:val="en-GB" w:eastAsia="ar-SA"/>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spacing w:after="120"/>
      <w:ind w:firstLine="720"/>
      <w:jc w:val="both"/>
      <w:rPr>
        <w:sz w:val="22"/>
        <w:szCs w:val="24"/>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spacing w:after="120"/>
      <w:ind w:firstLine="720"/>
      <w:jc w:val="both"/>
      <w:rPr>
        <w:sz w:val="22"/>
        <w:szCs w:val="24"/>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spacing w:after="120"/>
      <w:ind w:firstLine="720"/>
      <w:jc w:val="both"/>
      <w:rPr>
        <w:sz w:val="22"/>
        <w:szCs w:val="24"/>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ind w:firstLine="720"/>
        <w:jc w:val="both"/>
        <w:rPr>
          <w:sz w:val="22"/>
          <w:szCs w:val="24"/>
          <w:lang w:val="en-GB" w:eastAsia="ar-SA"/>
        </w:rPr>
      </w:pPr>
      <w:r>
        <w:rPr>
          <w:sz w:val="22"/>
          <w:szCs w:val="24"/>
          <w:lang w:val="en-GB" w:eastAsia="ar-SA"/>
        </w:rPr>
        <w:separator/>
      </w:r>
    </w:p>
  </w:footnote>
  <w:footnote w:type="continuationSeparator" w:id="0">
    <w:p>
      <w:pPr>
        <w:suppressAutoHyphens/>
        <w:ind w:firstLine="720"/>
        <w:jc w:val="both"/>
        <w:rPr>
          <w:sz w:val="22"/>
          <w:szCs w:val="24"/>
          <w:lang w:val="en-GB" w:eastAsia="ar-SA"/>
        </w:rPr>
      </w:pPr>
      <w:r>
        <w:rPr>
          <w:sz w:val="22"/>
          <w:szCs w:val="24"/>
          <w:lang w:val="en-GB" w:eastAsia="ar-SA"/>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spacing w:after="120"/>
      <w:ind w:firstLine="720"/>
      <w:jc w:val="both"/>
      <w:rPr>
        <w:sz w:val="22"/>
        <w:szCs w:val="24"/>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510"/>
  <w:hyphenationZone w:val="396"/>
  <w:doNotHyphenateCaps/>
  <w:drawingGridHorizontalSpacing w:val="110"/>
  <w:drawingGridVerticalSpacing w:val="0"/>
  <w:displayHorizontalDrawingGridEvery w:val="0"/>
  <w:displayVerticalDrawingGridEvery w:val="0"/>
  <w:noPunctuationKerning/>
  <w:characterSpacingControl w:val="doNotCompres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2032"/>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79A206-5E59-4D46-ADC2-1E6E9C42D07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7241400">
      <w:bodyDiv w:val="1"/>
      <w:marLeft w:val="0"/>
      <w:marRight w:val="0"/>
      <w:marTop w:val="0"/>
      <w:marBottom w:val="0"/>
      <w:divBdr>
        <w:top w:val="none" w:sz="0" w:space="0" w:color="auto"/>
        <w:left w:val="none" w:sz="0" w:space="0" w:color="auto"/>
        <w:bottom w:val="none" w:sz="0" w:space="0" w:color="auto"/>
        <w:right w:val="none" w:sz="0" w:space="0" w:color="auto"/>
      </w:divBdr>
    </w:div>
    <w:div w:id="206650779">
      <w:bodyDiv w:val="1"/>
      <w:marLeft w:val="0"/>
      <w:marRight w:val="0"/>
      <w:marTop w:val="0"/>
      <w:marBottom w:val="0"/>
      <w:divBdr>
        <w:top w:val="none" w:sz="0" w:space="0" w:color="auto"/>
        <w:left w:val="none" w:sz="0" w:space="0" w:color="auto"/>
        <w:bottom w:val="none" w:sz="0" w:space="0" w:color="auto"/>
        <w:right w:val="none" w:sz="0" w:space="0" w:color="auto"/>
      </w:divBdr>
    </w:div>
    <w:div w:id="295377356">
      <w:bodyDiv w:val="1"/>
      <w:marLeft w:val="0"/>
      <w:marRight w:val="0"/>
      <w:marTop w:val="0"/>
      <w:marBottom w:val="0"/>
      <w:divBdr>
        <w:top w:val="none" w:sz="0" w:space="0" w:color="auto"/>
        <w:left w:val="none" w:sz="0" w:space="0" w:color="auto"/>
        <w:bottom w:val="none" w:sz="0" w:space="0" w:color="auto"/>
        <w:right w:val="none" w:sz="0" w:space="0" w:color="auto"/>
      </w:divBdr>
    </w:div>
    <w:div w:id="404030215">
      <w:bodyDiv w:val="1"/>
      <w:marLeft w:val="0"/>
      <w:marRight w:val="0"/>
      <w:marTop w:val="0"/>
      <w:marBottom w:val="0"/>
      <w:divBdr>
        <w:top w:val="none" w:sz="0" w:space="0" w:color="auto"/>
        <w:left w:val="none" w:sz="0" w:space="0" w:color="auto"/>
        <w:bottom w:val="none" w:sz="0" w:space="0" w:color="auto"/>
        <w:right w:val="none" w:sz="0" w:space="0" w:color="auto"/>
      </w:divBdr>
      <w:divsChild>
        <w:div w:id="1400516400">
          <w:marLeft w:val="0"/>
          <w:marRight w:val="0"/>
          <w:marTop w:val="0"/>
          <w:marBottom w:val="0"/>
          <w:divBdr>
            <w:top w:val="none" w:sz="0" w:space="0" w:color="auto"/>
            <w:left w:val="none" w:sz="0" w:space="0" w:color="auto"/>
            <w:bottom w:val="none" w:sz="0" w:space="0" w:color="auto"/>
            <w:right w:val="none" w:sz="0" w:space="0" w:color="auto"/>
          </w:divBdr>
          <w:divsChild>
            <w:div w:id="1459716020">
              <w:marLeft w:val="0"/>
              <w:marRight w:val="0"/>
              <w:marTop w:val="0"/>
              <w:marBottom w:val="0"/>
              <w:divBdr>
                <w:top w:val="none" w:sz="0" w:space="0" w:color="auto"/>
                <w:left w:val="none" w:sz="0" w:space="0" w:color="auto"/>
                <w:bottom w:val="none" w:sz="0" w:space="0" w:color="auto"/>
                <w:right w:val="none" w:sz="0" w:space="0" w:color="auto"/>
              </w:divBdr>
              <w:divsChild>
                <w:div w:id="620186711">
                  <w:marLeft w:val="0"/>
                  <w:marRight w:val="0"/>
                  <w:marTop w:val="0"/>
                  <w:marBottom w:val="0"/>
                  <w:divBdr>
                    <w:top w:val="none" w:sz="0" w:space="0" w:color="auto"/>
                    <w:left w:val="none" w:sz="0" w:space="0" w:color="auto"/>
                    <w:bottom w:val="none" w:sz="0" w:space="0" w:color="auto"/>
                    <w:right w:val="none" w:sz="0" w:space="0" w:color="auto"/>
                  </w:divBdr>
                  <w:divsChild>
                    <w:div w:id="1098137163">
                      <w:marLeft w:val="0"/>
                      <w:marRight w:val="0"/>
                      <w:marTop w:val="0"/>
                      <w:marBottom w:val="0"/>
                      <w:divBdr>
                        <w:top w:val="none" w:sz="0" w:space="0" w:color="auto"/>
                        <w:left w:val="none" w:sz="0" w:space="0" w:color="auto"/>
                        <w:bottom w:val="none" w:sz="0" w:space="0" w:color="auto"/>
                        <w:right w:val="none" w:sz="0" w:space="0" w:color="auto"/>
                      </w:divBdr>
                    </w:div>
                    <w:div w:id="126368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7214704">
          <w:marLeft w:val="0"/>
          <w:marRight w:val="0"/>
          <w:marTop w:val="0"/>
          <w:marBottom w:val="0"/>
          <w:divBdr>
            <w:top w:val="none" w:sz="0" w:space="0" w:color="auto"/>
            <w:left w:val="none" w:sz="0" w:space="0" w:color="auto"/>
            <w:bottom w:val="none" w:sz="0" w:space="0" w:color="auto"/>
            <w:right w:val="none" w:sz="0" w:space="0" w:color="auto"/>
          </w:divBdr>
          <w:divsChild>
            <w:div w:id="368918845">
              <w:marLeft w:val="0"/>
              <w:marRight w:val="0"/>
              <w:marTop w:val="0"/>
              <w:marBottom w:val="0"/>
              <w:divBdr>
                <w:top w:val="none" w:sz="0" w:space="0" w:color="auto"/>
                <w:left w:val="none" w:sz="0" w:space="0" w:color="auto"/>
                <w:bottom w:val="none" w:sz="0" w:space="0" w:color="auto"/>
                <w:right w:val="none" w:sz="0" w:space="0" w:color="auto"/>
              </w:divBdr>
            </w:div>
            <w:div w:id="183560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755709">
      <w:bodyDiv w:val="1"/>
      <w:marLeft w:val="0"/>
      <w:marRight w:val="0"/>
      <w:marTop w:val="0"/>
      <w:marBottom w:val="0"/>
      <w:divBdr>
        <w:top w:val="none" w:sz="0" w:space="0" w:color="auto"/>
        <w:left w:val="none" w:sz="0" w:space="0" w:color="auto"/>
        <w:bottom w:val="none" w:sz="0" w:space="0" w:color="auto"/>
        <w:right w:val="none" w:sz="0" w:space="0" w:color="auto"/>
      </w:divBdr>
    </w:div>
    <w:div w:id="1113746601">
      <w:bodyDiv w:val="1"/>
      <w:marLeft w:val="0"/>
      <w:marRight w:val="0"/>
      <w:marTop w:val="0"/>
      <w:marBottom w:val="0"/>
      <w:divBdr>
        <w:top w:val="none" w:sz="0" w:space="0" w:color="auto"/>
        <w:left w:val="none" w:sz="0" w:space="0" w:color="auto"/>
        <w:bottom w:val="none" w:sz="0" w:space="0" w:color="auto"/>
        <w:right w:val="none" w:sz="0" w:space="0" w:color="auto"/>
      </w:divBdr>
    </w:div>
    <w:div w:id="1415004663">
      <w:bodyDiv w:val="1"/>
      <w:marLeft w:val="0"/>
      <w:marRight w:val="0"/>
      <w:marTop w:val="0"/>
      <w:marBottom w:val="0"/>
      <w:divBdr>
        <w:top w:val="none" w:sz="0" w:space="0" w:color="auto"/>
        <w:left w:val="none" w:sz="0" w:space="0" w:color="auto"/>
        <w:bottom w:val="none" w:sz="0" w:space="0" w:color="auto"/>
        <w:right w:val="none" w:sz="0" w:space="0" w:color="auto"/>
      </w:divBdr>
    </w:div>
    <w:div w:id="1492989694">
      <w:bodyDiv w:val="1"/>
      <w:marLeft w:val="0"/>
      <w:marRight w:val="0"/>
      <w:marTop w:val="0"/>
      <w:marBottom w:val="0"/>
      <w:divBdr>
        <w:top w:val="none" w:sz="0" w:space="0" w:color="auto"/>
        <w:left w:val="none" w:sz="0" w:space="0" w:color="auto"/>
        <w:bottom w:val="none" w:sz="0" w:space="0" w:color="auto"/>
        <w:right w:val="none" w:sz="0" w:space="0" w:color="auto"/>
      </w:divBdr>
    </w:div>
    <w:div w:id="1628701797">
      <w:bodyDiv w:val="1"/>
      <w:marLeft w:val="0"/>
      <w:marRight w:val="0"/>
      <w:marTop w:val="0"/>
      <w:marBottom w:val="0"/>
      <w:divBdr>
        <w:top w:val="none" w:sz="0" w:space="0" w:color="auto"/>
        <w:left w:val="none" w:sz="0" w:space="0" w:color="auto"/>
        <w:bottom w:val="none" w:sz="0" w:space="0" w:color="auto"/>
        <w:right w:val="none" w:sz="0" w:space="0" w:color="auto"/>
      </w:divBdr>
    </w:div>
    <w:div w:id="1746419636">
      <w:bodyDiv w:val="1"/>
      <w:marLeft w:val="0"/>
      <w:marRight w:val="0"/>
      <w:marTop w:val="0"/>
      <w:marBottom w:val="0"/>
      <w:divBdr>
        <w:top w:val="none" w:sz="0" w:space="0" w:color="auto"/>
        <w:left w:val="none" w:sz="0" w:space="0" w:color="auto"/>
        <w:bottom w:val="none" w:sz="0" w:space="0" w:color="auto"/>
        <w:right w:val="none" w:sz="0" w:space="0" w:color="auto"/>
      </w:divBdr>
    </w:div>
    <w:div w:id="1957328569">
      <w:bodyDiv w:val="1"/>
      <w:marLeft w:val="0"/>
      <w:marRight w:val="0"/>
      <w:marTop w:val="0"/>
      <w:marBottom w:val="0"/>
      <w:divBdr>
        <w:top w:val="none" w:sz="0" w:space="0" w:color="auto"/>
        <w:left w:val="none" w:sz="0" w:space="0" w:color="auto"/>
        <w:bottom w:val="none" w:sz="0" w:space="0" w:color="auto"/>
        <w:right w:val="none" w:sz="0" w:space="0" w:color="auto"/>
      </w:divBdr>
    </w:div>
    <w:div w:id="1983776111">
      <w:bodyDiv w:val="1"/>
      <w:marLeft w:val="0"/>
      <w:marRight w:val="0"/>
      <w:marTop w:val="0"/>
      <w:marBottom w:val="0"/>
      <w:divBdr>
        <w:top w:val="none" w:sz="0" w:space="0" w:color="auto"/>
        <w:left w:val="none" w:sz="0" w:space="0" w:color="auto"/>
        <w:bottom w:val="none" w:sz="0" w:space="0" w:color="auto"/>
        <w:right w:val="none" w:sz="0" w:space="0" w:color="auto"/>
      </w:divBdr>
    </w:div>
    <w:div w:id="1997144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Mindaugas Kauzonas</DisplayName>
        <AccountId>358</AccountId>
        <AccountType/>
      </UserInfo>
      <UserInfo>
        <DisplayName>Kamilė Petrauskienė</DisplayName>
        <AccountId>1026</AccountId>
        <AccountType/>
      </UserInfo>
      <UserInfo>
        <DisplayName>Aurimas Jančiauskas</DisplayName>
        <AccountId>351</AccountId>
        <AccountType/>
      </UserInfo>
      <UserInfo>
        <DisplayName>Greta Česnaitytė</DisplayName>
        <AccountId>348</AccountId>
        <AccountType/>
      </UserInfo>
      <UserInfo>
        <DisplayName>Neringa Paškauskaitė</DisplayName>
        <AccountId>28</AccountId>
        <AccountType/>
      </UserInfo>
      <UserInfo>
        <DisplayName>Valdonė Šuškevičė</DisplayName>
        <AccountId>1064</AccountId>
        <AccountType/>
      </UserInfo>
      <UserInfo>
        <DisplayName>Saulė Deveikytė</DisplayName>
        <AccountId>209</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3" ma:contentTypeDescription="Kurkite naują dokumentą." ma:contentTypeScope="" ma:versionID="f91c944ec141e5b4cf797cc4af36e696">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49a3d6eb22ba70123ff6107cb4426811"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4d9307c47c2e4c7d86599fef2034d592" PartId="b8732cf72064490390d09c2088c0f670">
    <Part Type="punktas" Nr="1" Abbr="1 p." DocPartId="12440c50cbae499bb6631657ba4141f3" PartId="78835b866a3d411a90014741f4028e51">
      <Part Type="citata" DocPartId="bcabeed33e0047d8a5354705eca78a59" PartId="b72ca6fd7f8b43bca70492f58c558d7d">
        <Part Type="pagrindine" DocPartId="c7631a4da0c544bbbc66dd59342c8b9f" PartId="178907592f0542a4881b196bfebd238c">
          <Part Type="preambule" DocPartId="9efe298e57744abf9d4a906100e71383" PartId="665008dd099342a3a93c6818bca34270"/>
          <Part Type="pastraipa" DocPartId="bff3fb82bdee4571a5c861a0ea34b503" PartId="e9d7172363324d10a6717bdaac3d0248"/>
        </Part>
      </Part>
    </Part>
    <Part Type="punktas" Nr="2" Abbr="2 p." DocPartId="69e6e071c9af46aa90f41affacd32943" PartId="2e3617768ec845d783e75bb21c2d04ee"/>
    <Part Type="signatura" DocPartId="ef71b3d3bf3947f0a1558a9e002d7c53" PartId="f44d8da8a2d549d2ba96a4a069024a2d"/>
  </Part>
  <Part Type="patvirtinta" Title="GAMINTOJŲ IR IMPORTUOTOJŲ, KURIE LIETUVOS RESPUBLIKOS VIDAUS RINKAI VERSLO TIKSLAIS TIEKIA ELEKTROS IR ELEKTRONINĘ ĮRANGĄ, TRANSPORTO PRIEMONES IR LIETUVOS RESPUBLIKOS VIDAUS RINKAI TIEKIA PAKUOTES, PADANGAS, UŽIMAMOS RINKOS DALIES NUSTATYMO TVARKOS APRAŠAS" DocPartId="31b5367d9fec4cba98606a27d16460d9" PartId="5e7ca19b78b343059b22329ed9d1f419">
    <Part Type="skyrius" Nr="1" Title="BENDROSIOS NUOSTATOS" DocPartId="d125941db5d7473aa7932bb3be5e7b0b" PartId="48965b3fbfac4da48302ddeef3b5913c">
      <Part Type="punktas" Nr="1" Abbr="1 p." DocPartId="d4d5403b1ab148cea7e5d1767c57bc5d" PartId="c84af1b9df414a1daaf5095b5b47b6c2"/>
      <Part Type="punktas" Nr="2" Abbr="2 p." DocPartId="d0d6d0683bcb43fea45cd93380f58d7e" PartId="11c8f559da0b4942bf5bc47e44e1ad77"/>
      <Part Type="punktas" Nr="3" Abbr="3 p." DocPartId="58dfe195251a4930ad118975e0d91bcc" PartId="227df5f15c0f46bc85054b93d77cca6e">
        <Part Type="papunktis" Nr="3.1" Abbr="3.1 pp." DocPartId="67ed73c1b0224597a49673428ce7de25" PartId="903c8aa1d8ca41fab4554b6ee9a4e4cd"/>
        <Part Type="papunktis" Nr="3.2" Abbr="3.2 pp." DocPartId="1490afd5933d4629a581125a555b4086" PartId="8bb82a3adabe467a8cf0b8a3a4dc94b8"/>
        <Part Type="papunktis" Nr="3.3" Abbr="3.3 pp." DocPartId="6d894788dfd746e69e1de462f23a22f8" PartId="48e6b5ab8bd7440d89536fc94fd6ed93"/>
        <Part Type="papunktis" Nr="3.4" Abbr="3.4 pp." DocPartId="beafd5635fef4be6a027cc89942cfde9" PartId="a81183d76aa045b88011642eb40487cb"/>
        <Part Type="papunktis" Nr="3.5" Abbr="3.5 pp." DocPartId="232a7f96895c44feab30ca399a36bc88" PartId="98cf5f06e64b4949a09b893a64605bcd"/>
        <Part Type="papunktis" Nr="3.6" Abbr="3.6 pp." DocPartId="ef288b0c78a94564aaa2e0e8dc43df3e" PartId="96ed0f6f7316411d8c1283e5a5b15320"/>
      </Part>
    </Part>
    <Part Type="skyrius" Nr="2" Title="UŽIMAMOS RINKOS DALIES APSKAIČIAVIMO TVARKA" DocPartId="269b6760a28c4e7d8aa6b36544657238" PartId="1b838b3bf96d4416b328a0025540ea3a">
      <Part Type="punktas" Nr="4" Abbr="4 p." DocPartId="5d94c7d457be4b1b8b34f51e5f6c2cb5" PartId="f38af735767842d2a72fdaf29c448bc5"/>
      <Part Type="punktas" Nr="5" Abbr="5 p." DocPartId="cde042df9c9148e4bf0956029225562d" PartId="e773070f78e9400cba340586e059aa7b"/>
      <Part Type="punktas" Nr="6" Abbr="6 p." DocPartId="cf19ce9c484b471d94d786341adb83e2" PartId="ba93270cefa74130bf4c95e222437172"/>
      <Part Type="punktas" Nr="7" Abbr="7 p." DocPartId="e0b6a94193fe49a0a380d7752c448d25" PartId="e650ae2920c849648824cba5eeb9bf08"/>
      <Part Type="punktas" Nr="8" Abbr="8 p." DocPartId="179098be3b8149afa24e90f2239bc2a0" PartId="a45d587f9aa74bf6851c1453cd343011"/>
      <Part Type="punktas" Nr="9" Abbr="9 p." DocPartId="787c1afb2c18430687312dce47c13314" PartId="173bdaca4d3648b9b15fbc3d1331d477"/>
      <Part Type="punktas" Nr="10" Abbr="10 p." DocPartId="6efba6f61f2b401ebf2dca70332df0aa" PartId="aeab46568280487da656e804c2ae8423"/>
      <Part Type="punktas" Nr="11" Abbr="11 p." DocPartId="42a366686e1b4f9bbb2e5699da0091ab" PartId="7d0cc3e7ca0344178c5abddfebed6bbe"/>
      <Part Type="punktas" Nr="12" Abbr="12 p." DocPartId="e6b54a7921974cb4a0991ddb4f296eb9" PartId="7cfe5a145e584060a14e0b90d6a9cd90"/>
    </Part>
    <Part Type="skyrius" Nr="3" Title="BAIGIAMOSIOS NUOSTATOS" DocPartId="52e84f9a58ef43b59e6fd67296cb372f" PartId="a26c89f2aa4b44e6ac20c3be90ce6f57">
      <Part Type="punktas" Nr="13" Abbr="13 p." DocPartId="d1b9a3657a3143d79625c3a922e4cfc4" PartId="681ebd274ee146fd9ca49a46ba40991f"/>
      <Part Type="punktas" Nr="14" Abbr="14 p." DocPartId="1d03e14949c04c53bd46f58c233acfb6" PartId="912f0eca82c24bd2bb1bd7edbd9fdfa0"/>
      <Part Type="punktas" Nr="15" Abbr="15 p." DocPartId="e7acd3a387384c83bad06172c38c6711" PartId="cf2663db28574b66be4bfeccfbb94c60"/>
      <Part Type="punktas" Nr="16" Abbr="16 p." DocPartId="7ac73463b40049dda3ac20b01f3053dd" PartId="2627af1394b44387989d2d8c8f625c47"/>
      <Part Type="punktas" Nr="17" Abbr="17 p." DocPartId="45a2496ab0ad427fb855a3aae805579c" PartId="e304e48b82804982882aa07e28a96705"/>
    </Part>
  </Part>
</Parts>
</file>

<file path=customXml/itemProps1.xml><?xml version="1.0" encoding="utf-8"?>
<ds:datastoreItem xmlns:ds="http://schemas.openxmlformats.org/officeDocument/2006/customXml" ds:itemID="{05937363-E01E-4041-A7CD-7944F35A4FC4}">
  <ds:schemaRefs>
    <ds:schemaRef ds:uri="http://schemas.microsoft.com/sharepoint/v3/contenttype/forms"/>
  </ds:schemaRefs>
</ds:datastoreItem>
</file>

<file path=customXml/itemProps2.xml><?xml version="1.0" encoding="utf-8"?>
<ds:datastoreItem xmlns:ds="http://schemas.openxmlformats.org/officeDocument/2006/customXml" ds:itemID="{E30D21E5-A756-4416-931C-9B114EF37AAC}">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3.xml><?xml version="1.0" encoding="utf-8"?>
<ds:datastoreItem xmlns:ds="http://schemas.openxmlformats.org/officeDocument/2006/customXml" ds:itemID="{99474F14-F5A8-49E8-8B31-51C01F4662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6194038-485E-466B-997B-96066C714D4E}">
  <ds:schemaRefs>
    <ds:schemaRef ds:uri="http://schemas.openxmlformats.org/officeDocument/2006/bibliography"/>
  </ds:schemaRefs>
</ds:datastoreItem>
</file>

<file path=customXml/itemProps5.xml><?xml version="1.0" encoding="utf-8"?>
<ds:datastoreItem xmlns:ds="http://schemas.openxmlformats.org/officeDocument/2006/customXml" ds:itemID="{1DD28434-8D2A-410F-9D94-A3A58844CD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2896</Words>
  <Characters>21811</Characters>
  <Application>Microsoft Office Word</Application>
  <DocSecurity>4</DocSecurity>
  <Lines>357</Lines>
  <Paragraphs>102</Paragraphs>
  <ScaleCrop>false</ScaleCrop>
  <HeadingPairs>
    <vt:vector size="2" baseType="variant">
      <vt:variant>
        <vt:lpstr>Pavadinimas</vt:lpstr>
      </vt:variant>
      <vt:variant>
        <vt:i4>1</vt:i4>
      </vt:variant>
    </vt:vector>
  </HeadingPairs>
  <TitlesOfParts>
    <vt:vector size="1" baseType="lpstr">
      <vt:lpstr>ENTP taisykliu pakeitimas 08_24_L.doc</vt:lpstr>
    </vt:vector>
  </TitlesOfParts>
  <Company>Hewlett-Packard Company</Company>
  <LinksUpToDate>false</LinksUpToDate>
  <CharactersWithSpaces>24605</CharactersWithSpaces>
  <SharedDoc>false</SharedDoc>
  <HyperlinkBase/>
  <HLinks>
    <vt:vector size="132" baseType="variant">
      <vt:variant>
        <vt:i4>3407960</vt:i4>
      </vt:variant>
      <vt:variant>
        <vt:i4>63</vt:i4>
      </vt:variant>
      <vt:variant>
        <vt:i4>0</vt:i4>
      </vt:variant>
      <vt:variant>
        <vt:i4>5</vt:i4>
      </vt:variant>
      <vt:variant>
        <vt:lpwstr>mailto:neringa.paskauskaite@am.lt</vt:lpwstr>
      </vt:variant>
      <vt:variant>
        <vt:lpwstr/>
      </vt:variant>
      <vt:variant>
        <vt:i4>4522036</vt:i4>
      </vt:variant>
      <vt:variant>
        <vt:i4>60</vt:i4>
      </vt:variant>
      <vt:variant>
        <vt:i4>0</vt:i4>
      </vt:variant>
      <vt:variant>
        <vt:i4>5</vt:i4>
      </vt:variant>
      <vt:variant>
        <vt:lpwstr>mailto:mindaugas.kauzonas@am.lt</vt:lpwstr>
      </vt:variant>
      <vt:variant>
        <vt:lpwstr/>
      </vt:variant>
      <vt:variant>
        <vt:i4>1310839</vt:i4>
      </vt:variant>
      <vt:variant>
        <vt:i4>57</vt:i4>
      </vt:variant>
      <vt:variant>
        <vt:i4>0</vt:i4>
      </vt:variant>
      <vt:variant>
        <vt:i4>5</vt:i4>
      </vt:variant>
      <vt:variant>
        <vt:lpwstr>mailto:kamile.petrauskiene@am.lt</vt:lpwstr>
      </vt:variant>
      <vt:variant>
        <vt:lpwstr/>
      </vt:variant>
      <vt:variant>
        <vt:i4>3407960</vt:i4>
      </vt:variant>
      <vt:variant>
        <vt:i4>54</vt:i4>
      </vt:variant>
      <vt:variant>
        <vt:i4>0</vt:i4>
      </vt:variant>
      <vt:variant>
        <vt:i4>5</vt:i4>
      </vt:variant>
      <vt:variant>
        <vt:lpwstr>mailto:neringa.paskauskaite@am.lt</vt:lpwstr>
      </vt:variant>
      <vt:variant>
        <vt:lpwstr/>
      </vt:variant>
      <vt:variant>
        <vt:i4>1310839</vt:i4>
      </vt:variant>
      <vt:variant>
        <vt:i4>51</vt:i4>
      </vt:variant>
      <vt:variant>
        <vt:i4>0</vt:i4>
      </vt:variant>
      <vt:variant>
        <vt:i4>5</vt:i4>
      </vt:variant>
      <vt:variant>
        <vt:lpwstr>mailto:kamile.petrauskiene@am.lt</vt:lpwstr>
      </vt:variant>
      <vt:variant>
        <vt:lpwstr/>
      </vt:variant>
      <vt:variant>
        <vt:i4>1310839</vt:i4>
      </vt:variant>
      <vt:variant>
        <vt:i4>48</vt:i4>
      </vt:variant>
      <vt:variant>
        <vt:i4>0</vt:i4>
      </vt:variant>
      <vt:variant>
        <vt:i4>5</vt:i4>
      </vt:variant>
      <vt:variant>
        <vt:lpwstr>mailto:kamile.petrauskiene@am.lt</vt:lpwstr>
      </vt:variant>
      <vt:variant>
        <vt:lpwstr/>
      </vt:variant>
      <vt:variant>
        <vt:i4>1310839</vt:i4>
      </vt:variant>
      <vt:variant>
        <vt:i4>45</vt:i4>
      </vt:variant>
      <vt:variant>
        <vt:i4>0</vt:i4>
      </vt:variant>
      <vt:variant>
        <vt:i4>5</vt:i4>
      </vt:variant>
      <vt:variant>
        <vt:lpwstr>mailto:kamile.petrauskiene@am.lt</vt:lpwstr>
      </vt:variant>
      <vt:variant>
        <vt:lpwstr/>
      </vt:variant>
      <vt:variant>
        <vt:i4>4522036</vt:i4>
      </vt:variant>
      <vt:variant>
        <vt:i4>42</vt:i4>
      </vt:variant>
      <vt:variant>
        <vt:i4>0</vt:i4>
      </vt:variant>
      <vt:variant>
        <vt:i4>5</vt:i4>
      </vt:variant>
      <vt:variant>
        <vt:lpwstr>mailto:mindaugas.kauzonas@am.lt</vt:lpwstr>
      </vt:variant>
      <vt:variant>
        <vt:lpwstr/>
      </vt:variant>
      <vt:variant>
        <vt:i4>1310839</vt:i4>
      </vt:variant>
      <vt:variant>
        <vt:i4>39</vt:i4>
      </vt:variant>
      <vt:variant>
        <vt:i4>0</vt:i4>
      </vt:variant>
      <vt:variant>
        <vt:i4>5</vt:i4>
      </vt:variant>
      <vt:variant>
        <vt:lpwstr>mailto:kamile.petrauskiene@am.lt</vt:lpwstr>
      </vt:variant>
      <vt:variant>
        <vt:lpwstr/>
      </vt:variant>
      <vt:variant>
        <vt:i4>1310839</vt:i4>
      </vt:variant>
      <vt:variant>
        <vt:i4>36</vt:i4>
      </vt:variant>
      <vt:variant>
        <vt:i4>0</vt:i4>
      </vt:variant>
      <vt:variant>
        <vt:i4>5</vt:i4>
      </vt:variant>
      <vt:variant>
        <vt:lpwstr>mailto:kamile.petrauskiene@am.lt</vt:lpwstr>
      </vt:variant>
      <vt:variant>
        <vt:lpwstr/>
      </vt:variant>
      <vt:variant>
        <vt:i4>4522036</vt:i4>
      </vt:variant>
      <vt:variant>
        <vt:i4>33</vt:i4>
      </vt:variant>
      <vt:variant>
        <vt:i4>0</vt:i4>
      </vt:variant>
      <vt:variant>
        <vt:i4>5</vt:i4>
      </vt:variant>
      <vt:variant>
        <vt:lpwstr>mailto:mindaugas.kauzonas@am.lt</vt:lpwstr>
      </vt:variant>
      <vt:variant>
        <vt:lpwstr/>
      </vt:variant>
      <vt:variant>
        <vt:i4>1310839</vt:i4>
      </vt:variant>
      <vt:variant>
        <vt:i4>30</vt:i4>
      </vt:variant>
      <vt:variant>
        <vt:i4>0</vt:i4>
      </vt:variant>
      <vt:variant>
        <vt:i4>5</vt:i4>
      </vt:variant>
      <vt:variant>
        <vt:lpwstr>mailto:kamile.petrauskiene@am.lt</vt:lpwstr>
      </vt:variant>
      <vt:variant>
        <vt:lpwstr/>
      </vt:variant>
      <vt:variant>
        <vt:i4>1310839</vt:i4>
      </vt:variant>
      <vt:variant>
        <vt:i4>27</vt:i4>
      </vt:variant>
      <vt:variant>
        <vt:i4>0</vt:i4>
      </vt:variant>
      <vt:variant>
        <vt:i4>5</vt:i4>
      </vt:variant>
      <vt:variant>
        <vt:lpwstr>mailto:kamile.petrauskiene@am.lt</vt:lpwstr>
      </vt:variant>
      <vt:variant>
        <vt:lpwstr/>
      </vt:variant>
      <vt:variant>
        <vt:i4>4522036</vt:i4>
      </vt:variant>
      <vt:variant>
        <vt:i4>24</vt:i4>
      </vt:variant>
      <vt:variant>
        <vt:i4>0</vt:i4>
      </vt:variant>
      <vt:variant>
        <vt:i4>5</vt:i4>
      </vt:variant>
      <vt:variant>
        <vt:lpwstr>mailto:mindaugas.kauzonas@am.lt</vt:lpwstr>
      </vt:variant>
      <vt:variant>
        <vt:lpwstr/>
      </vt:variant>
      <vt:variant>
        <vt:i4>1310839</vt:i4>
      </vt:variant>
      <vt:variant>
        <vt:i4>21</vt:i4>
      </vt:variant>
      <vt:variant>
        <vt:i4>0</vt:i4>
      </vt:variant>
      <vt:variant>
        <vt:i4>5</vt:i4>
      </vt:variant>
      <vt:variant>
        <vt:lpwstr>mailto:kamile.petrauskiene@am.lt</vt:lpwstr>
      </vt:variant>
      <vt:variant>
        <vt:lpwstr/>
      </vt:variant>
      <vt:variant>
        <vt:i4>3407960</vt:i4>
      </vt:variant>
      <vt:variant>
        <vt:i4>18</vt:i4>
      </vt:variant>
      <vt:variant>
        <vt:i4>0</vt:i4>
      </vt:variant>
      <vt:variant>
        <vt:i4>5</vt:i4>
      </vt:variant>
      <vt:variant>
        <vt:lpwstr>mailto:neringa.paskauskaite@am.lt</vt:lpwstr>
      </vt:variant>
      <vt:variant>
        <vt:lpwstr/>
      </vt:variant>
      <vt:variant>
        <vt:i4>4522036</vt:i4>
      </vt:variant>
      <vt:variant>
        <vt:i4>15</vt:i4>
      </vt:variant>
      <vt:variant>
        <vt:i4>0</vt:i4>
      </vt:variant>
      <vt:variant>
        <vt:i4>5</vt:i4>
      </vt:variant>
      <vt:variant>
        <vt:lpwstr>mailto:mindaugas.kauzonas@am.lt</vt:lpwstr>
      </vt:variant>
      <vt:variant>
        <vt:lpwstr/>
      </vt:variant>
      <vt:variant>
        <vt:i4>1310839</vt:i4>
      </vt:variant>
      <vt:variant>
        <vt:i4>12</vt:i4>
      </vt:variant>
      <vt:variant>
        <vt:i4>0</vt:i4>
      </vt:variant>
      <vt:variant>
        <vt:i4>5</vt:i4>
      </vt:variant>
      <vt:variant>
        <vt:lpwstr>mailto:kamile.petrauskiene@am.lt</vt:lpwstr>
      </vt:variant>
      <vt:variant>
        <vt:lpwstr/>
      </vt:variant>
      <vt:variant>
        <vt:i4>1310839</vt:i4>
      </vt:variant>
      <vt:variant>
        <vt:i4>9</vt:i4>
      </vt:variant>
      <vt:variant>
        <vt:i4>0</vt:i4>
      </vt:variant>
      <vt:variant>
        <vt:i4>5</vt:i4>
      </vt:variant>
      <vt:variant>
        <vt:lpwstr>mailto:kamile.petrauskiene@am.lt</vt:lpwstr>
      </vt:variant>
      <vt:variant>
        <vt:lpwstr/>
      </vt:variant>
      <vt:variant>
        <vt:i4>1310839</vt:i4>
      </vt:variant>
      <vt:variant>
        <vt:i4>6</vt:i4>
      </vt:variant>
      <vt:variant>
        <vt:i4>0</vt:i4>
      </vt:variant>
      <vt:variant>
        <vt:i4>5</vt:i4>
      </vt:variant>
      <vt:variant>
        <vt:lpwstr>mailto:kamile.petrauskiene@am.lt</vt:lpwstr>
      </vt:variant>
      <vt:variant>
        <vt:lpwstr/>
      </vt:variant>
      <vt:variant>
        <vt:i4>3407960</vt:i4>
      </vt:variant>
      <vt:variant>
        <vt:i4>3</vt:i4>
      </vt:variant>
      <vt:variant>
        <vt:i4>0</vt:i4>
      </vt:variant>
      <vt:variant>
        <vt:i4>5</vt:i4>
      </vt:variant>
      <vt:variant>
        <vt:lpwstr>mailto:neringa.paskauskaite@am.lt</vt:lpwstr>
      </vt:variant>
      <vt:variant>
        <vt:lpwstr/>
      </vt:variant>
      <vt:variant>
        <vt:i4>1310839</vt:i4>
      </vt:variant>
      <vt:variant>
        <vt:i4>0</vt:i4>
      </vt:variant>
      <vt:variant>
        <vt:i4>0</vt:i4>
      </vt:variant>
      <vt:variant>
        <vt:i4>5</vt:i4>
      </vt:variant>
      <vt:variant>
        <vt:lpwstr>mailto:kamile.petrauskiene@am.lt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2024-08-21T13:46:00Z</dcterms:created>
  <dc:creator>Romas Lenkaitis</dc:creator>
  <lastModifiedBy>adlibuser</lastModifiedBy>
  <lastPrinted>2014-02-20T00:22:00Z</lastPrinted>
  <dcterms:modified xsi:type="dcterms:W3CDTF">2024-08-21T13:46:00Z</dcterms:modified>
  <revision>2</revision>
  <dc:title>ENTP taisykliu pakeitimas 08_24_L.doc</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