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f7f4b375b64b0598ae3592e8eb2e7b"/>
        <w:lock w:val="sdtLocked"/>
        <w:richText/>
      </w:sdtPr>
      <w:sdtContent>
        <w:p>
          <w:pPr>
            <w:tabs>
              <w:tab w:val="left" w:pos="7088"/>
            </w:tabs>
            <w:ind w:firstLine="7088"/>
            <w:rPr>
              <w:b/>
              <w:bCs/>
              <w:szCs w:val="24"/>
            </w:rPr>
          </w:pPr>
          <w:r>
            <w:rPr>
              <w:b/>
              <w:bCs/>
              <w:szCs w:val="24"/>
            </w:rPr>
            <w:t>Projektas</w:t>
          </w:r>
        </w:p>
        <w:p>
          <w:pPr>
            <w:tabs>
              <w:tab w:val="left" w:pos="7088"/>
            </w:tabs>
            <w:ind w:firstLine="7088"/>
            <w:rPr>
              <w:szCs w:val="24"/>
            </w:rPr>
          </w:pPr>
          <w:r>
            <w:rPr>
              <w:szCs w:val="24"/>
            </w:rPr>
            <w:t>Nr. TSP-</w:t>
          </w:r>
        </w:p>
        <w:p>
          <w:pPr>
            <w:tabs>
              <w:tab w:val="center" w:pos="4153"/>
              <w:tab w:val="right" w:pos="8306"/>
            </w:tabs>
            <w:ind w:firstLine="62"/>
            <w:jc w:val="center"/>
            <w:rPr>
              <w:b/>
              <w:bCs/>
              <w:sz w:val="26"/>
              <w:szCs w:val="24"/>
            </w:rPr>
          </w:pPr>
        </w:p>
        <w:p>
          <w:pPr>
            <w:keepNext/>
            <w:jc w:val="center"/>
            <w:rPr>
              <w:b/>
              <w:bCs/>
              <w:szCs w:val="24"/>
            </w:rPr>
          </w:pPr>
          <w:r>
            <w:rPr>
              <w:b/>
              <w:bCs/>
              <w:szCs w:val="24"/>
            </w:rPr>
            <w:t>RADVILIŠKIO RAJONO SAVIVALDYBĖS TARYBA</w:t>
          </w:r>
        </w:p>
        <w:p>
          <w:pPr>
            <w:keepNext/>
            <w:jc w:val="center"/>
            <w:rPr>
              <w:b/>
              <w:bCs/>
              <w:szCs w:val="24"/>
            </w:rPr>
          </w:pPr>
        </w:p>
        <w:p>
          <w:pPr>
            <w:keepNext/>
            <w:jc w:val="center"/>
            <w:rPr>
              <w:b/>
              <w:bCs/>
              <w:szCs w:val="24"/>
            </w:rPr>
          </w:pPr>
          <w:r>
            <w:rPr>
              <w:b/>
              <w:bCs/>
              <w:szCs w:val="24"/>
            </w:rPr>
            <w:t>SPRENDIMAS</w:t>
          </w:r>
        </w:p>
        <w:p>
          <w:pPr>
            <w:jc w:val="center"/>
            <w:rPr>
              <w:b/>
              <w:bCs/>
              <w:caps/>
              <w:szCs w:val="24"/>
            </w:rPr>
          </w:pPr>
          <w:r>
            <w:rPr>
              <w:b/>
              <w:szCs w:val="24"/>
              <w:lang w:eastAsia="ar-SA"/>
            </w:rPr>
            <w:t xml:space="preserve">DĖL SKOLŲ PRIPAŽINIMO BEVILTIŠKOMIS IR JŲ NURAŠYMO </w:t>
          </w:r>
          <w:r>
            <w:rPr>
              <w:b/>
              <w:bCs/>
              <w:szCs w:val="24"/>
            </w:rPr>
            <w:t xml:space="preserve">RADVILIŠKIO </w:t>
          </w:r>
          <w:r>
            <w:rPr>
              <w:b/>
            </w:rPr>
            <w:t xml:space="preserve">RAJONO SAVIVALDYBĖS BIUDŽETINĖSE ĮSTAIGOSE </w:t>
          </w:r>
          <w:r>
            <w:rPr>
              <w:b/>
              <w:szCs w:val="24"/>
              <w:lang w:eastAsia="ar-SA"/>
            </w:rPr>
            <w:t>TVARKOS APRAŠO PATVIRTINIMO</w:t>
          </w:r>
        </w:p>
        <w:p>
          <w:pPr>
            <w:jc w:val="center"/>
            <w:rPr>
              <w:szCs w:val="24"/>
            </w:rPr>
          </w:pPr>
        </w:p>
        <w:p>
          <w:pPr>
            <w:ind w:firstLine="62"/>
            <w:jc w:val="center"/>
            <w:rPr>
              <w:szCs w:val="24"/>
            </w:rPr>
          </w:pPr>
          <w:r>
            <w:t xml:space="preserve">2025 m.                  d. </w:t>
          </w:r>
          <w:r>
            <w:rPr>
              <w:szCs w:val="24"/>
            </w:rPr>
            <w:t xml:space="preserve">Nr. T-  </w:t>
          </w:r>
        </w:p>
        <w:p>
          <w:pPr>
            <w:jc w:val="center"/>
            <w:rPr>
              <w:szCs w:val="24"/>
            </w:rPr>
          </w:pPr>
          <w:r>
            <w:rPr>
              <w:szCs w:val="24"/>
            </w:rPr>
            <w:t>Radviliškis</w:t>
          </w:r>
        </w:p>
        <w:p>
          <w:pPr>
            <w:tabs>
              <w:tab w:val="left" w:pos="7371"/>
            </w:tabs>
            <w:jc w:val="center"/>
            <w:rPr>
              <w:szCs w:val="24"/>
            </w:rPr>
          </w:pPr>
        </w:p>
        <w:sdt>
          <w:sdtPr>
            <w:alias w:val="preambule"/>
            <w:tag w:val="part_a98f61c924a540159e328fc3c2f222e4"/>
            <w:lock w:val="sdtLocked"/>
            <w:richText/>
          </w:sdtPr>
          <w:sdtContent>
            <w:p>
              <w:pPr>
                <w:tabs>
                  <w:tab w:val="left" w:pos="1134"/>
                </w:tabs>
                <w:ind w:firstLine="709"/>
                <w:jc w:val="both"/>
                <w:rPr>
                  <w:szCs w:val="24"/>
                </w:rPr>
              </w:pPr>
              <w:r>
                <w:rPr>
                  <w:lang w:bidi="he-IL"/>
                </w:rPr>
                <w:t xml:space="preserve">Vadovaudamasi Lietuvos Respublikos vietos savivaldos įstatymo </w:t>
              </w:r>
              <w:r>
                <w:rPr>
                  <w:rFonts w:cs="Arial Unicode MS"/>
                  <w:lang w:eastAsia="lt-LT" w:bidi="lo-LA"/>
                </w:rPr>
                <w:t>15 straipsnio 2 dalies 19 punktu</w:t>
              </w:r>
              <w:r>
                <w:rPr>
                  <w:lang w:bidi="he-IL"/>
                </w:rPr>
                <w:t xml:space="preserve">, Skolų beviltiškumo bei pastangų susigrąžinti šias skolas įrodymo ir beviltiškų skolų sumų apskaičiavimo taisyklėmis, patvirtintomis Lietuvos Respublikos finansų ministro 2002 m. vasario 11 d. įsakymu Nr. 40 „Dėl Skolų beviltiškumo bei pastangų susigrąžinti šias skolas įrodymo ir beviltiškų skolų sumų apskaičiavimo taisyklių patvirtinimo“, </w:t>
              </w:r>
              <w:r>
                <w:t xml:space="preserve">Radviliškio rajono savivaldybės taryba </w:t>
              </w:r>
              <w:r>
                <w:rPr>
                  <w:spacing w:val="50"/>
                </w:rPr>
                <w:t>nusprendži</w:t>
              </w:r>
              <w:r>
                <w:t>a</w:t>
              </w:r>
              <w:r>
                <w:rPr>
                  <w:spacing w:val="40"/>
                </w:rPr>
                <w:t>:</w:t>
              </w:r>
              <w:r>
                <w:rPr>
                  <w:szCs w:val="24"/>
                </w:rPr>
                <w:t xml:space="preserve"> </w:t>
              </w:r>
            </w:p>
          </w:sdtContent>
        </w:sdt>
        <w:sdt>
          <w:sdtPr>
            <w:alias w:val="pastraipa"/>
            <w:tag w:val="part_60c80c51922d4e06b9ec4cb7fb4c8432"/>
            <w:lock w:val="sdtLocked"/>
            <w:richText/>
          </w:sdtPr>
          <w:sdtContent>
            <w:p>
              <w:pPr>
                <w:tabs>
                  <w:tab w:val="left" w:pos="1134"/>
                </w:tabs>
                <w:ind w:firstLine="709"/>
                <w:jc w:val="both"/>
              </w:pPr>
              <w:r>
                <w:rPr>
                  <w:szCs w:val="24"/>
                </w:rPr>
                <w:t xml:space="preserve">Patvirtinti </w:t>
              </w:r>
              <w:r>
                <w:rPr>
                  <w:rFonts w:eastAsia="Lucida Sans Unicode"/>
                  <w:szCs w:val="24"/>
                  <w:lang w:eastAsia="zh-CN"/>
                </w:rPr>
                <w:t xml:space="preserve">Skolų pripažinimo beviltiškomis ir jų nurašymo </w:t>
              </w:r>
              <w:r>
                <w:t xml:space="preserve">Radviliškio </w:t>
              </w:r>
              <w:r>
                <w:rPr>
                  <w:rFonts w:eastAsia="Lucida Sans Unicode"/>
                  <w:szCs w:val="24"/>
                  <w:lang w:eastAsia="zh-CN"/>
                </w:rPr>
                <w:t>rajono savivaldybės biudžetinės įstaigose tvarkos aprašą</w:t>
              </w:r>
              <w:r>
                <w:rPr>
                  <w:szCs w:val="24"/>
                  <w:lang w:eastAsia="zh-CN"/>
                </w:rPr>
                <w:t xml:space="preserve"> (pridedama)</w:t>
              </w:r>
              <w:r>
                <w:t>.</w:t>
              </w:r>
              <w:r>
                <w:rPr>
                  <w:szCs w:val="24"/>
                </w:rPr>
                <w:t xml:space="preserve"> </w:t>
              </w:r>
            </w:p>
            <w:p>
              <w:pPr>
                <w:tabs>
                  <w:tab w:val="left" w:pos="7655"/>
                </w:tabs>
              </w:pPr>
            </w:p>
            <w:p>
              <w:pPr>
                <w:tabs>
                  <w:tab w:val="left" w:pos="7655"/>
                </w:tabs>
              </w:pPr>
            </w:p>
            <w:p>
              <w:pPr>
                <w:tabs>
                  <w:tab w:val="left" w:pos="7655"/>
                </w:tabs>
              </w:pPr>
            </w:p>
          </w:sdtContent>
        </w:sdt>
        <w:sdt>
          <w:sdtPr>
            <w:alias w:val="signatura"/>
            <w:tag w:val="part_66fe3c11c9a04ea0858daa1296d8f5f1"/>
            <w:lock w:val="sdtLocked"/>
            <w:richText/>
          </w:sdtPr>
          <w:sdtContent>
            <w:p>
              <w:pPr>
                <w:tabs>
                  <w:tab w:val="left" w:pos="7655"/>
                </w:tabs>
              </w:pPr>
              <w:r>
                <w:rPr>
                  <w:szCs w:val="24"/>
                </w:rPr>
                <w:t xml:space="preserve">Savivaldybės meras </w:t>
                <w:tab/>
              </w:r>
            </w:p>
            <w:p>
              <w:pPr>
                <w:overflowPunct w:val="0"/>
                <w:ind w:left="5102"/>
                <w:jc w:val="both"/>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851" w:left="1701" w:header="709" w:footer="709" w:gutter="0"/>
                  <w:cols w:space="708"/>
                  <w:docGrid w:linePitch="360"/>
                </w:sectPr>
              </w:pPr>
            </w:p>
          </w:sdtContent>
        </w:sdt>
      </w:sdtContent>
    </w:sdt>
    <w:sdt>
      <w:sdtPr>
        <w:alias w:val="patvirtinta"/>
        <w:tag w:val="part_5efdd645bb3d4f74a7a6c68a069b5f14"/>
        <w:lock w:val="sdtLocked"/>
        <w:richText/>
      </w:sdtPr>
      <w:sdtContent>
        <w:p>
          <w:pPr>
            <w:overflowPunct w:val="0"/>
            <w:ind w:left="5102"/>
            <w:jc w:val="both"/>
          </w:pPr>
          <w:r>
            <w:t>PATVIRTINTA</w:t>
          </w:r>
        </w:p>
        <w:p>
          <w:pPr>
            <w:overflowPunct w:val="0"/>
            <w:ind w:left="5102"/>
            <w:jc w:val="both"/>
          </w:pPr>
          <w:r>
            <w:t>Radviliškio rajono savivaldybės tarybos</w:t>
          </w:r>
        </w:p>
        <w:p>
          <w:pPr>
            <w:ind w:left="5102"/>
            <w:rPr>
              <w:szCs w:val="24"/>
              <w:lang w:eastAsia="lt-LT"/>
            </w:rPr>
          </w:pPr>
          <w:r>
            <w:rPr>
              <w:szCs w:val="24"/>
              <w:lang w:eastAsia="lt-LT"/>
            </w:rPr>
            <w:t xml:space="preserve">2025 m. </w:t>
          </w:r>
          <w:r>
            <w:rPr>
              <w:color w:val="000000"/>
              <w:szCs w:val="24"/>
              <w:lang w:eastAsia="lt-LT"/>
            </w:rPr>
            <w:t>lapkričio 27 d</w:t>
          </w:r>
          <w:r>
            <w:rPr>
              <w:szCs w:val="24"/>
              <w:lang w:eastAsia="lt-LT"/>
            </w:rPr>
            <w:t>. sprendimu Nr.</w:t>
          </w:r>
          <w:r>
            <w:rPr>
              <w:color w:val="000000"/>
              <w:szCs w:val="24"/>
              <w:lang w:eastAsia="lt-LT"/>
            </w:rPr>
            <w:t xml:space="preserve"> </w:t>
          </w:r>
          <w:r>
            <w:rPr>
              <w:szCs w:val="24"/>
              <w:lang w:eastAsia="lt-LT"/>
            </w:rPr>
            <w:t xml:space="preserve">T-   </w:t>
          </w:r>
        </w:p>
        <w:p/>
        <w:p>
          <w:pPr>
            <w:overflowPunct w:val="0"/>
            <w:jc w:val="center"/>
            <w:rPr>
              <w:b/>
            </w:rPr>
          </w:pPr>
          <w:sdt>
            <w:sdtPr>
              <w:alias w:val="Pavadinimas"/>
              <w:tag w:val="title_5efdd645bb3d4f74a7a6c68a069b5f14"/>
              <w:lock w:val="sdtLocked"/>
              <w:richText/>
            </w:sdtPr>
            <w:sdtContent>
              <w:r>
                <w:rPr>
                  <w:b/>
                  <w:szCs w:val="24"/>
                  <w:lang w:eastAsia="ar-SA"/>
                </w:rPr>
                <w:t xml:space="preserve">SKOLŲ PRIPAŽINIMO BEVILTIŠKOMIS IR JŲ NURAŠYMO </w:t>
              </w:r>
              <w:r>
                <w:rPr>
                  <w:b/>
                  <w:bCs/>
                  <w:szCs w:val="24"/>
                </w:rPr>
                <w:t xml:space="preserve">RADVILIŠKIO </w:t>
              </w:r>
              <w:r>
                <w:rPr>
                  <w:b/>
                </w:rPr>
                <w:t xml:space="preserve">RAJONO SAVIVALDYBĖS BIUDŽETINĖSE ĮSTAIGOSE </w:t>
              </w:r>
              <w:r>
                <w:rPr>
                  <w:b/>
                  <w:szCs w:val="24"/>
                  <w:lang w:eastAsia="ar-SA"/>
                </w:rPr>
                <w:t xml:space="preserve">TVARKOS </w:t>
              </w:r>
              <w:r>
                <w:rPr>
                  <w:b/>
                </w:rPr>
                <w:t>APRAŠAS</w:t>
              </w:r>
            </w:sdtContent>
          </w:sdt>
        </w:p>
        <w:p>
          <w:pPr>
            <w:overflowPunct w:val="0"/>
            <w:rPr>
              <w:b/>
            </w:rPr>
          </w:pPr>
        </w:p>
        <w:sdt>
          <w:sdtPr>
            <w:alias w:val="skyrius"/>
            <w:tag w:val="part_8ddfa54cb66d4b3c9486d48cc0068a36"/>
            <w:lock w:val="sdtLocked"/>
            <w:richText/>
          </w:sdtPr>
          <w:sdtContent>
            <w:p>
              <w:pPr>
                <w:overflowPunct w:val="0"/>
                <w:jc w:val="center"/>
                <w:rPr>
                  <w:b/>
                </w:rPr>
              </w:pPr>
              <w:sdt>
                <w:sdtPr>
                  <w:alias w:val="Numeris"/>
                  <w:tag w:val="nr_8ddfa54cb66d4b3c9486d48cc0068a36"/>
                  <w:lock w:val="sdtLocked"/>
                  <w:richText/>
                </w:sdtPr>
                <w:sdtContent>
                  <w:r>
                    <w:rPr>
                      <w:b/>
                    </w:rPr>
                    <w:t>I</w:t>
                  </w:r>
                </w:sdtContent>
              </w:sdt>
              <w:r>
                <w:rPr>
                  <w:b/>
                </w:rPr>
                <w:t xml:space="preserve"> SKYRIUS</w:t>
              </w:r>
            </w:p>
            <w:p>
              <w:pPr>
                <w:overflowPunct w:val="0"/>
                <w:jc w:val="center"/>
                <w:rPr>
                  <w:b/>
                </w:rPr>
              </w:pPr>
              <w:sdt>
                <w:sdtPr>
                  <w:alias w:val="Pavadinimas"/>
                  <w:tag w:val="title_8ddfa54cb66d4b3c9486d48cc0068a36"/>
                  <w:lock w:val="sdtLocked"/>
                  <w:richText/>
                </w:sdtPr>
                <w:sdtContent>
                  <w:r>
                    <w:rPr>
                      <w:b/>
                    </w:rPr>
                    <w:t>BENDROSIOS NUOSTATOS</w:t>
                  </w:r>
                </w:sdtContent>
              </w:sdt>
            </w:p>
            <w:p>
              <w:pPr>
                <w:overflowPunct w:val="0"/>
                <w:jc w:val="both"/>
                <w:rPr>
                  <w:szCs w:val="24"/>
                </w:rPr>
              </w:pPr>
            </w:p>
            <w:sdt>
              <w:sdtPr>
                <w:alias w:val="1 p."/>
                <w:tag w:val="part_5000941f388c44b3be7fb716e185c7e6"/>
                <w:lock w:val="sdtLocked"/>
                <w:richText/>
              </w:sdtPr>
              <w:sdtContent>
                <w:p>
                  <w:pPr>
                    <w:tabs>
                      <w:tab w:val="left" w:pos="0"/>
                      <w:tab w:val="left" w:pos="709"/>
                      <w:tab w:val="left" w:pos="1134"/>
                      <w:tab w:val="num" w:pos="1800"/>
                    </w:tabs>
                    <w:ind w:firstLine="851"/>
                    <w:jc w:val="both"/>
                    <w:rPr>
                      <w:lang w:eastAsia="lt-LT"/>
                    </w:rPr>
                  </w:pPr>
                  <w:sdt>
                    <w:sdtPr>
                      <w:alias w:val="Numeris"/>
                      <w:tag w:val="nr_5000941f388c44b3be7fb716e185c7e6"/>
                      <w:lock w:val="sdtLocked"/>
                      <w:richText/>
                    </w:sdtPr>
                    <w:sdtContent>
                      <w:r>
                        <w:rPr>
                          <w:lang w:eastAsia="lt-LT"/>
                        </w:rPr>
                        <w:t>1</w:t>
                      </w:r>
                    </w:sdtContent>
                  </w:sdt>
                  <w:r>
                    <w:rPr>
                      <w:lang w:eastAsia="lt-LT"/>
                    </w:rPr>
                    <w:t xml:space="preserve">. </w:t>
                  </w:r>
                  <w:r>
                    <w:rPr>
                      <w:rFonts w:eastAsia="Lucida Sans Unicode"/>
                      <w:lang w:eastAsia="zh-CN"/>
                    </w:rPr>
                    <w:t xml:space="preserve">Skolų pripažinimo beviltiškomis ir jų nurašymo </w:t>
                  </w:r>
                  <w:r>
                    <w:t xml:space="preserve">Radviliškio </w:t>
                  </w:r>
                  <w:r>
                    <w:rPr>
                      <w:rFonts w:eastAsia="Lucida Sans Unicode"/>
                      <w:lang w:eastAsia="zh-CN"/>
                    </w:rPr>
                    <w:t>rajono savivaldybės biudžetinėse įstaigose tvarkos aprašas</w:t>
                  </w:r>
                  <w:r>
                    <w:rPr>
                      <w:lang w:eastAsia="zh-CN"/>
                    </w:rPr>
                    <w:t xml:space="preserve"> </w:t>
                  </w:r>
                  <w:r>
                    <w:rPr>
                      <w:lang w:eastAsia="lt-LT"/>
                    </w:rPr>
                    <w:t>(toliau – Tvarkos aprašas) reglamentuoja skolų pripažinimo beviltiškomis, pastangų susigrąžinti šias skolas įrodymo procedūras bei skolų nurašymą.</w:t>
                  </w:r>
                </w:p>
              </w:sdtContent>
            </w:sdt>
            <w:sdt>
              <w:sdtPr>
                <w:alias w:val="2 p."/>
                <w:tag w:val="part_23799c00f02c4778a866c103f2332101"/>
                <w:lock w:val="sdtLocked"/>
                <w:richText/>
              </w:sdtPr>
              <w:sdtContent>
                <w:p>
                  <w:pPr>
                    <w:tabs>
                      <w:tab w:val="left" w:pos="0"/>
                      <w:tab w:val="left" w:pos="720"/>
                      <w:tab w:val="left" w:pos="900"/>
                      <w:tab w:val="left" w:pos="1134"/>
                      <w:tab w:val="num" w:pos="1800"/>
                    </w:tabs>
                    <w:ind w:firstLine="851"/>
                    <w:jc w:val="both"/>
                    <w:rPr>
                      <w:lang w:eastAsia="lt-LT"/>
                    </w:rPr>
                  </w:pPr>
                  <w:sdt>
                    <w:sdtPr>
                      <w:alias w:val="Numeris"/>
                      <w:tag w:val="nr_23799c00f02c4778a866c103f2332101"/>
                      <w:lock w:val="sdtLocked"/>
                      <w:richText/>
                    </w:sdtPr>
                    <w:sdtContent>
                      <w:r>
                        <w:rPr>
                          <w:lang w:eastAsia="lt-LT"/>
                        </w:rPr>
                        <w:t>2</w:t>
                      </w:r>
                    </w:sdtContent>
                  </w:sdt>
                  <w:r>
                    <w:rPr>
                      <w:lang w:eastAsia="lt-LT"/>
                    </w:rPr>
                    <w:t xml:space="preserve">. Šis Tvarkos aprašas taikomas visoms </w:t>
                  </w:r>
                  <w:r>
                    <w:t xml:space="preserve">Radviliškio </w:t>
                  </w:r>
                  <w:r>
                    <w:rPr>
                      <w:lang w:eastAsia="lt-LT"/>
                    </w:rPr>
                    <w:t>rajono savivaldybės (toliau – savivaldybė) biudžetinėms įstaigoms</w:t>
                  </w:r>
                  <w:r>
                    <w:rPr>
                      <w:color w:val="000000"/>
                      <w:lang w:eastAsia="lt-LT"/>
                    </w:rPr>
                    <w:t xml:space="preserve"> (toliau kartu – savivaldybės įstaigos, atskirai – savivaldybės įstaiga).</w:t>
                  </w:r>
                </w:p>
              </w:sdtContent>
            </w:sdt>
            <w:sdt>
              <w:sdtPr>
                <w:alias w:val="3 p."/>
                <w:tag w:val="part_040546e685ca45c8b33229d003bc8ca2"/>
                <w:lock w:val="sdtLocked"/>
                <w:richText/>
              </w:sdtPr>
              <w:sdtContent>
                <w:p>
                  <w:pPr>
                    <w:tabs>
                      <w:tab w:val="left" w:pos="0"/>
                    </w:tabs>
                    <w:overflowPunct w:val="0"/>
                    <w:ind w:firstLine="851"/>
                    <w:jc w:val="both"/>
                    <w:rPr>
                      <w:lang w:eastAsia="lt-LT"/>
                    </w:rPr>
                  </w:pPr>
                  <w:sdt>
                    <w:sdtPr>
                      <w:alias w:val="Numeris"/>
                      <w:tag w:val="nr_040546e685ca45c8b33229d003bc8ca2"/>
                      <w:lock w:val="sdtLocked"/>
                      <w:richText/>
                    </w:sdtPr>
                    <w:sdtContent>
                      <w:r>
                        <w:rPr>
                          <w:lang w:eastAsia="lt-LT"/>
                        </w:rPr>
                        <w:t>3</w:t>
                      </w:r>
                    </w:sdtContent>
                  </w:sdt>
                  <w:r>
                    <w:rPr>
                      <w:lang w:eastAsia="lt-LT"/>
                    </w:rPr>
                    <w:t xml:space="preserve">. Šis Tvarkos aprašas parengtas, vadovaujantis </w:t>
                  </w:r>
                  <w:r>
                    <w:rPr>
                      <w:szCs w:val="24"/>
                    </w:rPr>
                    <w:t>Lietuvos Respublikos civiliniu kodeksu ir Skolų beviltiškumo bei pastangų susigrąžinti šias skolas įrodymo ir beviltiškų skolų sumų apskaičiavimo taisyklėmis, patvirtintomis Lietuvos Respublikos finansų ministro 2002 m. vasario 11 d. įsakymu Nr. 40 „Dėl Skolų beviltiškumo bei pastangų susigrąžinti šias skolas įrodymo ir beviltiškų skolų sumų apskaičiavimo taisyklių patvirtinimo“</w:t>
                  </w:r>
                  <w:r>
                    <w:rPr>
                      <w:lang w:eastAsia="lt-LT"/>
                    </w:rPr>
                    <w:t>.</w:t>
                  </w:r>
                </w:p>
                <w:p>
                  <w:pPr>
                    <w:tabs>
                      <w:tab w:val="left" w:pos="0"/>
                    </w:tabs>
                    <w:overflowPunct w:val="0"/>
                    <w:ind w:firstLine="851"/>
                    <w:jc w:val="both"/>
                    <w:rPr>
                      <w:color w:val="000000"/>
                    </w:rPr>
                  </w:pPr>
                </w:p>
                <w:p>
                  <w:pPr>
                    <w:overflowPunct w:val="0"/>
                    <w:ind w:firstLine="567"/>
                    <w:jc w:val="both"/>
                    <w:rPr>
                      <w:sz w:val="16"/>
                      <w:szCs w:val="16"/>
                      <w:lang w:eastAsia="lt-LT"/>
                    </w:rPr>
                  </w:pPr>
                </w:p>
              </w:sdtContent>
            </w:sdt>
          </w:sdtContent>
        </w:sdt>
        <w:sdt>
          <w:sdtPr>
            <w:alias w:val="skyrius"/>
            <w:tag w:val="part_cf9ea63ca7b44b8c81b141a714cd1c19"/>
            <w:lock w:val="sdtLocked"/>
            <w:richText/>
          </w:sdtPr>
          <w:sdtContent>
            <w:p>
              <w:pPr>
                <w:overflowPunct w:val="0"/>
                <w:jc w:val="center"/>
                <w:rPr>
                  <w:b/>
                  <w:szCs w:val="24"/>
                </w:rPr>
              </w:pPr>
              <w:sdt>
                <w:sdtPr>
                  <w:alias w:val="Numeris"/>
                  <w:tag w:val="nr_cf9ea63ca7b44b8c81b141a714cd1c19"/>
                  <w:lock w:val="sdtLocked"/>
                  <w:richText/>
                </w:sdtPr>
                <w:sdtContent>
                  <w:r>
                    <w:rPr>
                      <w:b/>
                    </w:rPr>
                    <w:t>II</w:t>
                  </w:r>
                </w:sdtContent>
              </w:sdt>
              <w:r>
                <w:rPr>
                  <w:b/>
                </w:rPr>
                <w:t xml:space="preserve"> SKYRIUS</w:t>
              </w:r>
            </w:p>
            <w:p>
              <w:pPr>
                <w:overflowPunct w:val="0"/>
                <w:jc w:val="center"/>
                <w:rPr>
                  <w:b/>
                  <w:bCs/>
                  <w:color w:val="000000"/>
                  <w:lang w:eastAsia="lt-LT"/>
                </w:rPr>
              </w:pPr>
              <w:sdt>
                <w:sdtPr>
                  <w:alias w:val="Pavadinimas"/>
                  <w:tag w:val="title_cf9ea63ca7b44b8c81b141a714cd1c19"/>
                  <w:lock w:val="sdtLocked"/>
                  <w:richText/>
                </w:sdtPr>
                <w:sdtContent>
                  <w:r>
                    <w:rPr>
                      <w:b/>
                      <w:lang w:eastAsia="lt-LT"/>
                    </w:rPr>
                    <w:t>SKOLŲ PRIPAŽINIMAS BEVILTIŠKOMIS</w:t>
                  </w:r>
                </w:sdtContent>
              </w:sdt>
            </w:p>
            <w:p>
              <w:pPr>
                <w:overflowPunct w:val="0"/>
                <w:jc w:val="center"/>
                <w:rPr>
                  <w:b/>
                  <w:bCs/>
                </w:rPr>
              </w:pPr>
            </w:p>
            <w:sdt>
              <w:sdtPr>
                <w:alias w:val="4 p."/>
                <w:tag w:val="part_aed6ba8a1ff94404a14737eb5321b06a"/>
                <w:lock w:val="sdtLocked"/>
                <w:richText/>
              </w:sdtPr>
              <w:sdtContent>
                <w:p>
                  <w:pPr>
                    <w:tabs>
                      <w:tab w:val="left" w:pos="851"/>
                      <w:tab w:val="left" w:pos="900"/>
                    </w:tabs>
                    <w:ind w:firstLine="851"/>
                    <w:jc w:val="both"/>
                    <w:rPr>
                      <w:szCs w:val="24"/>
                      <w:lang w:eastAsia="lt-LT"/>
                    </w:rPr>
                  </w:pPr>
                  <w:sdt>
                    <w:sdtPr>
                      <w:alias w:val="Numeris"/>
                      <w:tag w:val="nr_aed6ba8a1ff94404a14737eb5321b06a"/>
                      <w:lock w:val="sdtLocked"/>
                      <w:richText/>
                    </w:sdtPr>
                    <w:sdtContent>
                      <w:r>
                        <w:rPr>
                          <w:lang w:eastAsia="lt-LT"/>
                        </w:rPr>
                        <w:t>4</w:t>
                      </w:r>
                    </w:sdtContent>
                  </w:sdt>
                  <w:r>
                    <w:rPr>
                      <w:lang w:eastAsia="lt-LT"/>
                    </w:rPr>
                    <w:t>. Skola, jos dalis ir / ar delspinigiai (toliau – skola), kurių neįmanoma ar netikslinga išieškoti iš fizinio ar juridinio asmens (toliau – skolininkas), gali būti pripažinta beviltiška dėl šių priežasčių:</w:t>
                  </w:r>
                </w:p>
                <w:sdt>
                  <w:sdtPr>
                    <w:alias w:val="4.1 pp."/>
                    <w:tag w:val="part_7edd9803c15e4337ab0a242b94340ee3"/>
                    <w:lock w:val="sdtLocked"/>
                    <w:richText/>
                  </w:sdtPr>
                  <w:sdtContent>
                    <w:p>
                      <w:pPr>
                        <w:tabs>
                          <w:tab w:val="left" w:pos="851"/>
                        </w:tabs>
                        <w:ind w:firstLine="851"/>
                        <w:jc w:val="both"/>
                        <w:rPr>
                          <w:lang w:eastAsia="lt-LT"/>
                        </w:rPr>
                      </w:pPr>
                      <w:sdt>
                        <w:sdtPr>
                          <w:alias w:val="Numeris"/>
                          <w:tag w:val="nr_7edd9803c15e4337ab0a242b94340ee3"/>
                          <w:lock w:val="sdtLocked"/>
                          <w:richText/>
                        </w:sdtPr>
                        <w:sdtContent>
                          <w:r>
                            <w:rPr>
                              <w:lang w:eastAsia="lt-LT"/>
                            </w:rPr>
                            <w:t>4.1</w:t>
                          </w:r>
                        </w:sdtContent>
                      </w:sdt>
                      <w:r>
                        <w:rPr>
                          <w:lang w:eastAsia="lt-LT"/>
                        </w:rPr>
                        <w:t xml:space="preserve">. </w:t>
                      </w:r>
                      <w:r>
                        <w:rPr>
                          <w:color w:val="000000"/>
                          <w:lang w:eastAsia="lt-LT"/>
                        </w:rPr>
                        <w:t>savivaldybės</w:t>
                      </w:r>
                      <w:r>
                        <w:rPr>
                          <w:lang w:eastAsia="lt-LT"/>
                        </w:rPr>
                        <w:t xml:space="preserve"> įstaiga negali susigrąžinti skolos, kuri neviršija arba lygi 150 eurų, praėjus ne mažiau kaip trejiems metams nuo skolos įtraukimo į apskaitą momento;</w:t>
                      </w:r>
                    </w:p>
                  </w:sdtContent>
                </w:sdt>
                <w:sdt>
                  <w:sdtPr>
                    <w:alias w:val="4.2 pp."/>
                    <w:tag w:val="part_468431fb515b463785444c5119170034"/>
                    <w:lock w:val="sdtLocked"/>
                    <w:richText/>
                  </w:sdtPr>
                  <w:sdtContent>
                    <w:p>
                      <w:pPr>
                        <w:tabs>
                          <w:tab w:val="left" w:pos="851"/>
                        </w:tabs>
                        <w:ind w:firstLine="851"/>
                        <w:jc w:val="both"/>
                        <w:rPr>
                          <w:lang w:eastAsia="lt-LT"/>
                        </w:rPr>
                      </w:pPr>
                      <w:sdt>
                        <w:sdtPr>
                          <w:alias w:val="Numeris"/>
                          <w:tag w:val="nr_468431fb515b463785444c5119170034"/>
                          <w:lock w:val="sdtLocked"/>
                          <w:richText/>
                        </w:sdtPr>
                        <w:sdtContent>
                          <w:r>
                            <w:rPr>
                              <w:lang w:eastAsia="lt-LT"/>
                            </w:rPr>
                            <w:t>4.2</w:t>
                          </w:r>
                        </w:sdtContent>
                      </w:sdt>
                      <w:r>
                        <w:rPr>
                          <w:lang w:eastAsia="lt-LT"/>
                        </w:rPr>
                        <w:t xml:space="preserve">. </w:t>
                      </w:r>
                      <w:r>
                        <w:rPr>
                          <w:color w:val="000000"/>
                          <w:lang w:eastAsia="lt-LT"/>
                        </w:rPr>
                        <w:t>savivaldybės</w:t>
                      </w:r>
                      <w:r>
                        <w:rPr>
                          <w:lang w:eastAsia="lt-LT"/>
                        </w:rPr>
                        <w:t xml:space="preserve"> įstaiga negali susigrąžinti skolos, kuri viršija 150 eurų, praėjus ne mažiau kaip penkeriems metams nuo skolos įtraukimo į apskaitą momento;</w:t>
                      </w:r>
                    </w:p>
                  </w:sdtContent>
                </w:sdt>
                <w:sdt>
                  <w:sdtPr>
                    <w:alias w:val="4.3 pp."/>
                    <w:tag w:val="part_b775ad857344445aab513b27a25e9391"/>
                    <w:lock w:val="sdtLocked"/>
                    <w:richText/>
                  </w:sdtPr>
                  <w:sdtContent>
                    <w:p>
                      <w:pPr>
                        <w:tabs>
                          <w:tab w:val="left" w:pos="851"/>
                        </w:tabs>
                        <w:ind w:firstLine="851"/>
                        <w:jc w:val="both"/>
                        <w:rPr>
                          <w:color w:val="000000"/>
                          <w:lang w:eastAsia="lt-LT"/>
                        </w:rPr>
                      </w:pPr>
                      <w:sdt>
                        <w:sdtPr>
                          <w:alias w:val="Numeris"/>
                          <w:tag w:val="nr_b775ad857344445aab513b27a25e9391"/>
                          <w:lock w:val="sdtLocked"/>
                          <w:richText/>
                        </w:sdtPr>
                        <w:sdtContent>
                          <w:r>
                            <w:rPr>
                              <w:lang w:eastAsia="lt-LT"/>
                            </w:rPr>
                            <w:t>4.3</w:t>
                          </w:r>
                        </w:sdtContent>
                      </w:sdt>
                      <w:r>
                        <w:rPr>
                          <w:lang w:eastAsia="lt-LT"/>
                        </w:rPr>
                        <w:t xml:space="preserve">. skolininkas yra </w:t>
                      </w:r>
                      <w:r>
                        <w:rPr>
                          <w:color w:val="000000"/>
                          <w:lang w:eastAsia="lt-LT"/>
                        </w:rPr>
                        <w:t>miręs arba paskelbtas mirusiu ir nėra įpėdinių, galinčių atsakyti už skolinius įsipareigojimus, arba įpėdinio turto nepakanka palikėjo skoloms susigrąžinti;</w:t>
                      </w:r>
                    </w:p>
                  </w:sdtContent>
                </w:sdt>
                <w:sdt>
                  <w:sdtPr>
                    <w:alias w:val="4.4 pp."/>
                    <w:tag w:val="part_4a25053a3a8f4c18bee77a2f62e8a922"/>
                    <w:lock w:val="sdtLocked"/>
                    <w:richText/>
                  </w:sdtPr>
                  <w:sdtContent>
                    <w:p>
                      <w:pPr>
                        <w:tabs>
                          <w:tab w:val="left" w:pos="851"/>
                        </w:tabs>
                        <w:ind w:firstLine="851"/>
                        <w:jc w:val="both"/>
                        <w:rPr>
                          <w:color w:val="000000"/>
                          <w:lang w:eastAsia="lt-LT"/>
                        </w:rPr>
                      </w:pPr>
                      <w:sdt>
                        <w:sdtPr>
                          <w:alias w:val="Numeris"/>
                          <w:tag w:val="nr_4a25053a3a8f4c18bee77a2f62e8a922"/>
                          <w:lock w:val="sdtLocked"/>
                          <w:richText/>
                        </w:sdtPr>
                        <w:sdtContent>
                          <w:r>
                            <w:rPr>
                              <w:color w:val="000000"/>
                              <w:lang w:eastAsia="lt-LT"/>
                            </w:rPr>
                            <w:t>4.4</w:t>
                          </w:r>
                        </w:sdtContent>
                      </w:sdt>
                      <w:r>
                        <w:rPr>
                          <w:color w:val="000000"/>
                          <w:lang w:eastAsia="lt-LT"/>
                        </w:rPr>
                        <w:t>. skolininkas yra likviduotas;</w:t>
                      </w:r>
                    </w:p>
                  </w:sdtContent>
                </w:sdt>
                <w:sdt>
                  <w:sdtPr>
                    <w:alias w:val="4.5 pp."/>
                    <w:tag w:val="part_a2378f4b11494c20896258c9f5ccc043"/>
                    <w:lock w:val="sdtLocked"/>
                    <w:richText/>
                  </w:sdtPr>
                  <w:sdtContent>
                    <w:p>
                      <w:pPr>
                        <w:tabs>
                          <w:tab w:val="left" w:pos="851"/>
                        </w:tabs>
                        <w:ind w:firstLine="851"/>
                        <w:jc w:val="both"/>
                        <w:rPr>
                          <w:color w:val="000000"/>
                          <w:lang w:eastAsia="lt-LT"/>
                        </w:rPr>
                      </w:pPr>
                      <w:sdt>
                        <w:sdtPr>
                          <w:alias w:val="Numeris"/>
                          <w:tag w:val="nr_a2378f4b11494c20896258c9f5ccc043"/>
                          <w:lock w:val="sdtLocked"/>
                          <w:richText/>
                        </w:sdtPr>
                        <w:sdtContent>
                          <w:r>
                            <w:rPr>
                              <w:color w:val="000000"/>
                              <w:lang w:eastAsia="lt-LT"/>
                            </w:rPr>
                            <w:t>4.5</w:t>
                          </w:r>
                        </w:sdtContent>
                      </w:sdt>
                      <w:r>
                        <w:rPr>
                          <w:color w:val="000000"/>
                          <w:lang w:eastAsia="lt-LT"/>
                        </w:rPr>
                        <w:t>. skolininkas yra bankrutavęs;</w:t>
                      </w:r>
                    </w:p>
                  </w:sdtContent>
                </w:sdt>
                <w:sdt>
                  <w:sdtPr>
                    <w:alias w:val="4.6 pp."/>
                    <w:tag w:val="part_b26e5676648e46efa33dd0e4d0fddd7d"/>
                    <w:lock w:val="sdtLocked"/>
                    <w:richText/>
                  </w:sdtPr>
                  <w:sdtContent>
                    <w:p>
                      <w:pPr>
                        <w:tabs>
                          <w:tab w:val="left" w:pos="851"/>
                        </w:tabs>
                        <w:ind w:firstLine="851"/>
                        <w:jc w:val="both"/>
                        <w:rPr>
                          <w:color w:val="000000"/>
                          <w:lang w:eastAsia="lt-LT"/>
                        </w:rPr>
                      </w:pPr>
                      <w:sdt>
                        <w:sdtPr>
                          <w:alias w:val="Numeris"/>
                          <w:tag w:val="nr_b26e5676648e46efa33dd0e4d0fddd7d"/>
                          <w:lock w:val="sdtLocked"/>
                          <w:richText/>
                        </w:sdtPr>
                        <w:sdtContent>
                          <w:r>
                            <w:rPr>
                              <w:color w:val="000000"/>
                              <w:lang w:eastAsia="lt-LT"/>
                            </w:rPr>
                            <w:t>4.6</w:t>
                          </w:r>
                        </w:sdtContent>
                      </w:sdt>
                      <w:r>
                        <w:rPr>
                          <w:color w:val="000000"/>
                          <w:lang w:eastAsia="lt-LT"/>
                        </w:rPr>
                        <w:t>. suėjęs skolos išieškojimo senaties terminas;</w:t>
                      </w:r>
                    </w:p>
                  </w:sdtContent>
                </w:sdt>
                <w:sdt>
                  <w:sdtPr>
                    <w:alias w:val="4.7 pp."/>
                    <w:tag w:val="part_b4ff1e08ae5a43939297b43c351ad46c"/>
                    <w:lock w:val="sdtLocked"/>
                    <w:richText/>
                  </w:sdtPr>
                  <w:sdtContent>
                    <w:p>
                      <w:pPr>
                        <w:tabs>
                          <w:tab w:val="left" w:pos="851"/>
                        </w:tabs>
                        <w:ind w:firstLine="851"/>
                        <w:jc w:val="both"/>
                        <w:rPr>
                          <w:color w:val="000000"/>
                          <w:lang w:eastAsia="lt-LT"/>
                        </w:rPr>
                      </w:pPr>
                      <w:sdt>
                        <w:sdtPr>
                          <w:alias w:val="Numeris"/>
                          <w:tag w:val="nr_b4ff1e08ae5a43939297b43c351ad46c"/>
                          <w:lock w:val="sdtLocked"/>
                          <w:richText/>
                        </w:sdtPr>
                        <w:sdtContent>
                          <w:r>
                            <w:rPr>
                              <w:color w:val="000000"/>
                              <w:lang w:eastAsia="lt-LT"/>
                            </w:rPr>
                            <w:t>4.7</w:t>
                          </w:r>
                        </w:sdtContent>
                      </w:sdt>
                      <w:r>
                        <w:rPr>
                          <w:color w:val="000000"/>
                          <w:lang w:eastAsia="lt-LT"/>
                        </w:rPr>
                        <w:t>. skolos išieškojimo išlaidos didesnės už pačią skolą;</w:t>
                      </w:r>
                    </w:p>
                  </w:sdtContent>
                </w:sdt>
                <w:sdt>
                  <w:sdtPr>
                    <w:alias w:val="4.8 pp."/>
                    <w:tag w:val="part_00e27152ad3c434ba9e85eeeef0ad2aa"/>
                    <w:lock w:val="sdtLocked"/>
                    <w:richText/>
                  </w:sdtPr>
                  <w:sdtContent>
                    <w:p>
                      <w:pPr>
                        <w:tabs>
                          <w:tab w:val="left" w:pos="851"/>
                        </w:tabs>
                        <w:ind w:firstLine="851"/>
                        <w:jc w:val="both"/>
                        <w:rPr>
                          <w:color w:val="000000"/>
                          <w:lang w:eastAsia="lt-LT"/>
                        </w:rPr>
                      </w:pPr>
                      <w:sdt>
                        <w:sdtPr>
                          <w:alias w:val="Numeris"/>
                          <w:tag w:val="nr_00e27152ad3c434ba9e85eeeef0ad2aa"/>
                          <w:lock w:val="sdtLocked"/>
                          <w:richText/>
                        </w:sdtPr>
                        <w:sdtContent>
                          <w:r>
                            <w:t>4.8</w:t>
                          </w:r>
                        </w:sdtContent>
                      </w:sdt>
                      <w:r>
                        <w:t>. skolininkas neidentifikuojamas ar nepasiekiamas</w:t>
                      </w:r>
                      <w:r>
                        <w:rPr>
                          <w:color w:val="000000"/>
                          <w:lang w:eastAsia="lt-LT"/>
                        </w:rPr>
                        <w:t>.</w:t>
                      </w:r>
                    </w:p>
                  </w:sdtContent>
                </w:sdt>
              </w:sdtContent>
            </w:sdt>
            <w:sdt>
              <w:sdtPr>
                <w:alias w:val="5 p."/>
                <w:tag w:val="part_242eceebb1e44374a8b85a91ebb194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lang w:eastAsia="lt-LT"/>
                    </w:rPr>
                  </w:pPr>
                  <w:sdt>
                    <w:sdtPr>
                      <w:alias w:val="Numeris"/>
                      <w:tag w:val="nr_242eceebb1e44374a8b85a91ebb1948a"/>
                      <w:lock w:val="sdtLocked"/>
                      <w:richText/>
                    </w:sdtPr>
                    <w:sdtContent>
                      <w:r>
                        <w:rPr>
                          <w:color w:val="000000"/>
                          <w:lang w:eastAsia="lt-LT"/>
                        </w:rPr>
                        <w:t>5</w:t>
                      </w:r>
                    </w:sdtContent>
                  </w:sdt>
                  <w:r>
                    <w:rPr>
                      <w:color w:val="000000"/>
                      <w:lang w:eastAsia="lt-LT"/>
                    </w:rPr>
                    <w:t>. Visais šio Tvarkos aprašo 4 punkte nurodytais atvejais savivaldybės įstaiga turi įrodyti skolų beviltiškumą ir pastangas šioms skoloms susigrąžinti, turėti šio Tvarkos aprašo III skyriuje nurodytus tai įrodančius dokumentus.</w:t>
                  </w:r>
                </w:p>
                <w:p>
                  <w:pPr>
                    <w:rPr>
                      <w:b/>
                      <w:lang w:eastAsia="lt-LT"/>
                    </w:rPr>
                  </w:pPr>
                </w:p>
              </w:sdtContent>
            </w:sdt>
          </w:sdtContent>
        </w:sdt>
        <w:sdt>
          <w:sdtPr>
            <w:alias w:val="skyrius"/>
            <w:tag w:val="part_3505b3d5a6da4c65ae8d38e19a43bbf2"/>
            <w:lock w:val="sdtLocked"/>
            <w:richText/>
          </w:sdtPr>
          <w:sdtContent>
            <w:p>
              <w:pPr>
                <w:jc w:val="center"/>
                <w:rPr>
                  <w:b/>
                </w:rPr>
              </w:pPr>
              <w:sdt>
                <w:sdtPr>
                  <w:alias w:val="Numeris"/>
                  <w:tag w:val="nr_3505b3d5a6da4c65ae8d38e19a43bbf2"/>
                  <w:lock w:val="sdtLocked"/>
                  <w:richText/>
                </w:sdtPr>
                <w:sdtContent>
                  <w:r>
                    <w:rPr>
                      <w:b/>
                    </w:rPr>
                    <w:t>III</w:t>
                  </w:r>
                </w:sdtContent>
              </w:sdt>
              <w:r>
                <w:rPr>
                  <w:b/>
                </w:rPr>
                <w:t xml:space="preserve"> SKYRIUS</w:t>
              </w:r>
            </w:p>
            <w:p>
              <w:pPr>
                <w:jc w:val="center"/>
                <w:rPr>
                  <w:b/>
                </w:rPr>
              </w:pPr>
              <w:sdt>
                <w:sdtPr>
                  <w:alias w:val="Pavadinimas"/>
                  <w:tag w:val="title_3505b3d5a6da4c65ae8d38e19a43bbf2"/>
                  <w:lock w:val="sdtLocked"/>
                  <w:richText/>
                </w:sdtPr>
                <w:sdtContent>
                  <w:r>
                    <w:rPr>
                      <w:b/>
                      <w:lang w:eastAsia="lt-LT"/>
                    </w:rPr>
                    <w:t>SKOLŲ BEVILTIŠKUMĄ ĮRODANTYS DOKUMENTAI</w:t>
                  </w:r>
                </w:sdtContent>
              </w:sdt>
            </w:p>
            <w:p>
              <w:pPr>
                <w:jc w:val="center"/>
                <w:rPr>
                  <w:b/>
                </w:rPr>
              </w:pPr>
            </w:p>
            <w:sdt>
              <w:sdtPr>
                <w:alias w:val="6 p."/>
                <w:tag w:val="part_b5a2c3cca4ce40419e6aee5cc83361b2"/>
                <w:lock w:val="sdtLocked"/>
                <w:richText/>
              </w:sdtPr>
              <w:sdtContent>
                <w:p>
                  <w:pPr>
                    <w:tabs>
                      <w:tab w:val="left" w:pos="851"/>
                    </w:tabs>
                    <w:ind w:firstLine="851"/>
                    <w:jc w:val="both"/>
                    <w:rPr>
                      <w:lang w:eastAsia="lt-LT"/>
                    </w:rPr>
                  </w:pPr>
                  <w:sdt>
                    <w:sdtPr>
                      <w:alias w:val="Numeris"/>
                      <w:tag w:val="nr_b5a2c3cca4ce40419e6aee5cc83361b2"/>
                      <w:lock w:val="sdtLocked"/>
                      <w:richText/>
                    </w:sdtPr>
                    <w:sdtContent>
                      <w:r>
                        <w:rPr>
                          <w:lang w:eastAsia="lt-LT"/>
                        </w:rPr>
                        <w:t>6</w:t>
                      </w:r>
                    </w:sdtContent>
                  </w:sdt>
                  <w:r>
                    <w:rPr>
                      <w:lang w:eastAsia="lt-LT"/>
                    </w:rPr>
                    <w:t>. Šio Tvarkos aprašo 4.1 papunktyje nurodytais atvejais skolų beviltiškumą ir pastangas susigrąžinti skolas įrodo skolų suderinimo aktai (jei jie sudaryti (pasirašyti)) arba įrodymai, kad šie aktai, informaciniai pranešimai buvo siųsti skolininkui, savivaldybės įstaigos išoriniai dokumentai (susirašinėjimo su skolininku įrodymai – laiškai, elektroniniai laiškai, bankų, audito firmų ir kitų organizacijų rašytinė informacija, susijusi su skolininko finansinės būklės įvertinimu, ir kt.).</w:t>
                  </w:r>
                </w:p>
              </w:sdtContent>
            </w:sdt>
            <w:sdt>
              <w:sdtPr>
                <w:alias w:val="7 p."/>
                <w:tag w:val="part_ff4f4ecd0c024b659f8bf55295f4b8ab"/>
                <w:lock w:val="sdtLocked"/>
                <w:richText/>
              </w:sdtPr>
              <w:sdtContent>
                <w:p>
                  <w:pPr>
                    <w:tabs>
                      <w:tab w:val="left" w:pos="851"/>
                      <w:tab w:val="left" w:pos="1134"/>
                      <w:tab w:val="left" w:pos="1276"/>
                    </w:tabs>
                    <w:ind w:firstLine="851"/>
                    <w:jc w:val="both"/>
                    <w:rPr>
                      <w:lang w:eastAsia="lt-LT"/>
                    </w:rPr>
                  </w:pPr>
                  <w:sdt>
                    <w:sdtPr>
                      <w:alias w:val="Numeris"/>
                      <w:tag w:val="nr_ff4f4ecd0c024b659f8bf55295f4b8ab"/>
                      <w:lock w:val="sdtLocked"/>
                      <w:richText/>
                    </w:sdtPr>
                    <w:sdtContent>
                      <w:r>
                        <w:rPr>
                          <w:lang w:eastAsia="lt-LT"/>
                        </w:rPr>
                        <w:t>7</w:t>
                      </w:r>
                    </w:sdtContent>
                  </w:sdt>
                  <w:r>
                    <w:rPr>
                      <w:lang w:eastAsia="lt-LT"/>
                    </w:rPr>
                    <w:t>.</w:t>
                    <w:tab/>
                    <w:t xml:space="preserve">Šio Tvarkos aprašo 4.2 papunktyje nurodytais atvejais siekiant įrodyti skolų beviltiškumą ir pastangas susigrąžinti skolas įrodo: </w:t>
                  </w:r>
                </w:p>
                <w:sdt>
                  <w:sdtPr>
                    <w:alias w:val="7.1 pp."/>
                    <w:tag w:val="part_f39e11b3b5d949bab9f3282509b318c8"/>
                    <w:lock w:val="sdtLocked"/>
                    <w:richText/>
                  </w:sdtPr>
                  <w:sdtContent>
                    <w:p>
                      <w:pPr>
                        <w:tabs>
                          <w:tab w:val="left" w:pos="851"/>
                          <w:tab w:val="left" w:pos="1276"/>
                        </w:tabs>
                        <w:ind w:firstLine="851"/>
                        <w:jc w:val="both"/>
                        <w:rPr>
                          <w:lang w:eastAsia="lt-LT"/>
                        </w:rPr>
                      </w:pPr>
                      <w:sdt>
                        <w:sdtPr>
                          <w:alias w:val="Numeris"/>
                          <w:tag w:val="nr_f39e11b3b5d949bab9f3282509b318c8"/>
                          <w:lock w:val="sdtLocked"/>
                          <w:richText/>
                        </w:sdtPr>
                        <w:sdtContent>
                          <w:r>
                            <w:rPr>
                              <w:lang w:eastAsia="lt-LT"/>
                            </w:rPr>
                            <w:t>7.1</w:t>
                          </w:r>
                        </w:sdtContent>
                      </w:sdt>
                      <w:r>
                        <w:rPr>
                          <w:lang w:eastAsia="lt-LT"/>
                        </w:rPr>
                        <w:t>.</w:t>
                        <w:tab/>
                        <w:t xml:space="preserve">skolų suderinimo aktai (jei jie sudaryti (pasirašyti)) arba įrodymai, kad šie aktai, informaciniai pranešimai buvo siųsti skolininkui, savivaldybės įstaigos išoriniai dokumentai (susirašinėjimo su skolininku įrodymai – laiškai, elektroniniai laiškai, bankų, audito firmų ir kitų organizacijų rašytinė informacija, susijusi su skolininko finansinės būklės įvertinimu, ir kt.); </w:t>
                      </w:r>
                    </w:p>
                  </w:sdtContent>
                </w:sdt>
                <w:sdt>
                  <w:sdtPr>
                    <w:alias w:val="7.2 pp."/>
                    <w:tag w:val="part_da96c002672648f9b7ad9469def5d9bb"/>
                    <w:lock w:val="sdtLocked"/>
                    <w:richText/>
                  </w:sdtPr>
                  <w:sdtContent>
                    <w:p>
                      <w:pPr>
                        <w:tabs>
                          <w:tab w:val="left" w:pos="851"/>
                          <w:tab w:val="left" w:pos="1276"/>
                        </w:tabs>
                        <w:ind w:firstLine="851"/>
                        <w:jc w:val="both"/>
                        <w:rPr>
                          <w:lang w:eastAsia="lt-LT"/>
                        </w:rPr>
                      </w:pPr>
                      <w:sdt>
                        <w:sdtPr>
                          <w:alias w:val="Numeris"/>
                          <w:tag w:val="nr_da96c002672648f9b7ad9469def5d9bb"/>
                          <w:lock w:val="sdtLocked"/>
                          <w:richText/>
                        </w:sdtPr>
                        <w:sdtContent>
                          <w:r>
                            <w:rPr>
                              <w:lang w:eastAsia="lt-LT"/>
                            </w:rPr>
                            <w:t>7.2</w:t>
                          </w:r>
                        </w:sdtContent>
                      </w:sdt>
                      <w:r>
                        <w:rPr>
                          <w:lang w:eastAsia="lt-LT"/>
                        </w:rPr>
                        <w:t>.</w:t>
                        <w:tab/>
                        <w:t xml:space="preserve">įsiteisėjęs Lietuvos Respublikos teismo (arba ginčą nagrinėjusios institucijos) sprendimas, nuosprendis arba nutartis (toliau – teismo sprendimas), kuriais patvirtinama savivaldybės įstaigos teisė susigrąžinti skolas, arba teismo sprendimas, kuriuo sumažėja arba paneigiamos skolininko skolos; </w:t>
                      </w:r>
                    </w:p>
                  </w:sdtContent>
                </w:sdt>
                <w:sdt>
                  <w:sdtPr>
                    <w:alias w:val="7.3 pp."/>
                    <w:tag w:val="part_41f14c23e26c4b248457449975208859"/>
                    <w:lock w:val="sdtLocked"/>
                    <w:richText/>
                  </w:sdtPr>
                  <w:sdtContent>
                    <w:p>
                      <w:pPr>
                        <w:tabs>
                          <w:tab w:val="left" w:pos="851"/>
                          <w:tab w:val="left" w:pos="1276"/>
                        </w:tabs>
                        <w:ind w:firstLine="851"/>
                        <w:jc w:val="both"/>
                        <w:rPr>
                          <w:lang w:eastAsia="lt-LT"/>
                        </w:rPr>
                      </w:pPr>
                      <w:sdt>
                        <w:sdtPr>
                          <w:alias w:val="Numeris"/>
                          <w:tag w:val="nr_41f14c23e26c4b248457449975208859"/>
                          <w:lock w:val="sdtLocked"/>
                          <w:richText/>
                        </w:sdtPr>
                        <w:sdtContent>
                          <w:r>
                            <w:rPr>
                              <w:lang w:eastAsia="lt-LT"/>
                            </w:rPr>
                            <w:t>7.3</w:t>
                          </w:r>
                        </w:sdtContent>
                      </w:sdt>
                      <w:r>
                        <w:rPr>
                          <w:lang w:eastAsia="lt-LT"/>
                        </w:rPr>
                        <w:t>.</w:t>
                        <w:tab/>
                        <w:t>antstolio surašytas aktas ar kitas procesinis dokumentas, kuriame antstolio pažymėta apie išieškojimo negalimumą ir išieškojimas nebuvo įvykdytas.</w:t>
                      </w:r>
                    </w:p>
                  </w:sdtContent>
                </w:sdt>
              </w:sdtContent>
            </w:sdt>
            <w:sdt>
              <w:sdtPr>
                <w:alias w:val="8 p."/>
                <w:tag w:val="part_8f2956ad5f7449efb4f7ad6c2cfdeb6e"/>
                <w:lock w:val="sdtLocked"/>
                <w:richText/>
              </w:sdtPr>
              <w:sdtContent>
                <w:p>
                  <w:pPr>
                    <w:tabs>
                      <w:tab w:val="left" w:pos="851"/>
                    </w:tabs>
                    <w:ind w:firstLine="851"/>
                    <w:jc w:val="both"/>
                    <w:rPr>
                      <w:lang w:eastAsia="lt-LT"/>
                    </w:rPr>
                  </w:pPr>
                  <w:sdt>
                    <w:sdtPr>
                      <w:alias w:val="Numeris"/>
                      <w:tag w:val="nr_8f2956ad5f7449efb4f7ad6c2cfdeb6e"/>
                      <w:lock w:val="sdtLocked"/>
                      <w:richText/>
                    </w:sdtPr>
                    <w:sdtContent>
                      <w:r>
                        <w:rPr>
                          <w:lang w:eastAsia="lt-LT"/>
                        </w:rPr>
                        <w:t>8</w:t>
                      </w:r>
                    </w:sdtContent>
                  </w:sdt>
                  <w:r>
                    <w:rPr>
                      <w:lang w:eastAsia="lt-LT"/>
                    </w:rPr>
                    <w:t xml:space="preserve">. Šio Tvarkos aprašo 4.3 papunktyje nurodytu atveju skolų beviltiškumą ir pastangas skoloms susigrąžinti įrodantys </w:t>
                  </w:r>
                  <w:r>
                    <w:rPr>
                      <w:kern w:val="2"/>
                      <w:lang w:eastAsia="ar-SA"/>
                    </w:rPr>
                    <w:t>šie dokumentai</w:t>
                  </w:r>
                  <w:r>
                    <w:rPr>
                      <w:lang w:eastAsia="lt-LT"/>
                    </w:rPr>
                    <w:t>:</w:t>
                  </w:r>
                </w:p>
                <w:sdt>
                  <w:sdtPr>
                    <w:alias w:val="8.1 pp."/>
                    <w:tag w:val="part_4f606313ff894436aa0561658a5cc226"/>
                    <w:lock w:val="sdtLocked"/>
                    <w:richText/>
                  </w:sdtPr>
                  <w:sdtContent>
                    <w:p>
                      <w:pPr>
                        <w:tabs>
                          <w:tab w:val="left" w:pos="851"/>
                        </w:tabs>
                        <w:ind w:firstLine="851"/>
                        <w:jc w:val="both"/>
                        <w:rPr>
                          <w:lang w:eastAsia="lt-LT"/>
                        </w:rPr>
                      </w:pPr>
                      <w:sdt>
                        <w:sdtPr>
                          <w:alias w:val="Numeris"/>
                          <w:tag w:val="nr_4f606313ff894436aa0561658a5cc226"/>
                          <w:lock w:val="sdtLocked"/>
                          <w:richText/>
                        </w:sdtPr>
                        <w:sdtContent>
                          <w:r>
                            <w:rPr>
                              <w:lang w:eastAsia="lt-LT"/>
                            </w:rPr>
                            <w:t>8.1</w:t>
                          </w:r>
                        </w:sdtContent>
                      </w:sdt>
                      <w:r>
                        <w:rPr>
                          <w:lang w:eastAsia="lt-LT"/>
                        </w:rPr>
                        <w:t>. skolininko mirties faktą patvirtinantis dokumentas. Jeigu savivaldybės įstaiga neturi galimybės gauti šiame papunktyje nurodyto dokumento, tai ji turi turėti kitą dokumentą, kuriame turi būti oficialiai (teismo, notaro, civilinės metrikacijos funkcijas tvarkančios arba kitokios valstybinės institucijos) nurodytas faktas, kad skolininkas yra miręs arba paskelbtas mirusiu;</w:t>
                      </w:r>
                    </w:p>
                  </w:sdtContent>
                </w:sdt>
                <w:sdt>
                  <w:sdtPr>
                    <w:alias w:val="8.2 pp."/>
                    <w:tag w:val="part_558b62ae511b4e1cbad2c50d497ae6cf"/>
                    <w:lock w:val="sdtLocked"/>
                    <w:richText/>
                  </w:sdtPr>
                  <w:sdtContent>
                    <w:p>
                      <w:pPr>
                        <w:tabs>
                          <w:tab w:val="left" w:pos="851"/>
                        </w:tabs>
                        <w:ind w:firstLine="851"/>
                        <w:jc w:val="both"/>
                        <w:rPr>
                          <w:lang w:eastAsia="lt-LT"/>
                        </w:rPr>
                      </w:pPr>
                      <w:sdt>
                        <w:sdtPr>
                          <w:alias w:val="Numeris"/>
                          <w:tag w:val="nr_558b62ae511b4e1cbad2c50d497ae6cf"/>
                          <w:lock w:val="sdtLocked"/>
                          <w:richText/>
                        </w:sdtPr>
                        <w:sdtContent>
                          <w:r>
                            <w:rPr>
                              <w:lang w:eastAsia="lt-LT"/>
                            </w:rPr>
                            <w:t>8.2</w:t>
                          </w:r>
                        </w:sdtContent>
                      </w:sdt>
                      <w:r>
                        <w:rPr>
                          <w:lang w:eastAsia="lt-LT"/>
                        </w:rPr>
                        <w:t>. dokumentai, kuriuose turi būti oficialiai (teismo, notaro, civilinę metrikaciją tvarkančios arba kitokios valstybinės institucijos) nurodomas faktas, kas yra skolininko įpėdinis (arba įpėdiniai) ir teisių ir pareigų perėmėjas arba perėmėjai. Tais atvejais, kai už palikėjo (skolininko) skolas įpėdinis atsako visu savo turtu, faktą, kad įpėdinio turto nepakanka skoloms susigrąžinti.</w:t>
                      </w:r>
                    </w:p>
                  </w:sdtContent>
                </w:sdt>
              </w:sdtContent>
            </w:sdt>
            <w:sdt>
              <w:sdtPr>
                <w:alias w:val="9 p."/>
                <w:tag w:val="part_578e072f34b345fd96fa93092349e8b8"/>
                <w:lock w:val="sdtLocked"/>
                <w:richText/>
              </w:sdtPr>
              <w:sdtContent>
                <w:p>
                  <w:pPr>
                    <w:tabs>
                      <w:tab w:val="left" w:pos="851"/>
                    </w:tabs>
                    <w:ind w:firstLine="851"/>
                    <w:jc w:val="both"/>
                    <w:rPr>
                      <w:lang w:eastAsia="lt-LT"/>
                    </w:rPr>
                  </w:pPr>
                  <w:sdt>
                    <w:sdtPr>
                      <w:alias w:val="Numeris"/>
                      <w:tag w:val="nr_578e072f34b345fd96fa93092349e8b8"/>
                      <w:lock w:val="sdtLocked"/>
                      <w:richText/>
                    </w:sdtPr>
                    <w:sdtContent>
                      <w:r>
                        <w:rPr>
                          <w:color w:val="000000"/>
                          <w:lang w:eastAsia="lt-LT"/>
                        </w:rPr>
                        <w:t>9</w:t>
                      </w:r>
                    </w:sdtContent>
                  </w:sdt>
                  <w:r>
                    <w:rPr>
                      <w:color w:val="000000"/>
                      <w:lang w:eastAsia="lt-LT"/>
                    </w:rPr>
                    <w:t>. Šio Tvarkos aprašo 4.4 papunktyje nurodytu atveju</w:t>
                  </w:r>
                  <w:r>
                    <w:rPr>
                      <w:lang w:eastAsia="lt-LT"/>
                    </w:rPr>
                    <w:t xml:space="preserve"> savivaldybės įstaiga privalo turėti valstybės įmonės Registrų centras išduotą dokumentą apie įregistruotą juridinio asmens teisinį statusą (likviduotas).</w:t>
                  </w:r>
                </w:p>
              </w:sdtContent>
            </w:sdt>
            <w:sdt>
              <w:sdtPr>
                <w:alias w:val="10 p."/>
                <w:tag w:val="part_86a9d39933f749fe975ffbe3e83dd032"/>
                <w:lock w:val="sdtLocked"/>
                <w:richText/>
              </w:sdtPr>
              <w:sdtContent>
                <w:p>
                  <w:pPr>
                    <w:tabs>
                      <w:tab w:val="left" w:pos="851"/>
                    </w:tabs>
                    <w:ind w:firstLine="851"/>
                    <w:jc w:val="both"/>
                    <w:rPr>
                      <w:lang w:eastAsia="lt-LT"/>
                    </w:rPr>
                  </w:pPr>
                  <w:sdt>
                    <w:sdtPr>
                      <w:alias w:val="Numeris"/>
                      <w:tag w:val="nr_86a9d39933f749fe975ffbe3e83dd032"/>
                      <w:lock w:val="sdtLocked"/>
                      <w:richText/>
                    </w:sdtPr>
                    <w:sdtContent>
                      <w:r>
                        <w:rPr>
                          <w:color w:val="000000"/>
                          <w:lang w:eastAsia="lt-LT"/>
                        </w:rPr>
                        <w:t>10</w:t>
                      </w:r>
                    </w:sdtContent>
                  </w:sdt>
                  <w:r>
                    <w:rPr>
                      <w:color w:val="000000"/>
                      <w:lang w:eastAsia="lt-LT"/>
                    </w:rPr>
                    <w:t>. Šio Tvarkos a</w:t>
                  </w:r>
                  <w:r>
                    <w:rPr>
                      <w:lang w:eastAsia="lt-LT"/>
                    </w:rPr>
                    <w:t xml:space="preserve">prašo 4.5 papunktyje nurodytu atveju </w:t>
                  </w:r>
                  <w:r>
                    <w:rPr>
                      <w:color w:val="000000"/>
                      <w:lang w:eastAsia="lt-LT"/>
                    </w:rPr>
                    <w:t>savivaldybės įs</w:t>
                  </w:r>
                  <w:r>
                    <w:rPr>
                      <w:lang w:eastAsia="lt-LT"/>
                    </w:rPr>
                    <w:t>taiga privalo turėti šiuos dokumentus:</w:t>
                  </w:r>
                </w:p>
                <w:sdt>
                  <w:sdtPr>
                    <w:alias w:val="10.1 pp."/>
                    <w:tag w:val="part_9585a273a8024838a48cea57ecbd771e"/>
                    <w:lock w:val="sdtLocked"/>
                    <w:richText/>
                  </w:sdtPr>
                  <w:sdtContent>
                    <w:p>
                      <w:pPr>
                        <w:tabs>
                          <w:tab w:val="left" w:pos="851"/>
                        </w:tabs>
                        <w:ind w:firstLine="851"/>
                        <w:jc w:val="both"/>
                        <w:rPr>
                          <w:lang w:eastAsia="lt-LT"/>
                        </w:rPr>
                      </w:pPr>
                      <w:sdt>
                        <w:sdtPr>
                          <w:alias w:val="Numeris"/>
                          <w:tag w:val="nr_9585a273a8024838a48cea57ecbd771e"/>
                          <w:lock w:val="sdtLocked"/>
                          <w:richText/>
                        </w:sdtPr>
                        <w:sdtContent>
                          <w:r>
                            <w:rPr>
                              <w:lang w:eastAsia="lt-LT"/>
                            </w:rPr>
                            <w:t>10.1</w:t>
                          </w:r>
                        </w:sdtContent>
                      </w:sdt>
                      <w:r>
                        <w:rPr>
                          <w:lang w:eastAsia="lt-LT"/>
                        </w:rPr>
                        <w:t>. įsiteisėjusią teismo nutartį likviduoti įmonę dėl bankroto arba kreditorių susirinkimo nutarimą paskelbti įmonę likviduojama dėl bankroto, arba valstybės įmonės Registrų centro išduotą dokumentą apie įregistruotą juridinio asmens teisinį statusą (bankrutavęs);</w:t>
                      </w:r>
                    </w:p>
                  </w:sdtContent>
                </w:sdt>
                <w:sdt>
                  <w:sdtPr>
                    <w:alias w:val="10.2 pp."/>
                    <w:tag w:val="part_d982fb7687aa4f17adcfa8e707b41661"/>
                    <w:lock w:val="sdtLocked"/>
                    <w:richText/>
                  </w:sdtPr>
                  <w:sdtContent>
                    <w:p>
                      <w:pPr>
                        <w:tabs>
                          <w:tab w:val="left" w:pos="851"/>
                        </w:tabs>
                        <w:ind w:firstLine="851"/>
                        <w:jc w:val="both"/>
                        <w:rPr>
                          <w:lang w:eastAsia="lt-LT"/>
                        </w:rPr>
                      </w:pPr>
                      <w:sdt>
                        <w:sdtPr>
                          <w:alias w:val="Numeris"/>
                          <w:tag w:val="nr_d982fb7687aa4f17adcfa8e707b41661"/>
                          <w:lock w:val="sdtLocked"/>
                          <w:richText/>
                        </w:sdtPr>
                        <w:sdtContent>
                          <w:r>
                            <w:rPr>
                              <w:lang w:eastAsia="lt-LT"/>
                            </w:rPr>
                            <w:t>10.2</w:t>
                          </w:r>
                        </w:sdtContent>
                      </w:sdt>
                      <w:r>
                        <w:rPr>
                          <w:lang w:eastAsia="lt-LT"/>
                        </w:rPr>
                        <w:t>. įsiteisėjusį teismo sprendimą baigti fizinio asmens bankroto bylą.</w:t>
                      </w:r>
                    </w:p>
                  </w:sdtContent>
                </w:sdt>
              </w:sdtContent>
            </w:sdt>
            <w:sdt>
              <w:sdtPr>
                <w:alias w:val="11 p."/>
                <w:tag w:val="part_272ad3c0413345b8923da360be6274be"/>
                <w:lock w:val="sdtLocked"/>
                <w:richText/>
              </w:sdtPr>
              <w:sdtContent>
                <w:p>
                  <w:pPr>
                    <w:tabs>
                      <w:tab w:val="left" w:pos="851"/>
                    </w:tabs>
                    <w:ind w:firstLine="851"/>
                    <w:jc w:val="both"/>
                    <w:rPr>
                      <w:lang w:eastAsia="lt-LT"/>
                    </w:rPr>
                  </w:pPr>
                  <w:sdt>
                    <w:sdtPr>
                      <w:alias w:val="Numeris"/>
                      <w:tag w:val="nr_272ad3c0413345b8923da360be6274be"/>
                      <w:lock w:val="sdtLocked"/>
                      <w:richText/>
                    </w:sdtPr>
                    <w:sdtContent>
                      <w:r>
                        <w:rPr>
                          <w:lang w:eastAsia="lt-LT"/>
                        </w:rPr>
                        <w:t>11</w:t>
                      </w:r>
                    </w:sdtContent>
                  </w:sdt>
                  <w:r>
                    <w:rPr>
                      <w:lang w:eastAsia="lt-LT"/>
                    </w:rPr>
                    <w:t>. Šio Tvarkos aprašo 4.6 papunktyje nurodytu atveju savivaldybės įstaiga privalo turėti dokumentus, įrodančius skolos atsiradimo faktą ir datą įstaigos apskaitos registruose (gautinų sumų inventorizavimo aprašai – sutikrinimo žiniaraščiai, atsiskaitymų su skolininkais apskaitos žiniaraščiai, mokėtojo apskaitos kortelės ar kt.).</w:t>
                  </w:r>
                </w:p>
              </w:sdtContent>
            </w:sdt>
            <w:sdt>
              <w:sdtPr>
                <w:alias w:val="12 p."/>
                <w:tag w:val="part_024b0dad24c241c79a06d9b006a31242"/>
                <w:lock w:val="sdtLocked"/>
                <w:richText/>
              </w:sdtPr>
              <w:sdtContent>
                <w:p>
                  <w:pPr>
                    <w:tabs>
                      <w:tab w:val="left" w:pos="851"/>
                    </w:tabs>
                    <w:ind w:firstLine="851"/>
                    <w:jc w:val="both"/>
                    <w:rPr>
                      <w:lang w:eastAsia="lt-LT"/>
                    </w:rPr>
                  </w:pPr>
                  <w:sdt>
                    <w:sdtPr>
                      <w:alias w:val="Numeris"/>
                      <w:tag w:val="nr_024b0dad24c241c79a06d9b006a31242"/>
                      <w:lock w:val="sdtLocked"/>
                      <w:richText/>
                    </w:sdtPr>
                    <w:sdtContent>
                      <w:r>
                        <w:rPr>
                          <w:lang w:eastAsia="lt-LT"/>
                        </w:rPr>
                        <w:t>12</w:t>
                      </w:r>
                    </w:sdtContent>
                  </w:sdt>
                  <w:r>
                    <w:rPr>
                      <w:lang w:eastAsia="lt-LT"/>
                    </w:rPr>
                    <w:t>. Šio Tvarkos aprašo 7–10 punktuose nurodyti reikalavimai dėl dokumentų, įrodančių skolų beviltiškumą ir pastangas atgauti skolas, netaikomi, jeigu:</w:t>
                  </w:r>
                  <w:r>
                    <w:rPr>
                      <w:color w:val="000000"/>
                      <w:lang w:eastAsia="lt-LT"/>
                    </w:rPr>
                    <w:t xml:space="preserve"> </w:t>
                  </w:r>
                </w:p>
                <w:sdt>
                  <w:sdtPr>
                    <w:alias w:val="12.1 pp."/>
                    <w:tag w:val="part_ad4c45c3f292470a840615437afa889e"/>
                    <w:lock w:val="sdtLocked"/>
                    <w:richText/>
                  </w:sdtPr>
                  <w:sdtContent>
                    <w:p>
                      <w:pPr>
                        <w:tabs>
                          <w:tab w:val="left" w:pos="851"/>
                        </w:tabs>
                        <w:ind w:firstLine="851"/>
                        <w:jc w:val="both"/>
                        <w:rPr>
                          <w:color w:val="000000"/>
                          <w:lang w:eastAsia="lt-LT"/>
                        </w:rPr>
                      </w:pPr>
                      <w:sdt>
                        <w:sdtPr>
                          <w:alias w:val="Numeris"/>
                          <w:tag w:val="nr_ad4c45c3f292470a840615437afa889e"/>
                          <w:lock w:val="sdtLocked"/>
                          <w:richText/>
                        </w:sdtPr>
                        <w:sdtContent>
                          <w:r>
                            <w:rPr>
                              <w:lang w:eastAsia="lt-LT"/>
                            </w:rPr>
                            <w:t>12.1</w:t>
                          </w:r>
                        </w:sdtContent>
                      </w:sdt>
                      <w:r>
                        <w:rPr>
                          <w:lang w:eastAsia="lt-LT"/>
                        </w:rPr>
                        <w:t>.</w:t>
                      </w:r>
                      <w:r>
                        <w:rPr>
                          <w:color w:val="000000"/>
                          <w:lang w:eastAsia="lt-LT"/>
                        </w:rPr>
                        <w:t xml:space="preserve"> savivaldybės įstaiga šiuos faktus</w:t>
                      </w:r>
                      <w:r>
                        <w:rPr>
                          <w:lang w:eastAsia="lt-LT"/>
                        </w:rPr>
                        <w:t xml:space="preserve"> </w:t>
                      </w:r>
                      <w:r>
                        <w:rPr>
                          <w:color w:val="000000"/>
                          <w:lang w:eastAsia="lt-LT"/>
                        </w:rPr>
                        <w:t>gali patikrinti pagal su registrų tvarkytojais sudarytas sutartis arba pagal Lietuvos Respublikos teisės aktų nuostatas prieinamus (skelbiamus) viešus duomenis</w:t>
                      </w:r>
                      <w:r>
                        <w:rPr>
                          <w:lang w:eastAsia="lt-LT"/>
                        </w:rPr>
                        <w:t xml:space="preserve"> duomenų bazėse</w:t>
                      </w:r>
                      <w:r>
                        <w:rPr>
                          <w:color w:val="000000"/>
                          <w:lang w:eastAsia="lt-LT"/>
                        </w:rPr>
                        <w:t>;</w:t>
                      </w:r>
                    </w:p>
                  </w:sdtContent>
                </w:sdt>
                <w:sdt>
                  <w:sdtPr>
                    <w:alias w:val="12.2 pp."/>
                    <w:tag w:val="part_afc1fd73b0eb41a5ae53ed6402fe4178"/>
                    <w:lock w:val="sdtLocked"/>
                    <w:richText/>
                  </w:sdtPr>
                  <w:sdtContent>
                    <w:p>
                      <w:pPr>
                        <w:ind w:firstLine="851"/>
                        <w:jc w:val="both"/>
                        <w:rPr>
                          <w:lang w:eastAsia="lt-LT"/>
                        </w:rPr>
                      </w:pPr>
                      <w:sdt>
                        <w:sdtPr>
                          <w:alias w:val="Numeris"/>
                          <w:tag w:val="nr_afc1fd73b0eb41a5ae53ed6402fe4178"/>
                          <w:lock w:val="sdtLocked"/>
                          <w:richText/>
                        </w:sdtPr>
                        <w:sdtContent>
                          <w:r>
                            <w:rPr>
                              <w:color w:val="000000"/>
                              <w:lang w:eastAsia="lt-LT"/>
                            </w:rPr>
                            <w:t>12.2</w:t>
                          </w:r>
                        </w:sdtContent>
                      </w:sdt>
                      <w:r>
                        <w:rPr>
                          <w:color w:val="000000"/>
                          <w:lang w:eastAsia="lt-LT"/>
                        </w:rPr>
                        <w:t xml:space="preserve">. </w:t>
                      </w:r>
                      <w:r>
                        <w:rPr>
                          <w:lang w:eastAsia="lt-LT"/>
                        </w:rPr>
                        <w:t>įrodančių dokumentų negali gauti</w:t>
                      </w:r>
                      <w:r>
                        <w:rPr>
                          <w:color w:val="000000"/>
                          <w:lang w:eastAsia="lt-LT"/>
                        </w:rPr>
                        <w:t xml:space="preserve"> pagal </w:t>
                      </w:r>
                      <w:r>
                        <w:rPr>
                          <w:lang w:eastAsia="lt-LT"/>
                        </w:rPr>
                        <w:t>Lietuvos Respublikos teisės aktų nuostatas, tačiau turi dokumentus, kurie leidžia padaryti išvadą, kad stengėsi skolas susigrąžinti.</w:t>
                      </w:r>
                    </w:p>
                  </w:sdtContent>
                </w:sdt>
              </w:sdtContent>
            </w:sdt>
            <w:sdt>
              <w:sdtPr>
                <w:alias w:val="13 p."/>
                <w:tag w:val="part_f1f4d00fcb904e5f94c66b68e40454b2"/>
                <w:lock w:val="sdtLocked"/>
                <w:richText/>
              </w:sdtPr>
              <w:sdtContent>
                <w:p>
                  <w:pPr>
                    <w:ind w:firstLine="851"/>
                    <w:jc w:val="both"/>
                    <w:rPr>
                      <w:b/>
                    </w:rPr>
                  </w:pPr>
                  <w:sdt>
                    <w:sdtPr>
                      <w:alias w:val="Numeris"/>
                      <w:tag w:val="nr_f1f4d00fcb904e5f94c66b68e40454b2"/>
                      <w:lock w:val="sdtLocked"/>
                      <w:richText/>
                    </w:sdtPr>
                    <w:sdtContent>
                      <w:r>
                        <w:rPr>
                          <w:lang w:eastAsia="lt-LT"/>
                        </w:rPr>
                        <w:t>13</w:t>
                      </w:r>
                    </w:sdtContent>
                  </w:sdt>
                  <w:r>
                    <w:rPr>
                      <w:lang w:eastAsia="lt-LT"/>
                    </w:rPr>
                    <w:t>. Jeigu dokumentas, kurio pagrindu skola pripažintina beviltiška, yra išduotas (surašytas) ne lietuvių kalba, savivaldybės įstaiga turi turėti tokio dokumento vertimą į lietuvių kalbą.</w:t>
                  </w:r>
                </w:p>
                <w:p>
                  <w:pPr>
                    <w:jc w:val="center"/>
                    <w:rPr>
                      <w:b/>
                    </w:rPr>
                  </w:pPr>
                </w:p>
              </w:sdtContent>
            </w:sdt>
          </w:sdtContent>
        </w:sdt>
        <w:sdt>
          <w:sdtPr>
            <w:alias w:val="skyrius"/>
            <w:tag w:val="part_f20c13f1228a4ec997bfeea76f596d26"/>
            <w:lock w:val="sdtLocked"/>
            <w:richText/>
          </w:sdtPr>
          <w:sdtContent>
            <w:p>
              <w:pPr>
                <w:jc w:val="center"/>
                <w:rPr>
                  <w:b/>
                </w:rPr>
              </w:pPr>
              <w:sdt>
                <w:sdtPr>
                  <w:alias w:val="Numeris"/>
                  <w:tag w:val="nr_f20c13f1228a4ec997bfeea76f596d26"/>
                  <w:lock w:val="sdtLocked"/>
                  <w:richText/>
                </w:sdtPr>
                <w:sdtContent>
                  <w:r>
                    <w:rPr>
                      <w:b/>
                    </w:rPr>
                    <w:t>IV</w:t>
                  </w:r>
                </w:sdtContent>
              </w:sdt>
              <w:r>
                <w:rPr>
                  <w:b/>
                </w:rPr>
                <w:t xml:space="preserve"> SKYRIUS</w:t>
              </w:r>
            </w:p>
            <w:p>
              <w:pPr>
                <w:jc w:val="center"/>
                <w:rPr>
                  <w:b/>
                </w:rPr>
              </w:pPr>
              <w:sdt>
                <w:sdtPr>
                  <w:alias w:val="Pavadinimas"/>
                  <w:tag w:val="title_f20c13f1228a4ec997bfeea76f596d26"/>
                  <w:lock w:val="sdtLocked"/>
                  <w:richText/>
                </w:sdtPr>
                <w:sdtContent>
                  <w:r>
                    <w:rPr>
                      <w:b/>
                      <w:lang w:eastAsia="lt-LT"/>
                    </w:rPr>
                    <w:t xml:space="preserve">SKOLŲ, PRIPAŽINTŲ BEVILTIŠKOMIS, NURAŠYMAS </w:t>
                  </w:r>
                </w:sdtContent>
              </w:sdt>
            </w:p>
            <w:p>
              <w:pPr>
                <w:jc w:val="center"/>
                <w:rPr>
                  <w:b/>
                </w:rPr>
              </w:pPr>
            </w:p>
            <w:sdt>
              <w:sdtPr>
                <w:alias w:val="14 p."/>
                <w:tag w:val="part_78bd225d12aa48e480a7fd7e893ebb17"/>
                <w:lock w:val="sdtLocked"/>
                <w:richText/>
              </w:sdtPr>
              <w:sdtContent>
                <w:p>
                  <w:pPr>
                    <w:tabs>
                      <w:tab w:val="left" w:pos="851"/>
                    </w:tabs>
                    <w:ind w:firstLine="851"/>
                    <w:jc w:val="both"/>
                    <w:rPr>
                      <w:lang w:eastAsia="lt-LT"/>
                    </w:rPr>
                  </w:pPr>
                  <w:sdt>
                    <w:sdtPr>
                      <w:alias w:val="Numeris"/>
                      <w:tag w:val="nr_78bd225d12aa48e480a7fd7e893ebb17"/>
                      <w:lock w:val="sdtLocked"/>
                      <w:richText/>
                    </w:sdtPr>
                    <w:sdtContent>
                      <w:r>
                        <w:rPr>
                          <w:lang w:eastAsia="lt-LT"/>
                        </w:rPr>
                        <w:t>14</w:t>
                      </w:r>
                    </w:sdtContent>
                  </w:sdt>
                  <w:r>
                    <w:rPr>
                      <w:lang w:eastAsia="lt-LT"/>
                    </w:rPr>
                    <w:t xml:space="preserve">. </w:t>
                  </w:r>
                  <w:r>
                    <w:t>Savivaldybės įstaigos vadovo įsakymu sudarytai Skolų pripažinimo beviltiškomis nagrinėjimo komisijai atsakingi savivaldybės įstaigos darbuotojai pagal jiems priskirtas veiklos sritis ir funkcijas pateikia dokumentus, atliktus teisės aktuose numatytus skolos išieškojimo veiksmus, patvirtinančius skolos beviltiškumą</w:t>
                  </w:r>
                  <w:r>
                    <w:rPr>
                      <w:b/>
                      <w:bCs/>
                    </w:rPr>
                    <w:t xml:space="preserve"> </w:t>
                  </w:r>
                  <w:r>
                    <w:t>Komisija analizuoja skolų susidarymo priežastis, įvertina, kokie veiksmai buvo atlikti siekiant skolą susigrąžinti. Jei komisija nustato, kad skola atitinka Tvarkos aprašo 4 punkte nurodytą pagrindą ir yra dokumentai, pagrindžiantys jos beviltiškumą, komisija sudaro beviltiškų skolų sąrašą. Komisijos išvados ir siūlymai pripažinti skolas beviltiškomis įforminami išvada ir teikiami Įstaigos vadovui kartu su beviltiškų skolų sąrašu.</w:t>
                  </w:r>
                </w:p>
              </w:sdtContent>
            </w:sdt>
            <w:sdt>
              <w:sdtPr>
                <w:alias w:val="15 p."/>
                <w:tag w:val="part_6a4433660c4e4054b9d16aac473d6e74"/>
                <w:lock w:val="sdtLocked"/>
                <w:richText/>
              </w:sdtPr>
              <w:sdtContent>
                <w:p>
                  <w:pPr>
                    <w:tabs>
                      <w:tab w:val="left" w:pos="851"/>
                    </w:tabs>
                    <w:ind w:firstLine="851"/>
                    <w:jc w:val="both"/>
                  </w:pPr>
                  <w:sdt>
                    <w:sdtPr>
                      <w:alias w:val="Numeris"/>
                      <w:tag w:val="nr_6a4433660c4e4054b9d16aac473d6e74"/>
                      <w:lock w:val="sdtLocked"/>
                      <w:richText/>
                    </w:sdtPr>
                    <w:sdtContent>
                      <w:r>
                        <w:rPr>
                          <w:lang w:eastAsia="lt-LT"/>
                        </w:rPr>
                        <w:t>15</w:t>
                      </w:r>
                    </w:sdtContent>
                  </w:sdt>
                  <w:r>
                    <w:rPr>
                      <w:lang w:eastAsia="lt-LT"/>
                    </w:rPr>
                    <w:t xml:space="preserve">. </w:t>
                  </w:r>
                  <w:r>
                    <w:t>Savivaldybės įstaigos sudarytos Skolų pripažinimo beviltiškomis nagrinėjimo komisijos išvada</w:t>
                  </w:r>
                  <w:r>
                    <w:rPr>
                      <w:b/>
                      <w:bCs/>
                    </w:rPr>
                    <w:t xml:space="preserve"> </w:t>
                  </w:r>
                  <w:r>
                    <w:t>teikiama savivaldybės įstaigos vadovui, kuris priima sprendimą dėl skolų pripažinimo beviltiškomis ir jų nurašymo, kai skolos dydis neviršija Tvarkos aprašo 16 punkte nustatytos ribos. Kai skolos viršija šią ribą, komisijos išvada teikiama Savivaldybės administracijos direktoriui, kuris, įvertinęs pateiktą informaciją, priima sprendimą kreiptis į Savivaldybės tarybą. Sprendimo projektą rengia Savivaldybės administracijos skyrius pagal priskirtas funkcijas.</w:t>
                  </w:r>
                </w:p>
              </w:sdtContent>
            </w:sdt>
            <w:sdt>
              <w:sdtPr>
                <w:alias w:val="16 p."/>
                <w:tag w:val="part_f700f3ea4adf444a810b9b52e5f7691e"/>
                <w:lock w:val="sdtLocked"/>
                <w:richText/>
              </w:sdtPr>
              <w:sdtContent>
                <w:p>
                  <w:pPr>
                    <w:tabs>
                      <w:tab w:val="left" w:pos="851"/>
                    </w:tabs>
                    <w:ind w:firstLine="851"/>
                    <w:jc w:val="both"/>
                    <w:rPr>
                      <w:color w:val="000000"/>
                      <w:lang w:eastAsia="lt-LT"/>
                    </w:rPr>
                  </w:pPr>
                  <w:sdt>
                    <w:sdtPr>
                      <w:alias w:val="Numeris"/>
                      <w:tag w:val="nr_f700f3ea4adf444a810b9b52e5f7691e"/>
                      <w:lock w:val="sdtLocked"/>
                      <w:richText/>
                    </w:sdtPr>
                    <w:sdtContent>
                      <w:r>
                        <w:rPr>
                          <w:color w:val="000000"/>
                          <w:lang w:eastAsia="lt-LT"/>
                        </w:rPr>
                        <w:t>16</w:t>
                      </w:r>
                    </w:sdtContent>
                  </w:sdt>
                  <w:r>
                    <w:rPr>
                      <w:color w:val="000000"/>
                      <w:lang w:eastAsia="lt-LT"/>
                    </w:rPr>
                    <w:t>. Skolos pripažįstamos beviltiškomis ir jos nurašomos iš savivaldybės įstaigos apskaitos registrų savivaldybės įstaigos vadovo įsakymu, kai:</w:t>
                  </w:r>
                </w:p>
                <w:sdt>
                  <w:sdtPr>
                    <w:alias w:val="16.1 pp."/>
                    <w:tag w:val="part_795f7d1a3d2e4d45b5613d25d4a6a327"/>
                    <w:lock w:val="sdtLocked"/>
                    <w:richText/>
                  </w:sdtPr>
                  <w:sdtContent>
                    <w:p>
                      <w:pPr>
                        <w:tabs>
                          <w:tab w:val="left" w:pos="851"/>
                        </w:tabs>
                        <w:ind w:firstLine="851"/>
                        <w:jc w:val="both"/>
                        <w:rPr>
                          <w:strike/>
                          <w:color w:val="000000"/>
                          <w:lang w:eastAsia="lt-LT"/>
                        </w:rPr>
                      </w:pPr>
                      <w:sdt>
                        <w:sdtPr>
                          <w:alias w:val="Numeris"/>
                          <w:tag w:val="nr_795f7d1a3d2e4d45b5613d25d4a6a327"/>
                          <w:lock w:val="sdtLocked"/>
                          <w:richText/>
                        </w:sdtPr>
                        <w:sdtContent>
                          <w:r>
                            <w:rPr>
                              <w:color w:val="000000"/>
                              <w:lang w:eastAsia="lt-LT"/>
                            </w:rPr>
                            <w:t>16.1</w:t>
                          </w:r>
                        </w:sdtContent>
                      </w:sdt>
                      <w:r>
                        <w:rPr>
                          <w:color w:val="000000"/>
                          <w:lang w:eastAsia="lt-LT"/>
                        </w:rPr>
                        <w:t>. skola (vieno skolininko) neviršija 500 eurų;</w:t>
                      </w:r>
                    </w:p>
                  </w:sdtContent>
                </w:sdt>
                <w:sdt>
                  <w:sdtPr>
                    <w:alias w:val="16.2 pp."/>
                    <w:tag w:val="part_3b38ee2b6faa4c398ae0ff5b90436ae9"/>
                    <w:lock w:val="sdtLocked"/>
                    <w:richText/>
                  </w:sdtPr>
                  <w:sdtContent>
                    <w:p>
                      <w:pPr>
                        <w:ind w:firstLine="851"/>
                        <w:jc w:val="both"/>
                        <w:rPr>
                          <w:lang w:eastAsia="lt-LT"/>
                        </w:rPr>
                      </w:pPr>
                      <w:sdt>
                        <w:sdtPr>
                          <w:alias w:val="Numeris"/>
                          <w:tag w:val="nr_3b38ee2b6faa4c398ae0ff5b90436ae9"/>
                          <w:lock w:val="sdtLocked"/>
                          <w:richText/>
                        </w:sdtPr>
                        <w:sdtContent>
                          <w:r>
                            <w:rPr>
                              <w:color w:val="000000"/>
                              <w:lang w:eastAsia="lt-LT"/>
                            </w:rPr>
                            <w:t>16.2</w:t>
                          </w:r>
                        </w:sdtContent>
                      </w:sdt>
                      <w:r>
                        <w:rPr>
                          <w:color w:val="000000"/>
                          <w:lang w:eastAsia="lt-LT"/>
                        </w:rPr>
                        <w:t xml:space="preserve">. </w:t>
                      </w:r>
                      <w:r>
                        <w:rPr>
                          <w:lang w:eastAsia="lt-LT"/>
                        </w:rPr>
                        <w:t>skolos išieškojimo išlaidos didesnės už pačią skolą.</w:t>
                      </w:r>
                    </w:p>
                  </w:sdtContent>
                </w:sdt>
              </w:sdtContent>
            </w:sdt>
            <w:sdt>
              <w:sdtPr>
                <w:alias w:val="17 p."/>
                <w:tag w:val="part_301676f21afe41e383794e89f060f87f"/>
                <w:lock w:val="sdtLocked"/>
                <w:richText/>
              </w:sdtPr>
              <w:sdtContent>
                <w:p>
                  <w:pPr>
                    <w:tabs>
                      <w:tab w:val="left" w:pos="851"/>
                    </w:tabs>
                    <w:ind w:firstLine="851"/>
                    <w:jc w:val="both"/>
                    <w:rPr>
                      <w:lang w:eastAsia="lt-LT"/>
                    </w:rPr>
                  </w:pPr>
                  <w:sdt>
                    <w:sdtPr>
                      <w:alias w:val="Numeris"/>
                      <w:tag w:val="nr_301676f21afe41e383794e89f060f87f"/>
                      <w:lock w:val="sdtLocked"/>
                      <w:richText/>
                    </w:sdtPr>
                    <w:sdtContent>
                      <w:r>
                        <w:rPr>
                          <w:lang w:eastAsia="lt-LT"/>
                        </w:rPr>
                        <w:t>17</w:t>
                      </w:r>
                    </w:sdtContent>
                  </w:sdt>
                  <w:r>
                    <w:rPr>
                      <w:lang w:eastAsia="lt-LT"/>
                    </w:rPr>
                    <w:t>. Dokumentai, kurių pagrindu skolos pripažintos beviltiškomis, savivaldybės įstaigoje saugomi tokia pačia tvarka ir terminais, kaip ir buhalterinės apskaitos dokumentai – pagal galiojančius norminius teisės aktus.</w:t>
                  </w:r>
                </w:p>
              </w:sdtContent>
            </w:sdt>
            <w:sdt>
              <w:sdtPr>
                <w:alias w:val="18 p."/>
                <w:tag w:val="part_5ddf3b0570d845feb2b22ba7da83f78e"/>
                <w:lock w:val="sdtLocked"/>
                <w:richText/>
              </w:sdtPr>
              <w:sdtContent>
                <w:p>
                  <w:pPr>
                    <w:tabs>
                      <w:tab w:val="left" w:pos="851"/>
                    </w:tabs>
                    <w:ind w:firstLine="851"/>
                    <w:jc w:val="both"/>
                    <w:rPr>
                      <w:lang w:eastAsia="lt-LT"/>
                    </w:rPr>
                  </w:pPr>
                  <w:sdt>
                    <w:sdtPr>
                      <w:alias w:val="Numeris"/>
                      <w:tag w:val="nr_5ddf3b0570d845feb2b22ba7da83f78e"/>
                      <w:lock w:val="sdtLocked"/>
                      <w:richText/>
                    </w:sdtPr>
                    <w:sdtContent>
                      <w:r>
                        <w:rPr>
                          <w:lang w:eastAsia="lt-LT"/>
                        </w:rPr>
                        <w:t>18</w:t>
                      </w:r>
                    </w:sdtContent>
                  </w:sdt>
                  <w:r>
                    <w:rPr>
                      <w:lang w:eastAsia="lt-LT"/>
                    </w:rPr>
                    <w:t>. Beviltiškų skolų buhalterinė apskaita ir nurašymas atliekami vadovaujantis galiojančiais norminiais teisės aktais.</w:t>
                  </w:r>
                </w:p>
                <w:p>
                  <w:pPr>
                    <w:jc w:val="center"/>
                    <w:rPr>
                      <w:b/>
                    </w:rPr>
                  </w:pPr>
                </w:p>
              </w:sdtContent>
            </w:sdt>
          </w:sdtContent>
        </w:sdt>
        <w:sdt>
          <w:sdtPr>
            <w:alias w:val="skyrius"/>
            <w:tag w:val="part_4d826e1d313341b6a79513978b2f8a49"/>
            <w:lock w:val="sdtLocked"/>
            <w:richText/>
          </w:sdtPr>
          <w:sdtContent>
            <w:p>
              <w:pPr>
                <w:jc w:val="center"/>
                <w:rPr>
                  <w:b/>
                </w:rPr>
              </w:pPr>
              <w:sdt>
                <w:sdtPr>
                  <w:alias w:val="Numeris"/>
                  <w:tag w:val="nr_4d826e1d313341b6a79513978b2f8a49"/>
                  <w:lock w:val="sdtLocked"/>
                  <w:richText/>
                </w:sdtPr>
                <w:sdtContent>
                  <w:r>
                    <w:rPr>
                      <w:b/>
                    </w:rPr>
                    <w:t>V</w:t>
                  </w:r>
                </w:sdtContent>
              </w:sdt>
              <w:r>
                <w:rPr>
                  <w:b/>
                </w:rPr>
                <w:t xml:space="preserve"> SKYRIUS</w:t>
              </w:r>
            </w:p>
            <w:p>
              <w:pPr>
                <w:jc w:val="center"/>
                <w:rPr>
                  <w:b/>
                  <w:bCs/>
                  <w:color w:val="000000"/>
                  <w:lang w:eastAsia="lt-LT"/>
                </w:rPr>
              </w:pPr>
              <w:sdt>
                <w:sdtPr>
                  <w:alias w:val="Pavadinimas"/>
                  <w:tag w:val="title_4d826e1d313341b6a79513978b2f8a49"/>
                  <w:lock w:val="sdtLocked"/>
                  <w:richText/>
                </w:sdtPr>
                <w:sdtContent>
                  <w:r>
                    <w:rPr>
                      <w:b/>
                      <w:bCs/>
                      <w:color w:val="000000"/>
                      <w:lang w:eastAsia="lt-LT"/>
                    </w:rPr>
                    <w:t>BAIGIAMOSIOS NUOSTATOS</w:t>
                  </w:r>
                </w:sdtContent>
              </w:sdt>
            </w:p>
            <w:p>
              <w:pPr>
                <w:jc w:val="center"/>
                <w:rPr>
                  <w:b/>
                  <w:bCs/>
                  <w:color w:val="000000"/>
                  <w:lang w:eastAsia="lt-LT"/>
                </w:rPr>
              </w:pPr>
            </w:p>
            <w:sdt>
              <w:sdtPr>
                <w:alias w:val="19 p."/>
                <w:tag w:val="part_cbb275d3eaaf41fcb7dc6f8b8b2a62bb"/>
                <w:lock w:val="sdtLocked"/>
                <w:richText/>
              </w:sdtPr>
              <w:sdtContent>
                <w:p>
                  <w:pPr>
                    <w:tabs>
                      <w:tab w:val="left" w:pos="851"/>
                    </w:tabs>
                    <w:ind w:firstLine="851"/>
                    <w:jc w:val="both"/>
                    <w:rPr>
                      <w:lang w:eastAsia="lt-LT"/>
                    </w:rPr>
                  </w:pPr>
                  <w:sdt>
                    <w:sdtPr>
                      <w:alias w:val="Numeris"/>
                      <w:tag w:val="nr_cbb275d3eaaf41fcb7dc6f8b8b2a62bb"/>
                      <w:lock w:val="sdtLocked"/>
                      <w:richText/>
                    </w:sdtPr>
                    <w:sdtContent>
                      <w:r>
                        <w:rPr>
                          <w:lang w:eastAsia="lt-LT"/>
                        </w:rPr>
                        <w:t>19</w:t>
                      </w:r>
                    </w:sdtContent>
                  </w:sdt>
                  <w:r>
                    <w:rPr>
                      <w:lang w:eastAsia="lt-LT"/>
                    </w:rPr>
                    <w:t>. Savivaldybės įstaigų darbuotojai privalo imtis visų įmanomų priemonių, siekdami užkirsti galimybę susidaryti beviltiškoms skoloms, ir privalo imtis visų įmanomų teisėtų priemonių skoloms išieškoti.</w:t>
                  </w:r>
                </w:p>
              </w:sdtContent>
            </w:sdt>
            <w:sdt>
              <w:sdtPr>
                <w:alias w:val="20 p."/>
                <w:tag w:val="part_53f8c0478257463da8af6170a752c32d"/>
                <w:lock w:val="sdtLocked"/>
                <w:richText/>
              </w:sdtPr>
              <w:sdtContent>
                <w:p>
                  <w:pPr>
                    <w:tabs>
                      <w:tab w:val="left" w:pos="851"/>
                    </w:tabs>
                    <w:ind w:firstLine="851"/>
                    <w:jc w:val="both"/>
                    <w:rPr>
                      <w:lang w:eastAsia="lt-LT"/>
                    </w:rPr>
                  </w:pPr>
                  <w:sdt>
                    <w:sdtPr>
                      <w:alias w:val="Numeris"/>
                      <w:tag w:val="nr_53f8c0478257463da8af6170a752c32d"/>
                      <w:lock w:val="sdtLocked"/>
                      <w:richText/>
                    </w:sdtPr>
                    <w:sdtContent>
                      <w:r>
                        <w:rPr>
                          <w:lang w:eastAsia="lt-LT"/>
                        </w:rPr>
                        <w:t>20</w:t>
                      </w:r>
                    </w:sdtContent>
                  </w:sdt>
                  <w:r>
                    <w:rPr>
                      <w:lang w:eastAsia="lt-LT"/>
                    </w:rPr>
                    <w:t>. Už tinkamą šio Tvarkos aprašo nuostatų įgyvendinimą atsakingi savivaldybės įstaigų vadovai.</w:t>
                  </w:r>
                </w:p>
              </w:sdtContent>
            </w:sdt>
            <w:sdt>
              <w:sdtPr>
                <w:alias w:val="21 p."/>
                <w:tag w:val="part_6fc5c3750329402894146b120bb30a79"/>
                <w:lock w:val="sdtLocked"/>
                <w:richText/>
              </w:sdtPr>
              <w:sdtContent>
                <w:p>
                  <w:pPr>
                    <w:tabs>
                      <w:tab w:val="left" w:pos="851"/>
                    </w:tabs>
                    <w:ind w:firstLine="851"/>
                    <w:jc w:val="both"/>
                    <w:rPr>
                      <w:lang w:eastAsia="lt-LT"/>
                    </w:rPr>
                  </w:pPr>
                  <w:sdt>
                    <w:sdtPr>
                      <w:alias w:val="Numeris"/>
                      <w:tag w:val="nr_6fc5c3750329402894146b120bb30a79"/>
                      <w:lock w:val="sdtLocked"/>
                      <w:richText/>
                    </w:sdtPr>
                    <w:sdtContent>
                      <w:r>
                        <w:rPr>
                          <w:lang w:eastAsia="lt-LT"/>
                        </w:rPr>
                        <w:t>21</w:t>
                      </w:r>
                    </w:sdtContent>
                  </w:sdt>
                  <w:r>
                    <w:rPr>
                      <w:lang w:eastAsia="lt-LT"/>
                    </w:rPr>
                    <w:t>. Tai, kas nereglamentuota Tvarkos apraše, sprendžiama taip, kaip numatyta teisės aktuose.</w:t>
                  </w:r>
                </w:p>
              </w:sdtContent>
            </w:sdt>
            <w:sdt>
              <w:sdtPr>
                <w:alias w:val="22 p."/>
                <w:tag w:val="part_6a3ebbad0c0242b68e567202a05175e3"/>
                <w:lock w:val="sdtLocked"/>
                <w:richText/>
              </w:sdtPr>
              <w:sdtContent>
                <w:p>
                  <w:pPr>
                    <w:tabs>
                      <w:tab w:val="left" w:pos="851"/>
                    </w:tabs>
                    <w:ind w:firstLine="851"/>
                    <w:jc w:val="both"/>
                    <w:rPr>
                      <w:lang w:eastAsia="lt-LT"/>
                    </w:rPr>
                  </w:pPr>
                  <w:sdt>
                    <w:sdtPr>
                      <w:alias w:val="Numeris"/>
                      <w:tag w:val="nr_6a3ebbad0c0242b68e567202a05175e3"/>
                      <w:lock w:val="sdtLocked"/>
                      <w:richText/>
                    </w:sdtPr>
                    <w:sdtContent>
                      <w:r>
                        <w:rPr>
                          <w:lang w:eastAsia="lt-LT"/>
                        </w:rPr>
                        <w:t>22</w:t>
                      </w:r>
                    </w:sdtContent>
                  </w:sdt>
                  <w:r>
                    <w:rPr>
                      <w:lang w:eastAsia="lt-LT"/>
                    </w:rPr>
                    <w:t>. Tvarkos aprašas keičiamas, stabdomas jo galiojimas ar jis pripažįstamas netekusiu galios Savivaldybės tarybos sprendimu.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3"/>
                    <w:jc w:val="both"/>
                    <w:rPr>
                      <w:lang w:eastAsia="lt-LT"/>
                    </w:rPr>
                  </w:pPr>
                </w:p>
              </w:sdtContent>
            </w:sdt>
          </w:sdtContent>
        </w:sdt>
        <w:sdt>
          <w:sdtPr>
            <w:alias w:val="pabaiga"/>
            <w:tag w:val="part_6f518cac39b845bfabfa12d249e1a0f8"/>
            <w:lock w:val="sdtLocked"/>
            <w:richText/>
          </w:sdtPr>
          <w:sdtContent>
            <w:p>
              <w:pPr>
                <w:jc w:val="center"/>
              </w:pPr>
              <w:r>
                <w:t>____________________</w:t>
              </w:r>
            </w:p>
            <w:p>
              <w:pPr>
                <w:rPr>
                  <w:szCs w:val="24"/>
                </w:rPr>
              </w:pPr>
              <w:r>
                <w:rPr>
                  <w:szCs w:val="24"/>
                </w:rPr>
                <w:br w:type="page"/>
              </w:r>
            </w:p>
          </w:sdtContent>
        </w:sdt>
      </w:sdtContent>
    </w:sdt>
    <w:sdt>
      <w:sdtPr>
        <w:alias w:val="pr."/>
        <w:tag w:val="part_89125a158ee4464a940c401b3bdee615"/>
        <w:lock w:val="sdtLocked"/>
        <w:richText/>
      </w:sdtPr>
      <w:sdtContent>
        <w:sdt>
          <w:sdtPr>
            <w:alias w:val="Pavadinimas"/>
            <w:tag w:val="title_89125a158ee4464a940c401b3bdee615"/>
            <w:lock w:val="sdtLocked"/>
            <w:richText/>
          </w:sdtPr>
          <w:sdtContent>
            <w:p>
              <w:pPr>
                <w:jc w:val="center"/>
                <w:rPr>
                  <w:b/>
                  <w:szCs w:val="24"/>
                </w:rPr>
              </w:pPr>
              <w:r>
                <w:rPr>
                  <w:b/>
                  <w:szCs w:val="24"/>
                </w:rPr>
                <w:t xml:space="preserve">RADVILIŠKIO RAJONO SAVIVALDYBĖS TARYBOS SPRENDIMO PROJEKTO </w:t>
              </w:r>
            </w:p>
            <w:p>
              <w:pPr>
                <w:jc w:val="center"/>
                <w:rPr>
                  <w:b/>
                  <w:bCs/>
                  <w:caps/>
                  <w:szCs w:val="24"/>
                </w:rPr>
              </w:pPr>
              <w:r>
                <w:rPr>
                  <w:b/>
                  <w:szCs w:val="24"/>
                </w:rPr>
                <w:t>„</w:t>
              </w:r>
              <w:r>
                <w:rPr>
                  <w:b/>
                  <w:szCs w:val="24"/>
                  <w:lang w:eastAsia="ar-SA"/>
                </w:rPr>
                <w:t xml:space="preserve">DĖL SKOLŲ PRIPAŽINIMO BEVILTIŠKOMIS, JŲ NURAŠYMO, APSKAITOS IR INVENTORIZAVIMO </w:t>
              </w:r>
              <w:r>
                <w:rPr>
                  <w:b/>
                  <w:bCs/>
                  <w:szCs w:val="24"/>
                </w:rPr>
                <w:t xml:space="preserve">RADVILIŠKIO </w:t>
              </w:r>
              <w:r>
                <w:rPr>
                  <w:b/>
                </w:rPr>
                <w:t xml:space="preserve">RAJONO SAVIVALDYBĖS BIUDŽETINĖSE ĮSTAIGOSE </w:t>
              </w:r>
              <w:r>
                <w:rPr>
                  <w:b/>
                  <w:szCs w:val="24"/>
                  <w:lang w:eastAsia="ar-SA"/>
                </w:rPr>
                <w:t>TVARKOS APRAŠO PATVIRTINIMO</w:t>
              </w:r>
              <w:r>
                <w:rPr>
                  <w:b/>
                  <w:caps/>
                  <w:szCs w:val="24"/>
                  <w:lang w:eastAsia="lt-LT"/>
                </w:rPr>
                <w:t xml:space="preserve">“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2025-11-10</w:t>
          </w:r>
        </w:p>
        <w:p>
          <w:pPr>
            <w:jc w:val="center"/>
            <w:rPr>
              <w:szCs w:val="24"/>
            </w:rPr>
          </w:pPr>
          <w:r>
            <w:rPr>
              <w:szCs w:val="24"/>
            </w:rPr>
            <w:t>Radviliškis</w:t>
          </w:r>
        </w:p>
        <w:p>
          <w:pPr>
            <w:rPr>
              <w:szCs w:val="24"/>
            </w:rPr>
          </w:pPr>
        </w:p>
        <w:sdt>
          <w:sdtPr>
            <w:alias w:val="pr. 1 p."/>
            <w:tag w:val="part_1f167af1539b4151b095ad698cc62ace"/>
            <w:lock w:val="sdtLocked"/>
            <w:richText/>
          </w:sdtPr>
          <w:sdtContent>
            <w:p>
              <w:pPr>
                <w:tabs>
                  <w:tab w:val="left" w:pos="855"/>
                  <w:tab w:val="left" w:pos="993"/>
                </w:tabs>
                <w:suppressAutoHyphens/>
                <w:ind w:firstLine="709"/>
                <w:jc w:val="both"/>
                <w:rPr>
                  <w:shd w:val="clear" w:color="auto" w:fill="FFFFFF"/>
                  <w:lang w:eastAsia="ar-SA"/>
                </w:rPr>
              </w:pPr>
              <w:sdt>
                <w:sdtPr>
                  <w:alias w:val="Numeris"/>
                  <w:tag w:val="nr_1f167af1539b4151b095ad698cc62ace"/>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ind w:firstLine="851"/>
                <w:jc w:val="both"/>
                <w:rPr>
                  <w:szCs w:val="24"/>
                  <w:lang w:eastAsia="lt-LT"/>
                </w:rPr>
              </w:pPr>
              <w:r>
                <w:t>Poreikis sureguliuoti skolų pripažinimo beviltiškomis, jų nurašymo procesus savivaldybės biudžetinėse įstaigose. Tikslas – užtikrinti skaidrų ir vieningą skolų tvarkymo mechanizmą, prisidedant prie efektyvesnio savivaldybės finansų valdymo.</w:t>
              </w:r>
            </w:p>
          </w:sdtContent>
        </w:sdt>
        <w:sdt>
          <w:sdtPr>
            <w:alias w:val="pr. 2 p."/>
            <w:tag w:val="part_43272818cbc143149c13d743edebf7cf"/>
            <w:lock w:val="sdtLocked"/>
            <w:richText/>
          </w:sdtPr>
          <w:sdtContent>
            <w:p>
              <w:pPr>
                <w:tabs>
                  <w:tab w:val="left" w:pos="993"/>
                </w:tabs>
                <w:ind w:firstLine="709"/>
                <w:jc w:val="both"/>
                <w:rPr>
                  <w:szCs w:val="24"/>
                </w:rPr>
              </w:pPr>
              <w:sdt>
                <w:sdtPr>
                  <w:alias w:val="Numeris"/>
                  <w:tag w:val="nr_43272818cbc143149c13d743edebf7cf"/>
                  <w:lock w:val="sdtLocked"/>
                  <w:richText/>
                </w:sdtPr>
                <w:sdtContent>
                  <w:r>
                    <w:rPr>
                      <w:b/>
                      <w:bCs/>
                      <w:szCs w:val="24"/>
                    </w:rPr>
                    <w:t>2</w:t>
                  </w:r>
                </w:sdtContent>
              </w:sdt>
              <w:r>
                <w:rPr>
                  <w:b/>
                  <w:bCs/>
                  <w:szCs w:val="24"/>
                </w:rPr>
                <w:t xml:space="preserve">.  Projekto iniciatoriai (institucija, asmenys ar piliečių atstovai) ir rengėjai.</w:t>
              </w:r>
            </w:p>
            <w:p>
              <w:pPr>
                <w:tabs>
                  <w:tab w:val="left" w:pos="993"/>
                </w:tabs>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rengėjai – Radviliškio rajono savivaldybės administracijos Investicijų ir turto valdymo skyrius bei Statybos ir viešosios tvarkos skyrius. </w:t>
              </w:r>
            </w:p>
          </w:sdtContent>
        </w:sdt>
        <w:sdt>
          <w:sdtPr>
            <w:alias w:val="pr. 3 p."/>
            <w:tag w:val="part_8633d45c32f642d5947ecd80a5cf512f"/>
            <w:lock w:val="sdtLocked"/>
            <w:richText/>
          </w:sdtPr>
          <w:sdtContent>
            <w:p>
              <w:pPr>
                <w:tabs>
                  <w:tab w:val="left" w:pos="993"/>
                </w:tabs>
                <w:suppressAutoHyphens/>
                <w:ind w:left="1040" w:hanging="360"/>
                <w:jc w:val="both"/>
                <w:rPr>
                  <w:szCs w:val="24"/>
                </w:rPr>
              </w:pPr>
              <w:sdt>
                <w:sdtPr>
                  <w:alias w:val="Numeris"/>
                  <w:tag w:val="nr_8633d45c32f642d5947ecd80a5cf512f"/>
                  <w:lock w:val="sdtLocked"/>
                  <w:richText/>
                </w:sdtPr>
                <w:sdtContent>
                  <w:r>
                    <w:rPr>
                      <w:b/>
                      <w:szCs w:val="24"/>
                    </w:rPr>
                    <w:t>3</w:t>
                  </w:r>
                </w:sdtContent>
              </w:sdt>
              <w:r>
                <w:rPr>
                  <w:b/>
                  <w:szCs w:val="24"/>
                </w:rPr>
                <w:t>.</w:t>
                <w:tab/>
                <w:t>Kaip šiuo metu yra reguliuojami sprendimo projekte aptarti teisiniai santykiai.</w:t>
              </w:r>
            </w:p>
            <w:p>
              <w:pPr>
                <w:tabs>
                  <w:tab w:val="left" w:pos="855"/>
                </w:tabs>
                <w:ind w:firstLine="680"/>
                <w:jc w:val="both"/>
              </w:pPr>
              <w:r>
                <w:t xml:space="preserve">Šiuo metu skolų pripažinimo beviltiškomis ir jų nurašymo procesas nėra reglamentuotas savivaldybės lygmeniu. </w:t>
              </w:r>
            </w:p>
          </w:sdtContent>
        </w:sdt>
        <w:sdt>
          <w:sdtPr>
            <w:alias w:val="pr. 4 p."/>
            <w:tag w:val="part_171577ac93534bee9eb636e157854429"/>
            <w:lock w:val="sdtLocked"/>
            <w:richText/>
          </w:sdtPr>
          <w:sdtContent>
            <w:p>
              <w:pPr>
                <w:tabs>
                  <w:tab w:val="left" w:pos="855"/>
                </w:tabs>
                <w:ind w:firstLine="680"/>
                <w:jc w:val="both"/>
                <w:rPr>
                  <w:color w:val="000000"/>
                  <w:szCs w:val="24"/>
                </w:rPr>
              </w:pPr>
              <w:sdt>
                <w:sdtPr>
                  <w:alias w:val="Numeris"/>
                  <w:tag w:val="nr_171577ac93534bee9eb636e157854429"/>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ind w:firstLine="680"/>
                <w:jc w:val="both"/>
              </w:pPr>
              <w:r>
                <w:t>Siūloma patvirtinti aiškų tvarkos aprašą, nustatantį kriterijus, dokumentus ir procedūras, reikalingas skoloms pripažinti beviltiškomis ir jas nurašyti. Laukiamas rezultatas – skaidresnė apskaita, efektyvesnis turto valdymas, mažesnė administracinė našta.</w:t>
              </w:r>
            </w:p>
          </w:sdtContent>
        </w:sdt>
        <w:sdt>
          <w:sdtPr>
            <w:alias w:val="pr. 5 p."/>
            <w:tag w:val="part_05a463f20c484504b7b359a95c9e27a9"/>
            <w:lock w:val="sdtLocked"/>
            <w:richText/>
          </w:sdtPr>
          <w:sdtContent>
            <w:p>
              <w:pPr>
                <w:ind w:firstLine="680"/>
                <w:jc w:val="both"/>
                <w:rPr>
                  <w:b/>
                  <w:bCs/>
                  <w:szCs w:val="24"/>
                </w:rPr>
              </w:pPr>
              <w:sdt>
                <w:sdtPr>
                  <w:alias w:val="Numeris"/>
                  <w:tag w:val="nr_05a463f20c484504b7b359a95c9e27a9"/>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ind w:firstLine="680"/>
                <w:jc w:val="both"/>
              </w:pPr>
              <w:r>
                <w:t>Papildomų teisės aktų priimti nereikia. Galiojantys teisės aktai lieka galioti, sprendimo projektas jų nepakeičia ir nepripažįsta negaliojančiais.</w:t>
              </w:r>
            </w:p>
          </w:sdtContent>
        </w:sdt>
        <w:sdt>
          <w:sdtPr>
            <w:alias w:val="pr. 6 p."/>
            <w:tag w:val="part_709c3bde192a405eb006bc64572577d5"/>
            <w:lock w:val="sdtLocked"/>
            <w:richText/>
          </w:sdtPr>
          <w:sdtContent>
            <w:p>
              <w:pPr>
                <w:ind w:firstLine="680"/>
                <w:jc w:val="both"/>
                <w:rPr>
                  <w:szCs w:val="24"/>
                </w:rPr>
              </w:pPr>
              <w:sdt>
                <w:sdtPr>
                  <w:alias w:val="Numeris"/>
                  <w:tag w:val="nr_709c3bde192a405eb006bc64572577d5"/>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pr. 7 p."/>
            <w:tag w:val="part_d4b5437e03714832a5cada6f945fd3e0"/>
            <w:lock w:val="sdtLocked"/>
            <w:richText/>
          </w:sdtPr>
          <w:sdtContent>
            <w:p>
              <w:pPr>
                <w:tabs>
                  <w:tab w:val="left" w:pos="855"/>
                </w:tabs>
                <w:ind w:firstLine="680"/>
                <w:jc w:val="both"/>
                <w:rPr>
                  <w:szCs w:val="24"/>
                  <w:shd w:val="clear" w:color="auto" w:fill="FFFFFF"/>
                </w:rPr>
              </w:pPr>
              <w:sdt>
                <w:sdtPr>
                  <w:alias w:val="Numeris"/>
                  <w:tag w:val="nr_d4b5437e03714832a5cada6f945fd3e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ind w:firstLine="680"/>
                <w:jc w:val="both"/>
                <w:rPr>
                  <w:szCs w:val="24"/>
                </w:rPr>
              </w:pPr>
              <w:r>
                <w:rPr>
                  <w:szCs w:val="24"/>
                  <w:shd w:val="clear" w:color="auto" w:fill="FFFFFF"/>
                </w:rPr>
                <w:t>Sprendimo projektui įgyvendinti lėšos nereikalingos</w:t>
              </w:r>
              <w:r>
                <w:rPr>
                  <w:bCs/>
                  <w:szCs w:val="24"/>
                  <w:shd w:val="clear" w:color="auto" w:fill="FFFFFF"/>
                </w:rPr>
                <w:t>.</w:t>
              </w:r>
            </w:p>
          </w:sdtContent>
        </w:sdt>
        <w:sdt>
          <w:sdtPr>
            <w:alias w:val="pr. 8 p."/>
            <w:tag w:val="part_32ddef73d793430f85fa259b5091464e"/>
            <w:lock w:val="sdtLocked"/>
            <w:richText/>
          </w:sdtPr>
          <w:sdtContent>
            <w:p>
              <w:pPr>
                <w:tabs>
                  <w:tab w:val="left" w:pos="1200"/>
                </w:tabs>
                <w:ind w:firstLine="680"/>
                <w:jc w:val="both"/>
                <w:rPr>
                  <w:b/>
                  <w:color w:val="000000"/>
                  <w:szCs w:val="24"/>
                </w:rPr>
              </w:pPr>
              <w:sdt>
                <w:sdtPr>
                  <w:alias w:val="Numeris"/>
                  <w:tag w:val="nr_32ddef73d793430f85fa259b5091464e"/>
                  <w:lock w:val="sdtLocked"/>
                  <w:richText/>
                </w:sdtPr>
                <w:sdtContent>
                  <w:r>
                    <w:rPr>
                      <w:b/>
                      <w:szCs w:val="24"/>
                    </w:rPr>
                    <w:t>8</w:t>
                  </w:r>
                </w:sdtContent>
              </w:sdt>
              <w:r>
                <w:rPr>
                  <w:b/>
                  <w:szCs w:val="24"/>
                </w:rPr>
                <w:t>. Sprendimo projekto rengimo metu gauti specialistų vertinimai ir išvados.</w:t>
              </w:r>
            </w:p>
            <w:p>
              <w:pPr>
                <w:tabs>
                  <w:tab w:val="left" w:pos="1200"/>
                </w:tabs>
                <w:ind w:firstLine="680"/>
                <w:jc w:val="both"/>
                <w:rPr>
                  <w:bCs/>
                  <w:szCs w:val="24"/>
                </w:rPr>
              </w:pPr>
              <w:r>
                <w:rPr>
                  <w:bCs/>
                  <w:szCs w:val="24"/>
                </w:rPr>
                <w:t>Nėra.</w:t>
              </w:r>
            </w:p>
          </w:sdtContent>
        </w:sdt>
        <w:sdt>
          <w:sdtPr>
            <w:alias w:val="pr. 9 p."/>
            <w:tag w:val="part_0e23a075f96e4fd9a394865b8ba67805"/>
            <w:lock w:val="sdtLocked"/>
            <w:richText/>
          </w:sdtPr>
          <w:sdtContent>
            <w:p>
              <w:pPr>
                <w:tabs>
                  <w:tab w:val="left" w:pos="1200"/>
                </w:tabs>
                <w:ind w:firstLine="680"/>
                <w:jc w:val="both"/>
                <w:rPr>
                  <w:b/>
                  <w:szCs w:val="24"/>
                </w:rPr>
              </w:pPr>
              <w:sdt>
                <w:sdtPr>
                  <w:alias w:val="Numeris"/>
                  <w:tag w:val="nr_0e23a075f96e4fd9a394865b8ba67805"/>
                  <w:lock w:val="sdtLocked"/>
                  <w:richText/>
                </w:sdtPr>
                <w:sdtContent>
                  <w:r>
                    <w:rPr>
                      <w:b/>
                      <w:szCs w:val="24"/>
                    </w:rPr>
                    <w:t>9</w:t>
                  </w:r>
                </w:sdtContent>
              </w:sdt>
              <w:r>
                <w:rPr>
                  <w:b/>
                  <w:szCs w:val="24"/>
                </w:rPr>
                <w:t>. Numatomo teisinio reguliavimo poveikio vertinimo rezultatai.</w:t>
              </w:r>
            </w:p>
            <w:p>
              <w:pPr>
                <w:tabs>
                  <w:tab w:val="left" w:pos="855"/>
                </w:tabs>
                <w:ind w:firstLine="680"/>
                <w:jc w:val="both"/>
                <w:rPr>
                  <w:szCs w:val="24"/>
                  <w:shd w:val="clear" w:color="auto" w:fill="FFFFFF"/>
                </w:rPr>
              </w:pPr>
              <w:r>
                <w:rPr>
                  <w:szCs w:val="24"/>
                  <w:shd w:val="clear" w:color="auto" w:fill="FFFFFF"/>
                </w:rPr>
                <w:t>Neatlikta ir nenumatyta.</w:t>
              </w:r>
            </w:p>
          </w:sdtContent>
        </w:sdt>
        <w:sdt>
          <w:sdtPr>
            <w:alias w:val="pr. 10 p."/>
            <w:tag w:val="part_8841817af0d847efb98d22d74b1e781a"/>
            <w:lock w:val="sdtLocked"/>
            <w:richText/>
          </w:sdtPr>
          <w:sdtContent>
            <w:p>
              <w:pPr>
                <w:ind w:firstLine="680"/>
                <w:jc w:val="both"/>
                <w:rPr>
                  <w:szCs w:val="24"/>
                  <w:shd w:val="clear" w:color="auto" w:fill="FFFFFF"/>
                </w:rPr>
              </w:pPr>
              <w:sdt>
                <w:sdtPr>
                  <w:alias w:val="Numeris"/>
                  <w:tag w:val="nr_8841817af0d847efb98d22d74b1e781a"/>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ind w:firstLine="680"/>
                <w:jc w:val="both"/>
                <w:rPr>
                  <w:szCs w:val="24"/>
                  <w:shd w:val="clear" w:color="auto" w:fill="FFFFFF"/>
                </w:rPr>
              </w:pPr>
              <w:r>
                <w:rPr>
                  <w:szCs w:val="24"/>
                  <w:shd w:val="clear" w:color="auto" w:fill="FFFFFF"/>
                </w:rPr>
                <w:t>A</w:t>
              </w:r>
              <w:r>
                <w:rPr>
                  <w:szCs w:val="24"/>
                </w:rPr>
                <w:t>ntikorupcinis sprendimo projekto vertinimas neatliekamas</w:t>
              </w:r>
              <w:r>
                <w:rPr>
                  <w:szCs w:val="24"/>
                  <w:shd w:val="clear" w:color="auto" w:fill="FFFFFF"/>
                </w:rPr>
                <w:t>.</w:t>
              </w:r>
            </w:p>
          </w:sdtContent>
        </w:sdt>
        <w:sdt>
          <w:sdtPr>
            <w:alias w:val="pr. 11 p."/>
            <w:tag w:val="part_a61049d2efb4424aa19fe5d4a00917f2"/>
            <w:lock w:val="sdtLocked"/>
            <w:richText/>
          </w:sdtPr>
          <w:sdtContent>
            <w:p>
              <w:pPr>
                <w:tabs>
                  <w:tab w:val="left" w:pos="1134"/>
                </w:tabs>
                <w:ind w:left="1069" w:hanging="360"/>
                <w:rPr>
                  <w:rFonts w:eastAsia="Calibri"/>
                  <w:b/>
                  <w:bCs/>
                  <w:szCs w:val="24"/>
                </w:rPr>
              </w:pPr>
              <w:sdt>
                <w:sdtPr>
                  <w:alias w:val="Numeris"/>
                  <w:tag w:val="nr_a61049d2efb4424aa19fe5d4a00917f2"/>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pr. 12 p."/>
            <w:tag w:val="part_43bf4105b61e47ec879140c067cea8c5"/>
            <w:lock w:val="sdtLocked"/>
            <w:richText/>
          </w:sdtPr>
          <w:sdtContent>
            <w:p>
              <w:pPr>
                <w:ind w:left="1069" w:hanging="360"/>
                <w:jc w:val="both"/>
                <w:rPr>
                  <w:rFonts w:eastAsia="Calibri"/>
                  <w:b/>
                  <w:bCs/>
                  <w:szCs w:val="24"/>
                </w:rPr>
              </w:pPr>
              <w:sdt>
                <w:sdtPr>
                  <w:alias w:val="Numeris"/>
                  <w:tag w:val="nr_43bf4105b61e47ec879140c067cea8c5"/>
                  <w:lock w:val="sdtLocked"/>
                  <w:richText/>
                </w:sdtPr>
                <w:sdtContent>
                  <w:r>
                    <w:rPr>
                      <w:rFonts w:eastAsia="Calibri"/>
                      <w:b/>
                      <w:bCs/>
                      <w:szCs w:val="24"/>
                    </w:rPr>
                    <w:t>12</w:t>
                  </w:r>
                </w:sdtContent>
              </w:sdt>
              <w:r>
                <w:rPr>
                  <w:rFonts w:eastAsia="Calibri"/>
                  <w:b/>
                  <w:bCs/>
                  <w:szCs w:val="24"/>
                </w:rPr>
                <w:t>.</w:t>
                <w:tab/>
                <w:t>Pridedami dokumentai.</w:t>
              </w:r>
            </w:p>
            <w:p>
              <w:pPr>
                <w:ind w:left="709"/>
                <w:jc w:val="both"/>
                <w:rPr>
                  <w:rFonts w:eastAsia="Calibri"/>
                  <w:szCs w:val="24"/>
                </w:rPr>
              </w:pPr>
              <w:r>
                <w:rPr>
                  <w:rFonts w:eastAsia="Calibri"/>
                  <w:szCs w:val="24"/>
                </w:rPr>
                <w:t>Nėra</w:t>
              </w:r>
            </w:p>
            <w:p>
              <w:pPr>
                <w:jc w:val="both"/>
                <w:rPr>
                  <w:b/>
                  <w:bCs/>
                  <w:szCs w:val="24"/>
                </w:rPr>
              </w:pPr>
            </w:p>
            <w:p>
              <w:pPr>
                <w:jc w:val="both"/>
                <w:rPr>
                  <w:szCs w:val="24"/>
                </w:rPr>
              </w:pPr>
              <w:r>
                <w:rPr>
                  <w:szCs w:val="24"/>
                </w:rPr>
                <w:t>Parengė:</w:t>
              </w:r>
            </w:p>
            <w:p>
              <w:pPr>
                <w:tabs>
                  <w:tab w:val="left" w:pos="7680"/>
                </w:tabs>
                <w:jc w:val="both"/>
                <w:rPr>
                  <w:szCs w:val="24"/>
                </w:rPr>
              </w:pPr>
              <w:r>
                <w:rPr>
                  <w:szCs w:val="24"/>
                </w:rPr>
                <w:t xml:space="preserve">Investicijų ir turto valdymo skyriaus vyriausioji specialistė                                           Justė Kriuklienė</w:t>
              </w:r>
            </w:p>
            <w:p>
              <w:pPr>
                <w:tabs>
                  <w:tab w:val="left" w:pos="7680"/>
                </w:tabs>
                <w:jc w:val="both"/>
                <w:rPr>
                  <w:szCs w:val="24"/>
                </w:rPr>
              </w:pPr>
            </w:p>
            <w:p>
              <w:pPr>
                <w:tabs>
                  <w:tab w:val="left" w:pos="7680"/>
                </w:tabs>
                <w:jc w:val="both"/>
                <w:rPr>
                  <w:szCs w:val="24"/>
                </w:rPr>
              </w:pPr>
            </w:p>
            <w:p>
              <w:pPr>
                <w:tabs>
                  <w:tab w:val="left" w:pos="7680"/>
                </w:tabs>
                <w:jc w:val="both"/>
                <w:rPr>
                  <w:szCs w:val="24"/>
                </w:rPr>
              </w:pPr>
              <w:r>
                <w:rPr>
                  <w:szCs w:val="24"/>
                </w:rPr>
                <w:t xml:space="preserve">Statybos ir viešosios tarkos skyriaus vyriausioji specialistė                                                 Rasa Zviagina</w:t>
              </w:r>
            </w:p>
          </w:sdtContent>
        </w:sdt>
      </w:sdtContent>
    </w:sdt>
    <w:sectPr>
      <w:headerReference w:type="default" r:id="rId13"/>
      <w:headerReference w:type="first" r:id="rId14"/>
      <w:pgSz w:w="11906" w:h="16838" w:code="9"/>
      <w:pgMar w:top="1134" w:right="567" w:bottom="851" w:left="1701" w:header="709" w:footer="709" w:gutter="0"/>
      <w:pgNumType w:start="1"/>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HG Mincho Light J">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jc w:val="center"/>
      <w:rPr>
        <w:szCs w:val="24"/>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39"/>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7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5622D527-7B2E-4B3A-AAAC-D236BCCBA8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28648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4c8991d9d384b58a7b69831c1156167" PartId="bbf7f4b375b64b0598ae3592e8eb2e7b">
    <Part Type="preambule" DocPartId="a4f09c6e49c04021af98e7cf9d26294c" PartId="a98f61c924a540159e328fc3c2f222e4"/>
    <Part Type="pastraipa" DocPartId="8e49d42f294144d397c8d85589d3e32c" PartId="60c80c51922d4e06b9ec4cb7fb4c8432"/>
    <Part Type="signatura" DocPartId="879bdab35aff441cb3f0a3b7afdc6735" PartId="66fe3c11c9a04ea0858daa1296d8f5f1"/>
  </Part>
  <Part Type="patvirtinta" Title="SKOLŲ PRIPAŽINIMO BEVILTIŠKOMIS IR JŲ NURAŠYMO RADVILIŠKIO RAJONO SAVIVALDYBĖS BIUDŽETINĖSE ĮSTAIGOSE TVARKOS APRAŠAS" DocPartId="da178691c38f47d8b6267f5babc18083" PartId="5efdd645bb3d4f74a7a6c68a069b5f14">
    <Part Type="skyrius" Nr="1" Title="BENDROSIOS NUOSTATOS" DocPartId="277cc6467f3d4a998554ba83bb47bd9c" PartId="8ddfa54cb66d4b3c9486d48cc0068a36">
      <Part Type="punktas" Nr="1" Abbr="1 p." DocPartId="2ec272047a5843e1accd3d68115d851d" PartId="5000941f388c44b3be7fb716e185c7e6"/>
      <Part Type="punktas" Nr="2" Abbr="2 p." DocPartId="ce18ecb68b474866a2847cf570649c28" PartId="23799c00f02c4778a866c103f2332101"/>
      <Part Type="punktas" Nr="3" Abbr="3 p." DocPartId="4afe141d245845d9b81b3f59ab6c46d0" PartId="040546e685ca45c8b33229d003bc8ca2"/>
    </Part>
    <Part Type="skyrius" Nr="2" Title="SKOLŲ PRIPAŽINIMAS BEVILTIŠKOMIS" DocPartId="e5a05fa18f044b2e80c197b330ccb177" PartId="cf9ea63ca7b44b8c81b141a714cd1c19">
      <Part Type="punktas" Nr="4" Abbr="4 p." DocPartId="9459614b0a124da898c6dc668c60eb17" PartId="aed6ba8a1ff94404a14737eb5321b06a">
        <Part Type="papunktis" Nr="4.1" Abbr="4.1 pp." DocPartId="ae84ffa0ed7b4d28bc361502f9e7e30a" PartId="7edd9803c15e4337ab0a242b94340ee3"/>
        <Part Type="papunktis" Nr="4.2" Abbr="4.2 pp." DocPartId="e0218248ec7b4937a4d9ce3a3bd41d07" PartId="468431fb515b463785444c5119170034"/>
        <Part Type="papunktis" Nr="4.3" Abbr="4.3 pp." DocPartId="efaa968742cf44f1a12ca084ae3be964" PartId="b775ad857344445aab513b27a25e9391"/>
        <Part Type="papunktis" Nr="4.4" Abbr="4.4 pp." DocPartId="8111481e435a433cb246d9d3be0ccd5e" PartId="4a25053a3a8f4c18bee77a2f62e8a922"/>
        <Part Type="papunktis" Nr="4.5" Abbr="4.5 pp." DocPartId="48e6c95dcbee49c791727db669a62145" PartId="a2378f4b11494c20896258c9f5ccc043"/>
        <Part Type="papunktis" Nr="4.6" Abbr="4.6 pp." DocPartId="63536ce13ef14b3f992760fbe45cb174" PartId="b26e5676648e46efa33dd0e4d0fddd7d"/>
        <Part Type="papunktis" Nr="4.7" Abbr="4.7 pp." DocPartId="5654c2ef559442dbb4748231ad38f2ca" PartId="b4ff1e08ae5a43939297b43c351ad46c"/>
        <Part Type="papunktis" Nr="4.8" Abbr="4.8 pp." DocPartId="e465b78d2bf4421d86abf1c27b7e973a" PartId="00e27152ad3c434ba9e85eeeef0ad2aa"/>
      </Part>
      <Part Type="punktas" Nr="5" Abbr="5 p." DocPartId="2e8ba343bd4e482a944b15d3cb48a524" PartId="242eceebb1e44374a8b85a91ebb1948a"/>
    </Part>
    <Part Type="skyrius" Nr="3" Title="SKOLŲ BEVILTIŠKUMĄ ĮRODANTYS DOKUMENTAI" DocPartId="69706e2960e743d28176f6d1dd085dc4" PartId="3505b3d5a6da4c65ae8d38e19a43bbf2">
      <Part Type="punktas" Nr="6" Abbr="6 p." DocPartId="e1af8e697cd2414e8f076d86901276ba" PartId="b5a2c3cca4ce40419e6aee5cc83361b2"/>
      <Part Type="punktas" Nr="7" Abbr="7 p." DocPartId="969ddf6524bd4ab9878ad9b62e6a0069" PartId="ff4f4ecd0c024b659f8bf55295f4b8ab">
        <Part Type="papunktis" Nr="7.1" Abbr="7.1 pp." DocPartId="f205c83fe37f4488a1e8ac072bd88d45" PartId="f39e11b3b5d949bab9f3282509b318c8"/>
        <Part Type="papunktis" Nr="7.2" Abbr="7.2 pp." DocPartId="9abfc00b78cf40c4b749b341fd212bd3" PartId="da96c002672648f9b7ad9469def5d9bb"/>
        <Part Type="papunktis" Nr="7.3" Abbr="7.3 pp." DocPartId="e4991a92e9944c07a8916f8975e97d28" PartId="41f14c23e26c4b248457449975208859"/>
      </Part>
      <Part Type="punktas" Nr="8" Abbr="8 p." DocPartId="9cca0a4d5e994879b0c21f5ff49ed111" PartId="8f2956ad5f7449efb4f7ad6c2cfdeb6e">
        <Part Type="papunktis" Nr="8.1" Abbr="8.1 pp." DocPartId="f9b8e478c8ce4d40a4093b244838fd0c" PartId="4f606313ff894436aa0561658a5cc226"/>
        <Part Type="papunktis" Nr="8.2" Abbr="8.2 pp." DocPartId="84e97f8f746e4ee1b7ea140abb5c67c9" PartId="558b62ae511b4e1cbad2c50d497ae6cf"/>
      </Part>
      <Part Type="punktas" Nr="9" Abbr="9 p." DocPartId="3e410e9cf8104917bbc214a822a952e2" PartId="578e072f34b345fd96fa93092349e8b8"/>
      <Part Type="punktas" Nr="10" Abbr="10 p." DocPartId="10dcdc1612ad418088dc0ec3bd29caa7" PartId="86a9d39933f749fe975ffbe3e83dd032">
        <Part Type="papunktis" Nr="10.1" Abbr="10.1 pp." DocPartId="74952c1b5dd34e8e9753b2ca6c264b87" PartId="9585a273a8024838a48cea57ecbd771e"/>
        <Part Type="papunktis" Nr="10.2" Abbr="10.2 pp." DocPartId="41353d89427748f8a7079b8eefe5b05d" PartId="d982fb7687aa4f17adcfa8e707b41661"/>
      </Part>
      <Part Type="punktas" Nr="11" Abbr="11 p." DocPartId="84fdff693c55426990d0f6703e3fdd0c" PartId="272ad3c0413345b8923da360be6274be"/>
      <Part Type="punktas" Nr="12" Abbr="12 p." DocPartId="4a622f1a02c64bbebf19ae01cb582205" PartId="024b0dad24c241c79a06d9b006a31242">
        <Part Type="papunktis" Nr="12.1" Abbr="12.1 pp." DocPartId="bf33e5b6715147978658a1179d4a1855" PartId="ad4c45c3f292470a840615437afa889e"/>
        <Part Type="papunktis" Nr="12.2" Abbr="12.2 pp." DocPartId="726295c1625a4198a601f0493ff240e5" PartId="afc1fd73b0eb41a5ae53ed6402fe4178"/>
      </Part>
      <Part Type="punktas" Nr="13" Abbr="13 p." DocPartId="239961b1871746c981a48c07798d103b" PartId="f1f4d00fcb904e5f94c66b68e40454b2"/>
    </Part>
    <Part Type="skyrius" Nr="4" Title="SKOLŲ, PRIPAŽINTŲ BEVILTIŠKOMIS, NURAŠYMAS" DocPartId="8821fc460a8d4c48a4fc3ff4dd914ec1" PartId="f20c13f1228a4ec997bfeea76f596d26">
      <Part Type="punktas" Nr="14" Abbr="14 p." DocPartId="a0e6a12fad484e2c9efb6517bc9e90d9" PartId="78bd225d12aa48e480a7fd7e893ebb17"/>
      <Part Type="punktas" Nr="15" Abbr="15 p." DocPartId="30bb0ffca22047b8a8d84a7bae6bd2e7" PartId="6a4433660c4e4054b9d16aac473d6e74"/>
      <Part Type="punktas" Nr="16" Abbr="16 p." DocPartId="cf5515f7f84d4506943fd937b93537f9" PartId="f700f3ea4adf444a810b9b52e5f7691e">
        <Part Type="papunktis" Nr="16.1" Abbr="16.1 pp." DocPartId="40d755d668544031b10f3916cf1e28fb" PartId="795f7d1a3d2e4d45b5613d25d4a6a327"/>
        <Part Type="papunktis" Nr="16.2" Abbr="16.2 pp." DocPartId="69af7bb2535a464eb2145bfaa9b4fdef" PartId="3b38ee2b6faa4c398ae0ff5b90436ae9"/>
      </Part>
      <Part Type="punktas" Nr="17" Abbr="17 p." DocPartId="b0cd76cf93a343a7b3c025dec2d75547" PartId="301676f21afe41e383794e89f060f87f"/>
      <Part Type="punktas" Nr="18" Abbr="18 p." DocPartId="495338e7f6e34fb58e27d399087d496b" PartId="5ddf3b0570d845feb2b22ba7da83f78e"/>
    </Part>
    <Part Type="skyrius" Nr="5" Title="BAIGIAMOSIOS NUOSTATOS" DocPartId="bac332df4b2e4021beedb6d0a13b0995" PartId="4d826e1d313341b6a79513978b2f8a49">
      <Part Type="punktas" Nr="19" Abbr="19 p." DocPartId="65104376dc0a4325b9081895a35e532c" PartId="cbb275d3eaaf41fcb7dc6f8b8b2a62bb"/>
      <Part Type="punktas" Nr="20" Abbr="20 p." DocPartId="bf523604dd044576967738dc8ec43978" PartId="53f8c0478257463da8af6170a752c32d"/>
      <Part Type="punktas" Nr="21" Abbr="21 p." DocPartId="323d7d4856cd4c439f313b9dea7ee480" PartId="6fc5c3750329402894146b120bb30a79"/>
      <Part Type="punktas" Nr="22" Abbr="22 p." DocPartId="56c27169296840d79a3b7283cd6f96de" PartId="6a3ebbad0c0242b68e567202a05175e3"/>
    </Part>
    <Part Type="pabaiga" DocPartId="bf5b0c46491b4884ad652a063108dd7f" PartId="6f518cac39b845bfabfa12d249e1a0f8"/>
  </Part>
  <Part Type="priedas" Abbr="pr." Title="RADVILIŠKIO RAJONO SAVIVALDYBĖS TARYBOS SPRENDIMO PROJEKTO „DĖL SKOLŲ PRIPAŽINIMO BEVILTIŠKOMIS, JŲ NURAŠYMO, APSKAITOS IR INVENTORIZAVIMO RADVILIŠKIO RAJONO SAVIVALDYBĖS BIUDŽETINĖSE ĮSTAIGOSE TVARKOS APRAŠO PATVIRTINIMO“ AIŠKINAMASIS RAŠTAS" DocPartId="ac261181677e4785924c47f998cfaf0f" PartId="89125a158ee4464a940c401b3bdee615">
    <Part Type="punktas" Nr="1" Abbr="pr. 1 p." DocPartId="dc8ec7d19e5443b3bc1748a7cb9ea0c8" PartId="1f167af1539b4151b095ad698cc62ace"/>
    <Part Type="punktas" Nr="2" Abbr="pr. 2 p." DocPartId="51ee91e193804b0881b32dbd91c4d871" PartId="43272818cbc143149c13d743edebf7cf"/>
    <Part Type="punktas" Nr="3" Abbr="pr. 3 p." DocPartId="130eca120fc44e9bb21dee4a657e8a8e" PartId="8633d45c32f642d5947ecd80a5cf512f"/>
    <Part Type="punktas" Nr="4" Abbr="pr. 4 p." DocPartId="eddc3749ffa5439db0706de1761a8d52" PartId="171577ac93534bee9eb636e157854429"/>
    <Part Type="punktas" Nr="5" Abbr="pr. 5 p." DocPartId="ecf30b29faf54d24b33e6619aa3ad9d3" PartId="05a463f20c484504b7b359a95c9e27a9"/>
    <Part Type="punktas" Nr="6" Abbr="pr. 6 p." DocPartId="dae728bde8d64ffa8352a00e55b8b5db" PartId="709c3bde192a405eb006bc64572577d5"/>
    <Part Type="punktas" Nr="7" Abbr="pr. 7 p." DocPartId="eb286079372a423990076fd641bd757b" PartId="d4b5437e03714832a5cada6f945fd3e0"/>
    <Part Type="punktas" Nr="8" Abbr="pr. 8 p." DocPartId="e06b962c322a4d57bfa8d0214e92622f" PartId="32ddef73d793430f85fa259b5091464e"/>
    <Part Type="punktas" Nr="9" Abbr="pr. 9 p." DocPartId="30204b9db32645ac8f5a453e261fbde5" PartId="0e23a075f96e4fd9a394865b8ba67805"/>
    <Part Type="punktas" Nr="10" Abbr="pr. 10 p." DocPartId="76976918bd4e4789a5efe5a17480afd2" PartId="8841817af0d847efb98d22d74b1e781a"/>
    <Part Type="punktas" Nr="11" Abbr="pr. 11 p." DocPartId="f84bbe97d0c943a4a16a74490d2c77d6" PartId="a61049d2efb4424aa19fe5d4a00917f2"/>
    <Part Type="punktas" Nr="12" Abbr="pr. 12 p." DocPartId="82e9ce01462d4af582df822c9504974f" PartId="43bf4105b61e47ec879140c067cea8c5"/>
  </Part>
</Parts>
</file>

<file path=customXml/itemProps1.xml><?xml version="1.0" encoding="utf-8"?>
<ds:datastoreItem xmlns:ds="http://schemas.openxmlformats.org/officeDocument/2006/customXml" ds:itemID="{2E7A8EBF-145A-44DE-ADA3-54F4BBFE86D4}">
  <ds:schemaRefs>
    <ds:schemaRef ds:uri="http://schemas.openxmlformats.org/officeDocument/2006/bibliography"/>
  </ds:schemaRefs>
</ds:datastoreItem>
</file>

<file path=customXml/itemProps2.xml><?xml version="1.0" encoding="utf-8"?>
<ds:datastoreItem xmlns:ds="http://schemas.openxmlformats.org/officeDocument/2006/customXml" ds:itemID="{8E012E4E-FF09-40BD-8420-8131421F5F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1514</Words>
  <Characters>11209</Characters>
  <Application>Microsoft Office Word</Application>
  <DocSecurity>4</DocSecurity>
  <Lines>219</Lines>
  <Paragraphs>112</Paragraphs>
  <ScaleCrop>false</ScaleCrop>
  <HeadingPairs>
    <vt:vector size="2" baseType="variant">
      <vt:variant>
        <vt:lpstr>Pavadinimas</vt:lpstr>
      </vt:variant>
      <vt:variant>
        <vt:i4>1</vt:i4>
      </vt:variant>
    </vt:vector>
  </HeadingPairs>
  <TitlesOfParts>
    <vt:vector size="1" baseType="lpstr">
      <vt:lpstr/>
    </vt:vector>
  </TitlesOfParts>
  <Company>Raseiniu r.sav.administracija</Company>
  <LinksUpToDate>false</LinksUpToDate>
  <CharactersWithSpaces>12611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2025-11-25T12:45:00Z</dcterms:created>
  <dc:creator>TeodorasB</dc:creator>
  <lastModifiedBy>adlibuser</lastModifiedBy>
  <lastPrinted>2025-11-04T08:18:00Z</lastPrinted>
  <dcterms:modified xsi:type="dcterms:W3CDTF">2025-11-25T12:45:00Z</dcterms:modified>
  <revision>2</revision>
</coreProperties>
</file>