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547840dec4a4a47a4e3721b585f7851"/>
        <w:lock w:val="sdtLocked"/>
        <w:richText/>
      </w:sdtPr>
      <w:sdtContent>
        <w:p>
          <w:pPr>
            <w:ind w:left="7788"/>
            <w:rPr>
              <w:b/>
              <w:bCs/>
              <w:szCs w:val="24"/>
            </w:rPr>
          </w:pPr>
          <w:r>
            <w:rPr>
              <w:b/>
              <w:bCs/>
              <w:szCs w:val="24"/>
            </w:rPr>
            <w:t>Projektas</w:t>
          </w:r>
        </w:p>
        <w:p>
          <w:pPr>
            <w:ind w:left="7788"/>
            <w:rPr>
              <w:szCs w:val="24"/>
            </w:rPr>
          </w:pPr>
          <w:r>
            <w:rPr>
              <w:szCs w:val="24"/>
            </w:rPr>
            <w:t>Nr. TSP-</w:t>
          </w:r>
        </w:p>
        <w:p>
          <w:pPr>
            <w:jc w:val="right"/>
            <w:rPr>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4"/>
          </w:tblGrid>
          <w:tr>
            <w:tc>
              <w:tcPr>
                <w:tcW w:w="9854" w:type="dxa"/>
                <w:tcBorders>
                  <w:top w:val="nil"/>
                  <w:left w:val="nil"/>
                  <w:bottom w:val="nil"/>
                  <w:right w:val="nil"/>
                </w:tcBorders>
              </w:tcPr>
              <w:p>
                <w:pPr>
                  <w:keepNext/>
                  <w:jc w:val="center"/>
                  <w:rPr>
                    <w:b/>
                    <w:bCs/>
                    <w:szCs w:val="24"/>
                  </w:rPr>
                </w:pPr>
                <w:r>
                  <w:rPr>
                    <w:b/>
                    <w:bCs/>
                    <w:szCs w:val="24"/>
                  </w:rPr>
                  <w:t xml:space="preserve">RADVILIŠKIO RAJONO SAVIVALDYBĖS TARYBA </w:t>
                </w:r>
              </w:p>
            </w:tc>
          </w:tr>
          <w:tr>
            <w:tc>
              <w:tcPr>
                <w:tcW w:w="9854" w:type="dxa"/>
                <w:tcBorders>
                  <w:top w:val="nil"/>
                  <w:left w:val="nil"/>
                  <w:bottom w:val="nil"/>
                  <w:right w:val="nil"/>
                </w:tcBorders>
              </w:tcPr>
              <w:p>
                <w:pPr>
                  <w:keepNext/>
                  <w:spacing w:line="360" w:lineRule="auto"/>
                  <w:jc w:val="center"/>
                  <w:rPr>
                    <w:b/>
                    <w:bCs/>
                    <w:szCs w:val="24"/>
                  </w:rPr>
                </w:pPr>
              </w:p>
            </w:tc>
          </w:tr>
          <w:tr>
            <w:tc>
              <w:tcPr>
                <w:tcW w:w="9854" w:type="dxa"/>
                <w:tcBorders>
                  <w:top w:val="nil"/>
                  <w:left w:val="nil"/>
                  <w:bottom w:val="nil"/>
                  <w:right w:val="nil"/>
                </w:tcBorders>
              </w:tcPr>
              <w:p>
                <w:pPr>
                  <w:keepNext/>
                  <w:jc w:val="center"/>
                  <w:rPr>
                    <w:b/>
                    <w:bCs/>
                    <w:szCs w:val="24"/>
                  </w:rPr>
                </w:pPr>
                <w:r>
                  <w:rPr>
                    <w:b/>
                    <w:bCs/>
                    <w:szCs w:val="24"/>
                  </w:rPr>
                  <w:t>SPRENDIMAS</w:t>
                </w:r>
              </w:p>
            </w:tc>
          </w:tr>
          <w:tr>
            <w:tc>
              <w:tcPr>
                <w:tcW w:w="9854" w:type="dxa"/>
                <w:tcBorders>
                  <w:top w:val="nil"/>
                  <w:left w:val="nil"/>
                  <w:bottom w:val="nil"/>
                  <w:right w:val="nil"/>
                </w:tcBorders>
              </w:tcPr>
              <w:p>
                <w:pPr>
                  <w:keepNext/>
                  <w:jc w:val="center"/>
                  <w:rPr>
                    <w:b/>
                    <w:bCs/>
                    <w:caps/>
                    <w:szCs w:val="24"/>
                  </w:rPr>
                </w:pPr>
                <w:r>
                  <w:rPr>
                    <w:b/>
                    <w:bCs/>
                    <w:caps/>
                    <w:szCs w:val="24"/>
                  </w:rPr>
                  <w:t xml:space="preserve">DĖL VALSTYBINĖS žemės sklypo (kadastro Nr. 7157/0003:165, unikalus Nr. 4400-6692-9531), esančio Radviliškio m., Dariaus ir Girėno g. 15A,  </w:t>
                </w:r>
              </w:p>
              <w:p>
                <w:pPr>
                  <w:keepNext/>
                  <w:jc w:val="center"/>
                  <w:rPr>
                    <w:b/>
                    <w:bCs/>
                    <w:caps/>
                    <w:szCs w:val="24"/>
                  </w:rPr>
                </w:pPr>
                <w:r>
                  <w:rPr>
                    <w:b/>
                    <w:bCs/>
                    <w:caps/>
                    <w:szCs w:val="24"/>
                  </w:rPr>
                  <w:t xml:space="preserve">nuomos </w:t>
                </w:r>
              </w:p>
            </w:tc>
          </w:tr>
          <w:tr>
            <w:tc>
              <w:tcPr>
                <w:tcW w:w="9854" w:type="dxa"/>
                <w:tcBorders>
                  <w:top w:val="nil"/>
                  <w:left w:val="nil"/>
                  <w:bottom w:val="nil"/>
                  <w:right w:val="nil"/>
                </w:tcBorders>
              </w:tcPr>
              <w:p>
                <w:pPr>
                  <w:keepNext/>
                  <w:spacing w:line="360" w:lineRule="auto"/>
                  <w:jc w:val="center"/>
                  <w:rPr>
                    <w:b/>
                    <w:bCs/>
                    <w:szCs w:val="24"/>
                  </w:rPr>
                </w:pPr>
              </w:p>
            </w:tc>
          </w:tr>
          <w:tr>
            <w:trPr>
              <w:cantSplit/>
            </w:trPr>
            <w:tc>
              <w:tcPr>
                <w:tcW w:w="9854" w:type="dxa"/>
                <w:tcBorders>
                  <w:top w:val="nil"/>
                  <w:left w:val="nil"/>
                  <w:bottom w:val="nil"/>
                  <w:right w:val="nil"/>
                </w:tcBorders>
              </w:tcPr>
              <w:p>
                <w:pPr>
                  <w:jc w:val="center"/>
                  <w:rPr>
                    <w:szCs w:val="24"/>
                  </w:rPr>
                </w:pPr>
                <w:r>
                  <w:rPr>
                    <w:szCs w:val="24"/>
                  </w:rPr>
                  <w:t xml:space="preserve">2025 m.                                         d. Nr. T-</w:t>
                </w:r>
              </w:p>
            </w:tc>
          </w:tr>
          <w:tr>
            <w:trPr>
              <w:cantSplit/>
              <w:trHeight w:val="294"/>
            </w:trPr>
            <w:tc>
              <w:tcPr>
                <w:tcW w:w="9854" w:type="dxa"/>
                <w:tcBorders>
                  <w:top w:val="nil"/>
                  <w:left w:val="nil"/>
                  <w:bottom w:val="nil"/>
                  <w:right w:val="nil"/>
                </w:tcBorders>
              </w:tcPr>
              <w:p>
                <w:pPr>
                  <w:tabs>
                    <w:tab w:val="left" w:pos="3912"/>
                  </w:tabs>
                  <w:jc w:val="center"/>
                  <w:rPr>
                    <w:szCs w:val="24"/>
                  </w:rPr>
                </w:pPr>
                <w:r>
                  <w:rPr>
                    <w:szCs w:val="24"/>
                  </w:rPr>
                  <w:t>Radviliškis</w:t>
                </w:r>
              </w:p>
            </w:tc>
          </w:tr>
          <w:tr>
            <w:trPr>
              <w:cantSplit/>
              <w:trHeight w:val="294"/>
            </w:trPr>
            <w:tc>
              <w:tcPr>
                <w:tcW w:w="9854" w:type="dxa"/>
                <w:tcBorders>
                  <w:top w:val="nil"/>
                  <w:left w:val="nil"/>
                  <w:bottom w:val="nil"/>
                  <w:right w:val="nil"/>
                </w:tcBorders>
              </w:tcPr>
              <w:p>
                <w:pPr>
                  <w:tabs>
                    <w:tab w:val="left" w:pos="4092"/>
                  </w:tabs>
                  <w:spacing w:line="360" w:lineRule="auto"/>
                  <w:rPr>
                    <w:szCs w:val="24"/>
                  </w:rPr>
                </w:pPr>
              </w:p>
            </w:tc>
          </w:tr>
        </w:tbl>
        <w:p>
          <w:pPr>
            <w:tabs>
              <w:tab w:val="left" w:pos="851"/>
            </w:tabs>
            <w:spacing w:line="312" w:lineRule="auto"/>
            <w:ind w:firstLine="851"/>
            <w:jc w:val="both"/>
            <w:rPr>
              <w:spacing w:val="-4"/>
              <w:szCs w:val="24"/>
            </w:rPr>
          </w:pPr>
          <w:r>
            <w:rPr>
              <w:szCs w:val="24"/>
            </w:rPr>
            <w:t xml:space="preserve">Vadovaudamasi </w:t>
          </w:r>
          <w:r>
            <w:rPr>
              <w:iCs/>
              <w:szCs w:val="24"/>
            </w:rPr>
            <w:t>Lietuvos Respublikos vietos savivaldos įstatymo 7 straipsnio 9 punktu, 15 straipsnio 2 dalies 20 punktu,</w:t>
          </w:r>
          <w:r>
            <w:rPr>
              <w:szCs w:val="24"/>
            </w:rPr>
            <w:t xml:space="preserve"> Lietuvos Respublikos žemės įstatymo 7 straipsnio 1 dalies 2 punktu,</w:t>
          </w:r>
          <w:r>
            <w:rPr>
              <w:iCs/>
              <w:szCs w:val="24"/>
            </w:rPr>
            <w:t xml:space="preserve"> 9 straipsnio 1 dalies 1 punktu, 9 straipsnio 3 dalimi,</w:t>
          </w:r>
          <w:r>
            <w:rPr>
              <w:bCs/>
              <w:iCs/>
              <w:szCs w:val="24"/>
            </w:rPr>
            <w:t xml:space="preserve"> </w:t>
          </w:r>
          <w:r>
            <w:rPr>
              <w:bCs/>
              <w:szCs w:val="24"/>
            </w:rPr>
            <w:t>Kitos paskirties valstybinės žemės sklypų pardavimo ir nuomos taisyklių, patvirtintų Lietuvos Respublikos Vyriausybės 1999 m. kovo 9 d. nutarimu Nr. 260 „Dėl kitos paskirties valstybinės žemės sklypų pardavimo ir nuomos taisyklių patvirtinimo“,</w:t>
          </w:r>
          <w:r>
            <w:rPr>
              <w:szCs w:val="24"/>
            </w:rPr>
            <w:t xml:space="preserve"> 2 punktu, 43.5.5 papunkčiu ir 44 punktu, Lietuvos Respublikos Vyriausybės 1999 m. vasario 24 d. nutarimo Nr. 205 „Dėl žemės įvertinimo tvarkos“ </w:t>
          </w:r>
          <w:r>
            <w:rPr>
              <w:color w:val="000000"/>
              <w:szCs w:val="24"/>
            </w:rPr>
            <w:t xml:space="preserve">5.9 papunkčiu, Pastatų, statinių, įrenginių, pastatytų iki 1996 m. sausio 1 d., saugaus naudojimo termino nustatymo tvarka, patvirtinta Lietuvos Respublikos aplinkos ministro 2003 m. gegužės 19 d. įsakymu Nr. 237 „Dėl Pastatų, statinių, įrenginių, pastatytų iki 1996 m. sausio 1 d., saugaus naudojimo termino nustatymo tvarkos patvirtinimo“ (toliau – Tvarka), statybos techniniu reglamentu STR 1.12.06:2002 „Statinio naudojimo paskirtis ir gyvavimo trukmė“, patvirtintu Lietuvos Respublikos aplinkos ministro 2002 m. spalio 30 d. įsakymu Nr. 565 „Dėl statybos techninio reglamento STR 1.12.06:2002 „Statinio naudojimo paskirtis ir gyvavimo trukmė“ patvirtinimo“ (toliau – STR 1.12.06:2002), </w:t>
          </w:r>
          <w:r>
            <w:rPr>
              <w:szCs w:val="24"/>
            </w:rPr>
            <w:t xml:space="preserve">įgyvendindama Radviliškio rajono savivaldybės vardu sudaromų sutarčių pasirašymo tvarkos aprašo, patvirtinto Radviliškio rajono savivaldybės tarybos 2023 m. rugpjūčio 31 d. sprendimu Nr. T-105 „Dėl Radviliškio rajono savivaldybės vardu sudaromų sutarčių pasirašymo tvarkos aprašo patvirtinimo“, 5.9 papunktį ir 9 punktą, atsižvelgdama į </w:t>
          </w:r>
          <w:r>
            <w:rPr>
              <w:i/>
              <w:szCs w:val="24"/>
            </w:rPr>
            <w:t>(duomenys neskelbtini)</w:t>
          </w:r>
          <w:r>
            <w:rPr>
              <w:szCs w:val="24"/>
            </w:rPr>
            <w:t xml:space="preserve"> 2025 m. liepos 10 d. prašymą </w:t>
          </w:r>
          <w:r>
            <w:rPr>
              <w:spacing w:val="-4"/>
              <w:szCs w:val="24"/>
            </w:rPr>
            <w:t xml:space="preserve">(registracijos DVS „Kontora“ Nr. G-4315 (8.21), </w:t>
          </w:r>
          <w:r>
            <w:rPr>
              <w:szCs w:val="24"/>
            </w:rPr>
            <w:t xml:space="preserve">Radviliškio rajono savivaldybės taryba </w:t>
          </w:r>
          <w:r>
            <w:rPr>
              <w:spacing w:val="40"/>
              <w:szCs w:val="24"/>
            </w:rPr>
            <w:t>nusprendžia:</w:t>
          </w:r>
          <w:r>
            <w:rPr>
              <w:szCs w:val="24"/>
            </w:rPr>
            <w:t xml:space="preserve"> </w:t>
          </w:r>
        </w:p>
        <w:sdt>
          <w:sdtPr>
            <w:alias w:val="1 p."/>
            <w:tag w:val="part_5c4d9dff0c684868addf4e39b1d99959"/>
            <w:lock w:val="sdtLocked"/>
            <w:richText/>
          </w:sdtPr>
          <w:sdtContent>
            <w:p>
              <w:pPr>
                <w:tabs>
                  <w:tab w:val="left" w:pos="851"/>
                </w:tabs>
                <w:spacing w:line="312" w:lineRule="auto"/>
                <w:ind w:firstLine="851"/>
                <w:jc w:val="both"/>
                <w:rPr>
                  <w:szCs w:val="24"/>
                </w:rPr>
              </w:pPr>
              <w:sdt>
                <w:sdtPr>
                  <w:alias w:val="Numeris"/>
                  <w:tag w:val="nr_5c4d9dff0c684868addf4e39b1d99959"/>
                  <w:lock w:val="sdtLocked"/>
                  <w:richText/>
                </w:sdtPr>
                <w:sdtContent>
                  <w:r>
                    <w:rPr>
                      <w:szCs w:val="24"/>
                    </w:rPr>
                    <w:t>1</w:t>
                  </w:r>
                </w:sdtContent>
              </w:sdt>
              <w:r>
                <w:rPr>
                  <w:szCs w:val="24"/>
                </w:rPr>
                <w:t xml:space="preserve">. Išnuomoti ne aukciono būdu 7 (septyniems) metams </w:t>
              </w:r>
              <w:r>
                <w:rPr>
                  <w:i/>
                  <w:szCs w:val="24"/>
                </w:rPr>
                <w:t xml:space="preserve">(duomenys neskelbtini) </w:t>
              </w:r>
              <w:r>
                <w:rPr>
                  <w:szCs w:val="24"/>
                </w:rPr>
                <w:t xml:space="preserve">0,0283 ha ploto kitos paskirties žemės sklypą (kadastro Nr. 7157/0003:165, unikalus Nr. 4400-6692-9531), esantį Radviliškio m., Dariaus ir Girėno g. 15A,  nuomos terminą apskaičiuojant vadovaujantis Tvarka ir STR 1.12.06:2002 priedo 2.4 papunkčiu, pagal valstybinės žemės nuomos sutarties projekte (pridedama) įrašytas sąlygas.</w:t>
              </w:r>
            </w:p>
          </w:sdtContent>
        </w:sdt>
        <w:sdt>
          <w:sdtPr>
            <w:alias w:val="2 p."/>
            <w:tag w:val="part_004183878039429580896119cd5a40ed"/>
            <w:lock w:val="sdtLocked"/>
            <w:richText/>
          </w:sdtPr>
          <w:sdtContent>
            <w:p>
              <w:pPr>
                <w:tabs>
                  <w:tab w:val="left" w:pos="851"/>
                </w:tabs>
                <w:spacing w:line="312" w:lineRule="auto"/>
                <w:ind w:firstLine="851"/>
                <w:jc w:val="both"/>
                <w:rPr>
                  <w:color w:val="000000"/>
                  <w:szCs w:val="24"/>
                </w:rPr>
              </w:pPr>
              <w:sdt>
                <w:sdtPr>
                  <w:alias w:val="Numeris"/>
                  <w:tag w:val="nr_004183878039429580896119cd5a40ed"/>
                  <w:lock w:val="sdtLocked"/>
                  <w:richText/>
                </w:sdtPr>
                <w:sdtContent>
                  <w:r>
                    <w:rPr>
                      <w:color w:val="000000"/>
                      <w:szCs w:val="24"/>
                    </w:rPr>
                    <w:t>2</w:t>
                  </w:r>
                </w:sdtContent>
              </w:sdt>
              <w:r>
                <w:rPr>
                  <w:color w:val="000000"/>
                  <w:szCs w:val="24"/>
                </w:rPr>
                <w:t>. Nustatyti, kad 1 punkte nurodyto žemės sklypo vidutinė rinkos vertė, nuo kurios skaičiuojamas žemės nuomos mokestis, apskaičiuota pagal žemės verčių zonų žemėlapius, patvirtintus Nacionalinės žemės tarnybos prie Aplinkos ministerijos direktoriaus 2024 m. gruodžio 9 d. įsakymu Nr. 1P-546-(1.1 E.) „Dėl masinio žemės vertinimo dokumentų patvirtinimo“, yra 1 930 Eur.</w:t>
              </w:r>
            </w:p>
          </w:sdtContent>
        </w:sdt>
        <w:sdt>
          <w:sdtPr>
            <w:alias w:val="3 p."/>
            <w:tag w:val="part_05d234361ccb4eb5b98ebeea4df8ace0"/>
            <w:lock w:val="sdtLocked"/>
            <w:richText/>
          </w:sdtPr>
          <w:sdtContent>
            <w:p>
              <w:pPr>
                <w:tabs>
                  <w:tab w:val="left" w:pos="851"/>
                </w:tabs>
                <w:spacing w:line="312" w:lineRule="auto"/>
                <w:ind w:firstLine="851"/>
                <w:jc w:val="both"/>
                <w:rPr>
                  <w:szCs w:val="24"/>
                </w:rPr>
              </w:pPr>
              <w:sdt>
                <w:sdtPr>
                  <w:alias w:val="Numeris"/>
                  <w:tag w:val="nr_05d234361ccb4eb5b98ebeea4df8ace0"/>
                  <w:lock w:val="sdtLocked"/>
                  <w:richText/>
                </w:sdtPr>
                <w:sdtContent>
                  <w:r>
                    <w:rPr>
                      <w:szCs w:val="24"/>
                    </w:rPr>
                    <w:t>3</w:t>
                  </w:r>
                </w:sdtContent>
              </w:sdt>
              <w:r>
                <w:rPr>
                  <w:szCs w:val="24"/>
                </w:rPr>
                <w:t>. Įgalioti Radviliškio rajono savivaldybės merą pasirašyti valstybinės žemės nuomos sutartį.</w:t>
              </w:r>
            </w:p>
          </w:sdtContent>
        </w:sdt>
        <w:sdt>
          <w:sdtPr>
            <w:alias w:val="4 p."/>
            <w:tag w:val="part_9012a61ea1b0472caf4d2a6e1dd26913"/>
            <w:lock w:val="sdtLocked"/>
            <w:richText/>
          </w:sdtPr>
          <w:sdtContent>
            <w:p>
              <w:pPr>
                <w:tabs>
                  <w:tab w:val="left" w:pos="851"/>
                </w:tabs>
                <w:spacing w:line="312" w:lineRule="auto"/>
                <w:ind w:firstLine="851"/>
                <w:jc w:val="both"/>
                <w:rPr>
                  <w:szCs w:val="24"/>
                </w:rPr>
              </w:pPr>
              <w:sdt>
                <w:sdtPr>
                  <w:alias w:val="Numeris"/>
                  <w:tag w:val="nr_9012a61ea1b0472caf4d2a6e1dd26913"/>
                  <w:lock w:val="sdtLocked"/>
                  <w:richText/>
                </w:sdtPr>
                <w:sdtContent>
                  <w:r>
                    <w:rPr>
                      <w:szCs w:val="24"/>
                    </w:rPr>
                    <w:t>4</w:t>
                  </w:r>
                </w:sdtContent>
              </w:sdt>
              <w:r>
                <w:rPr>
                  <w:szCs w:val="24"/>
                </w:rPr>
                <w:t>.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360" w:lineRule="auto"/>
                <w:jc w:val="both"/>
                <w:rPr>
                  <w:szCs w:val="24"/>
                </w:rPr>
              </w:pPr>
            </w:p>
            <w:p>
              <w:pPr>
                <w:spacing w:line="360" w:lineRule="auto"/>
                <w:jc w:val="both"/>
                <w:rPr>
                  <w:szCs w:val="24"/>
                </w:rPr>
              </w:pPr>
            </w:p>
            <w:p>
              <w:pPr>
                <w:spacing w:line="360" w:lineRule="auto"/>
                <w:jc w:val="both"/>
                <w:rPr>
                  <w:szCs w:val="24"/>
                </w:rPr>
              </w:pPr>
            </w:p>
            <w:p>
              <w:pPr>
                <w:rPr>
                  <w:szCs w:val="24"/>
                </w:rPr>
              </w:pPr>
              <w:r>
                <w:rPr>
                  <w:szCs w:val="24"/>
                </w:rPr>
                <w:t xml:space="preserve">Savivaldybės meras                                                                                           </w:t>
              </w:r>
            </w:p>
            <w:p/>
            <w:p>
              <w:pPr>
                <w:rPr>
                  <w:szCs w:val="24"/>
                </w:rPr>
              </w:pPr>
            </w:p>
            <w:p>
              <w:pPr>
                <w:tabs>
                  <w:tab w:val="left" w:pos="7371"/>
                </w:tabs>
                <w:ind w:firstLine="7371"/>
                <w:rPr>
                  <w:szCs w:val="24"/>
                </w:rPr>
              </w:pPr>
            </w:p>
            <w:p>
              <w:pPr>
                <w:spacing w:line="259" w:lineRule="auto"/>
                <w:rPr>
                  <w:szCs w:val="24"/>
                </w:rPr>
              </w:pPr>
              <w:r>
                <w:rPr>
                  <w:szCs w:val="24"/>
                </w:rPr>
                <w:br w:type="page"/>
              </w:r>
            </w:p>
            <w:p>
              <w:pPr>
                <w:rPr>
                  <w:sz w:val="14"/>
                  <w:szCs w:val="14"/>
                </w:rPr>
              </w:pPr>
            </w:p>
          </w:sdtContent>
        </w:sdt>
        <w:sdt>
          <w:sdtPr>
            <w:alias w:val="skirsnis"/>
            <w:tag w:val="part_9db03083d77b436ebf23f3cf04fffe20"/>
            <w:lock w:val="sdtLocked"/>
            <w:richText/>
          </w:sdtPr>
          <w:sdtContent>
            <w:sdt>
              <w:sdtPr>
                <w:alias w:val="Pavadinimas"/>
                <w:tag w:val="title_9db03083d77b436ebf23f3cf04fffe20"/>
                <w:lock w:val="sdtLocked"/>
                <w:richText/>
              </w:sdtPr>
              <w:sdtContent>
                <w:p>
                  <w:pPr>
                    <w:jc w:val="center"/>
                    <w:rPr>
                      <w:b/>
                      <w:szCs w:val="24"/>
                    </w:rPr>
                  </w:pPr>
                  <w:r>
                    <w:rPr>
                      <w:b/>
                      <w:szCs w:val="24"/>
                    </w:rPr>
                    <w:t>RADVILIŠKIO RAJONO SAVIVALDYBĖS TARYBOS SPRENDIMO PROJEKTO</w:t>
                  </w:r>
                </w:p>
                <w:p>
                  <w:pPr>
                    <w:jc w:val="center"/>
                    <w:rPr>
                      <w:b/>
                      <w:szCs w:val="24"/>
                    </w:rPr>
                  </w:pPr>
                  <w:r>
                    <w:rPr>
                      <w:b/>
                      <w:szCs w:val="24"/>
                    </w:rPr>
                    <w:t xml:space="preserve">„DĖL VALSTYBINĖS ŽEMĖS SKLYPO (KADASTRO NR. 7157/0003:165, UNIKALUS NR. 4400-6692-9531), ESANČIO RADVILIŠKIO M., DARIAUS IR GIRĖNO G. 15A,  </w:t>
                  </w:r>
                </w:p>
                <w:p>
                  <w:pPr>
                    <w:jc w:val="center"/>
                    <w:rPr>
                      <w:b/>
                      <w:szCs w:val="24"/>
                    </w:rPr>
                  </w:pPr>
                  <w:r>
                    <w:rPr>
                      <w:b/>
                      <w:szCs w:val="24"/>
                    </w:rPr>
                    <w:t xml:space="preserve">NUOMOS“ </w:t>
                  </w:r>
                </w:p>
                <w:p>
                  <w:pPr>
                    <w:jc w:val="center"/>
                    <w:rPr>
                      <w:szCs w:val="24"/>
                    </w:rPr>
                  </w:pPr>
                  <w:r>
                    <w:rPr>
                      <w:b/>
                      <w:szCs w:val="24"/>
                    </w:rPr>
                    <w:t>AIŠKINAMASIS RAŠTAS</w:t>
                  </w:r>
                </w:p>
              </w:sdtContent>
            </w:sdt>
            <w:p>
              <w:pPr>
                <w:spacing w:line="276" w:lineRule="auto"/>
                <w:jc w:val="center"/>
                <w:rPr>
                  <w:szCs w:val="24"/>
                </w:rPr>
              </w:pPr>
            </w:p>
            <w:p>
              <w:pPr>
                <w:jc w:val="center"/>
                <w:rPr>
                  <w:szCs w:val="24"/>
                </w:rPr>
              </w:pPr>
              <w:r>
                <w:rPr>
                  <w:szCs w:val="24"/>
                </w:rPr>
                <w:t>2025 m. rugpjūčio 5 d.</w:t>
              </w:r>
            </w:p>
            <w:p>
              <w:pPr>
                <w:jc w:val="center"/>
                <w:rPr>
                  <w:szCs w:val="24"/>
                </w:rPr>
              </w:pPr>
              <w:r>
                <w:rPr>
                  <w:szCs w:val="24"/>
                </w:rPr>
                <w:t>Radviliškis</w:t>
              </w:r>
            </w:p>
            <w:p>
              <w:pPr>
                <w:spacing w:line="276" w:lineRule="auto"/>
                <w:rPr>
                  <w:szCs w:val="24"/>
                </w:rPr>
              </w:pPr>
            </w:p>
            <w:sdt>
              <w:sdtPr>
                <w:alias w:val="1 p."/>
                <w:tag w:val="part_a348322719f5496ba7cc24290e9db5d7"/>
                <w:lock w:val="sdtLocked"/>
                <w:richText/>
              </w:sdtPr>
              <w:sdtContent>
                <w:p>
                  <w:pPr>
                    <w:spacing w:line="312" w:lineRule="auto"/>
                    <w:ind w:left="1080" w:hanging="360"/>
                    <w:jc w:val="both"/>
                    <w:rPr>
                      <w:b/>
                      <w:szCs w:val="24"/>
                    </w:rPr>
                  </w:pPr>
                  <w:sdt>
                    <w:sdtPr>
                      <w:alias w:val="Numeris"/>
                      <w:tag w:val="nr_a348322719f5496ba7cc24290e9db5d7"/>
                      <w:lock w:val="sdtLocked"/>
                      <w:richText/>
                    </w:sdtPr>
                    <w:sdtContent>
                      <w:r>
                        <w:rPr>
                          <w:b/>
                          <w:szCs w:val="24"/>
                        </w:rPr>
                        <w:t>1</w:t>
                      </w:r>
                    </w:sdtContent>
                  </w:sdt>
                  <w:r>
                    <w:rPr>
                      <w:b/>
                      <w:szCs w:val="24"/>
                    </w:rPr>
                    <w:t>.</w:t>
                    <w:tab/>
                    <w:t>Projekto rengimą paskatinusios priežastys, parengto projekto tikslai ir uždaviniai.</w:t>
                  </w:r>
                </w:p>
                <w:p>
                  <w:pPr>
                    <w:spacing w:line="312" w:lineRule="auto"/>
                    <w:ind w:firstLine="720"/>
                    <w:jc w:val="both"/>
                    <w:rPr>
                      <w:szCs w:val="24"/>
                    </w:rPr>
                  </w:pPr>
                  <w:r>
                    <w:rPr>
                      <w:szCs w:val="24"/>
                    </w:rPr>
                    <w:t xml:space="preserve">Sprendimo projektas parengtas gavus pil. </w:t>
                  </w:r>
                  <w:r>
                    <w:rPr>
                      <w:i/>
                      <w:szCs w:val="24"/>
                    </w:rPr>
                    <w:t>(duomenys neskelbtini)</w:t>
                  </w:r>
                  <w:r>
                    <w:rPr>
                      <w:szCs w:val="24"/>
                    </w:rPr>
                    <w:t xml:space="preserve"> 2025 m. liepos 10 d. prašymą (registracijos DVS „Kontora“ Nr. G-4315(8.21). Sprendimo tikslas – gauti </w:t>
                  </w:r>
                  <w:r>
                    <w:rPr>
                      <w:bCs/>
                      <w:szCs w:val="24"/>
                    </w:rPr>
                    <w:t xml:space="preserve">Radviliškio rajono savivaldybės tarybos pritarimą </w:t>
                  </w:r>
                  <w:r>
                    <w:rPr>
                      <w:szCs w:val="24"/>
                    </w:rPr>
                    <w:t xml:space="preserve">išnuomoti 0,0283 ha kitos paskirties žemės sklypą (kadastro Nr. 7157/0003:165, unikalus Nr. 4400-6692-9531), esantį Radviliškio m., Dariaus ir Girėno g. 15A (toliau – Žemės sklypas). </w:t>
                  </w:r>
                </w:p>
              </w:sdtContent>
            </w:sdt>
            <w:sdt>
              <w:sdtPr>
                <w:alias w:val="2 p."/>
                <w:tag w:val="part_1f25381a460c4e87820d4a20580a2192"/>
                <w:lock w:val="sdtLocked"/>
                <w:richText/>
              </w:sdtPr>
              <w:sdtContent>
                <w:p>
                  <w:pPr>
                    <w:tabs>
                      <w:tab w:val="left" w:pos="720"/>
                    </w:tabs>
                    <w:spacing w:line="312" w:lineRule="auto"/>
                    <w:ind w:firstLine="720"/>
                    <w:jc w:val="both"/>
                    <w:rPr>
                      <w:b/>
                      <w:szCs w:val="24"/>
                    </w:rPr>
                  </w:pPr>
                  <w:sdt>
                    <w:sdtPr>
                      <w:alias w:val="Numeris"/>
                      <w:tag w:val="nr_1f25381a460c4e87820d4a20580a2192"/>
                      <w:lock w:val="sdtLocked"/>
                      <w:richText/>
                    </w:sdtPr>
                    <w:sdtContent>
                      <w:r>
                        <w:rPr>
                          <w:b/>
                          <w:szCs w:val="24"/>
                        </w:rPr>
                        <w:t>2</w:t>
                      </w:r>
                    </w:sdtContent>
                  </w:sdt>
                  <w:r>
                    <w:rPr>
                      <w:b/>
                      <w:szCs w:val="24"/>
                    </w:rPr>
                    <w:t>. Projekto iniciatoriai (institucija, asmenys ar piliečių atstovai) ir rengėjai.</w:t>
                  </w:r>
                </w:p>
                <w:p>
                  <w:pPr>
                    <w:spacing w:line="312" w:lineRule="auto"/>
                    <w:ind w:firstLine="720"/>
                    <w:jc w:val="both"/>
                    <w:rPr>
                      <w:szCs w:val="24"/>
                    </w:rPr>
                  </w:pPr>
                  <w:r>
                    <w:rPr>
                      <w:szCs w:val="24"/>
                    </w:rPr>
                    <w:t>Iniciatorius – Radviliškio rajono savivaldybės administracija. Sprendimo projektą parengė Architektūros ir urbanistikos skyriaus vyriausioji specialistė Vida Rodžianskienė.</w:t>
                  </w:r>
                </w:p>
              </w:sdtContent>
            </w:sdt>
            <w:sdt>
              <w:sdtPr>
                <w:alias w:val="3 p."/>
                <w:tag w:val="part_b03144960aff41d4812bdc65ec10aa3f"/>
                <w:lock w:val="sdtLocked"/>
                <w:richText/>
              </w:sdtPr>
              <w:sdtContent>
                <w:p>
                  <w:pPr>
                    <w:spacing w:line="312" w:lineRule="auto"/>
                    <w:ind w:firstLine="720"/>
                    <w:jc w:val="both"/>
                    <w:rPr>
                      <w:b/>
                      <w:szCs w:val="24"/>
                    </w:rPr>
                  </w:pPr>
                  <w:sdt>
                    <w:sdtPr>
                      <w:alias w:val="Numeris"/>
                      <w:tag w:val="nr_b03144960aff41d4812bdc65ec10aa3f"/>
                      <w:lock w:val="sdtLocked"/>
                      <w:richText/>
                    </w:sdtPr>
                    <w:sdtContent>
                      <w:r>
                        <w:rPr>
                          <w:b/>
                          <w:szCs w:val="24"/>
                        </w:rPr>
                        <w:t>3</w:t>
                      </w:r>
                    </w:sdtContent>
                  </w:sdt>
                  <w:r>
                    <w:rPr>
                      <w:b/>
                      <w:szCs w:val="24"/>
                    </w:rPr>
                    <w:t>. Kaip šiuo metu yra reguliuojami projekte aptarti teisiniai santykiai.</w:t>
                  </w:r>
                </w:p>
                <w:p>
                  <w:pPr>
                    <w:spacing w:line="312" w:lineRule="auto"/>
                    <w:ind w:firstLine="720"/>
                    <w:jc w:val="both"/>
                    <w:rPr>
                      <w:szCs w:val="24"/>
                    </w:rPr>
                  </w:pPr>
                  <w:r>
                    <w:rPr>
                      <w:szCs w:val="24"/>
                    </w:rPr>
                    <w:t xml:space="preserve">Dabartinis sprendimo projekte aptariamų klausimų reguliavimas apibrėžtas </w:t>
                  </w:r>
                  <w:r>
                    <w:rPr>
                      <w:iCs/>
                      <w:szCs w:val="24"/>
                    </w:rPr>
                    <w:t>Lietuvos Respublikos vietos savivaldos įstatymo 7 straipsnio 9 punkte, 15 straipsnio 2 dalies 20 punkte,</w:t>
                  </w:r>
                  <w:r>
                    <w:rPr>
                      <w:szCs w:val="24"/>
                    </w:rPr>
                    <w:t xml:space="preserve"> Lietuvos Respublikos žemės įstatymo 7 straipsnio 1 dalies 2 punkte,</w:t>
                  </w:r>
                  <w:r>
                    <w:rPr>
                      <w:iCs/>
                      <w:szCs w:val="24"/>
                    </w:rPr>
                    <w:t xml:space="preserve"> 9 straipsnio 1 dalies 1 punkte, 9 straipsnio 3 dalyje,</w:t>
                  </w:r>
                  <w:r>
                    <w:rPr>
                      <w:szCs w:val="24"/>
                    </w:rPr>
                    <w:t xml:space="preserve"> </w:t>
                  </w:r>
                  <w:r>
                    <w:rPr>
                      <w:bCs/>
                      <w:szCs w:val="24"/>
                    </w:rPr>
                    <w:t xml:space="preserve">Kitos paskirties valstybinės žemės sklypų pardavimo ir nuomos taisyklėse, patvirtintose Lietuvos Respublikos Vyriausybės </w:t>
                  </w:r>
                  <w:r>
                    <w:rPr>
                      <w:szCs w:val="24"/>
                    </w:rPr>
                    <w:t xml:space="preserve">1999 m. kovo 9 d. nutarimu Nr. 260 „Dėl kitos paskirties valstybinės žemės sklypų pardavimo ir nuomos taisyklių patvirtinimo“ (toliau – Taisyklės). </w:t>
                  </w:r>
                </w:p>
                <w:p>
                  <w:pPr>
                    <w:spacing w:line="312" w:lineRule="auto"/>
                    <w:ind w:firstLine="720"/>
                    <w:jc w:val="both"/>
                    <w:rPr>
                      <w:szCs w:val="24"/>
                    </w:rPr>
                  </w:pPr>
                  <w:r>
                    <w:rPr>
                      <w:szCs w:val="24"/>
                    </w:rPr>
                    <w:t xml:space="preserve">Taisyklių 44 punkte nurodyta, kad valstybinės žemės nuomos procedūrą vykdanti institucija valstybinės žemės nuomos sutarties projektą pateikia nuomininkui. Pasirašydamas sutarties projekte nuomininkas patvirtina, kad sutinka su sutarties projekte įrašytomis žemės sklypo nuomos sąlygomis. 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 </w:t>
                  </w:r>
                </w:p>
                <w:p>
                  <w:pPr>
                    <w:spacing w:line="312" w:lineRule="auto"/>
                    <w:ind w:firstLine="720"/>
                    <w:jc w:val="both"/>
                    <w:rPr>
                      <w:szCs w:val="24"/>
                    </w:rPr>
                  </w:pPr>
                  <w:r>
                    <w:rPr>
                      <w:szCs w:val="24"/>
                    </w:rPr>
                    <w:t xml:space="preserve">Taisyklių 43.5.5 papunktyje nurodyta, 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 </w:t>
                  </w:r>
                </w:p>
                <w:p>
                  <w:pPr>
                    <w:spacing w:line="312" w:lineRule="auto"/>
                    <w:ind w:firstLine="720"/>
                    <w:jc w:val="both"/>
                    <w:rPr>
                      <w:szCs w:val="24"/>
                    </w:rPr>
                  </w:pPr>
                  <w:r>
                    <w:rPr>
                      <w:szCs w:val="24"/>
                    </w:rPr>
                    <w:t xml:space="preserve">Žemės sklype esantis pagrindinis pastatas gyvenamasis namas 2A1m (unikalus Nr. 7192-5000-1017) pastatytas 1925 m., ekonomiškai pagrįstos naudojimo trukmės terminas yra 65 metai ir jau pasibaigęs, todėl gali būti nustatomas ne ilgesnis kaip vienos dešimtosios dalies nustatytos statinio ar įrenginio ekonomiškai pagrįstos naudojimo trukmės žemės sklypo nuomos terminas, t. y. 7 metų laikotarpiui. </w:t>
                  </w:r>
                </w:p>
                <w:p>
                  <w:pPr>
                    <w:spacing w:line="312" w:lineRule="auto"/>
                    <w:ind w:firstLine="720"/>
                    <w:jc w:val="both"/>
                    <w:rPr>
                      <w:szCs w:val="24"/>
                    </w:rPr>
                  </w:pPr>
                  <w:r>
                    <w:rPr>
                      <w:szCs w:val="24"/>
                    </w:rPr>
                    <w:t>Pasirašydamas sutarties projekte nuomininkas patvirtino, kad sutinka su sutarties projekte išdėstytomis Skypo dalies nuomos sąlygomis.</w:t>
                  </w:r>
                </w:p>
              </w:sdtContent>
            </w:sdt>
            <w:sdt>
              <w:sdtPr>
                <w:alias w:val="4 p."/>
                <w:tag w:val="part_80ba4328b9d7498c9829e0e105a883d3"/>
                <w:lock w:val="sdtLocked"/>
                <w:richText/>
              </w:sdtPr>
              <w:sdtContent>
                <w:p>
                  <w:pPr>
                    <w:spacing w:line="312" w:lineRule="auto"/>
                    <w:ind w:firstLine="720"/>
                    <w:jc w:val="both"/>
                    <w:rPr>
                      <w:b/>
                      <w:szCs w:val="24"/>
                    </w:rPr>
                  </w:pPr>
                  <w:sdt>
                    <w:sdtPr>
                      <w:alias w:val="Numeris"/>
                      <w:tag w:val="nr_80ba4328b9d7498c9829e0e105a883d3"/>
                      <w:lock w:val="sdtLocked"/>
                      <w:richText/>
                    </w:sdtPr>
                    <w:sdtContent>
                      <w:r>
                        <w:rPr>
                          <w:b/>
                          <w:szCs w:val="24"/>
                        </w:rPr>
                        <w:t>4</w:t>
                      </w:r>
                    </w:sdtContent>
                  </w:sdt>
                  <w:r>
                    <w:rPr>
                      <w:b/>
                      <w:szCs w:val="24"/>
                    </w:rPr>
                    <w:t>. Kokios siūlomos naujos teisinio reguliavimo nuostatos, kokių teigiamų rezultatų laukiama.</w:t>
                  </w:r>
                </w:p>
                <w:p>
                  <w:pPr>
                    <w:spacing w:line="312" w:lineRule="auto"/>
                    <w:ind w:firstLine="720"/>
                    <w:jc w:val="both"/>
                    <w:rPr>
                      <w:szCs w:val="24"/>
                    </w:rPr>
                  </w:pPr>
                  <w:r>
                    <w:rPr>
                      <w:szCs w:val="24"/>
                    </w:rPr>
                    <w:t>Naujos teisinio reguliavimo nuostatos nesiūlomos.</w:t>
                  </w:r>
                </w:p>
                <w:p>
                  <w:pPr>
                    <w:spacing w:line="312" w:lineRule="auto"/>
                    <w:ind w:firstLine="720"/>
                    <w:jc w:val="both"/>
                    <w:rPr>
                      <w:szCs w:val="24"/>
                    </w:rPr>
                  </w:pPr>
                  <w:r>
                    <w:rPr>
                      <w:szCs w:val="24"/>
                    </w:rPr>
                    <w:t>Teigiami rezultatai – nuomininkas įpareigotas prižiūrėti, tvarkyti ir naudoti Žemės sklypą pagal pagrindinę žemės naudojimo paskirtį ir būdą.</w:t>
                  </w:r>
                </w:p>
              </w:sdtContent>
            </w:sdt>
            <w:sdt>
              <w:sdtPr>
                <w:alias w:val="5 p."/>
                <w:tag w:val="part_b9835a4578c74447a3f062f61e54060a"/>
                <w:lock w:val="sdtLocked"/>
                <w:richText/>
              </w:sdtPr>
              <w:sdtContent>
                <w:p>
                  <w:pPr>
                    <w:spacing w:line="312" w:lineRule="auto"/>
                    <w:ind w:firstLine="720"/>
                    <w:jc w:val="both"/>
                    <w:rPr>
                      <w:b/>
                      <w:szCs w:val="24"/>
                    </w:rPr>
                  </w:pPr>
                  <w:sdt>
                    <w:sdtPr>
                      <w:alias w:val="Numeris"/>
                      <w:tag w:val="nr_b9835a4578c74447a3f062f61e54060a"/>
                      <w:lock w:val="sdtLocked"/>
                      <w:richText/>
                    </w:sdtPr>
                    <w:sdtContent>
                      <w:r>
                        <w:rPr>
                          <w:b/>
                          <w:szCs w:val="24"/>
                        </w:rPr>
                        <w:t>5</w:t>
                      </w:r>
                    </w:sdtContent>
                  </w:sdt>
                  <w:r>
                    <w:rPr>
                      <w:b/>
                      <w:szCs w:val="24"/>
                    </w:rPr>
                    <w:t>. Galimos neigiamos priimto sprendimo projekto pasekmės ir kokių priemonių reikėtų imtis, kad tokių pasekmių būtų išvengta.</w:t>
                  </w:r>
                </w:p>
                <w:p>
                  <w:pPr>
                    <w:spacing w:line="312" w:lineRule="auto"/>
                    <w:ind w:firstLine="720"/>
                    <w:jc w:val="both"/>
                    <w:rPr>
                      <w:szCs w:val="24"/>
                    </w:rPr>
                  </w:pPr>
                  <w:r>
                    <w:rPr>
                      <w:szCs w:val="24"/>
                    </w:rPr>
                    <w:t>Neigiamų pasekmių nenumatoma.</w:t>
                  </w:r>
                </w:p>
              </w:sdtContent>
            </w:sdt>
            <w:sdt>
              <w:sdtPr>
                <w:alias w:val="6 p."/>
                <w:tag w:val="part_20234ab1c45f4d7bb47d24c68082d798"/>
                <w:lock w:val="sdtLocked"/>
                <w:richText/>
              </w:sdtPr>
              <w:sdtContent>
                <w:p>
                  <w:pPr>
                    <w:spacing w:line="312" w:lineRule="auto"/>
                    <w:ind w:firstLine="720"/>
                    <w:jc w:val="both"/>
                    <w:rPr>
                      <w:b/>
                      <w:szCs w:val="24"/>
                    </w:rPr>
                  </w:pPr>
                  <w:sdt>
                    <w:sdtPr>
                      <w:alias w:val="Numeris"/>
                      <w:tag w:val="nr_20234ab1c45f4d7bb47d24c68082d798"/>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pPr>
                    <w:spacing w:line="312" w:lineRule="auto"/>
                    <w:ind w:firstLine="720"/>
                    <w:jc w:val="both"/>
                    <w:rPr>
                      <w:szCs w:val="24"/>
                    </w:rPr>
                  </w:pPr>
                  <w:r>
                    <w:rPr>
                      <w:szCs w:val="24"/>
                    </w:rPr>
                    <w:t>Nėra.</w:t>
                  </w:r>
                </w:p>
              </w:sdtContent>
            </w:sdt>
            <w:sdt>
              <w:sdtPr>
                <w:alias w:val="7 p."/>
                <w:tag w:val="part_019a1f56cf0945d19ff54c15fb14b535"/>
                <w:lock w:val="sdtLocked"/>
                <w:richText/>
              </w:sdtPr>
              <w:sdtContent>
                <w:p>
                  <w:pPr>
                    <w:spacing w:line="312" w:lineRule="auto"/>
                    <w:ind w:firstLine="720"/>
                    <w:jc w:val="both"/>
                    <w:rPr>
                      <w:szCs w:val="24"/>
                    </w:rPr>
                  </w:pPr>
                  <w:sdt>
                    <w:sdtPr>
                      <w:alias w:val="Numeris"/>
                      <w:tag w:val="nr_019a1f56cf0945d19ff54c15fb14b535"/>
                      <w:lock w:val="sdtLocked"/>
                      <w:richText/>
                    </w:sdtPr>
                    <w:sdtContent>
                      <w:r>
                        <w:rPr>
                          <w:b/>
                          <w:szCs w:val="24"/>
                        </w:rPr>
                        <w:t>7</w:t>
                      </w:r>
                    </w:sdtContent>
                  </w:sdt>
                  <w:r>
                    <w:rPr>
                      <w:b/>
                      <w:szCs w:val="24"/>
                    </w:rPr>
                    <w:t>. Sprendimo projektui įgyvendinti reikalingos lėšos, finansavimo šaltiniai.</w:t>
                  </w:r>
                </w:p>
                <w:p>
                  <w:pPr>
                    <w:spacing w:line="312" w:lineRule="auto"/>
                    <w:ind w:firstLine="720"/>
                    <w:jc w:val="both"/>
                    <w:rPr>
                      <w:szCs w:val="24"/>
                    </w:rPr>
                  </w:pPr>
                  <w:r>
                    <w:rPr>
                      <w:szCs w:val="24"/>
                    </w:rPr>
                    <w:t>Priėmusi sprendimą, Radviliškio rajono savivaldybė papildomų išlaidų nepatirs.</w:t>
                  </w:r>
                </w:p>
              </w:sdtContent>
            </w:sdt>
            <w:sdt>
              <w:sdtPr>
                <w:alias w:val="8 p."/>
                <w:tag w:val="part_81f1400e502a4585a4710bf5ef1648b4"/>
                <w:lock w:val="sdtLocked"/>
                <w:richText/>
              </w:sdtPr>
              <w:sdtContent>
                <w:p>
                  <w:pPr>
                    <w:spacing w:line="312" w:lineRule="auto"/>
                    <w:ind w:firstLine="720"/>
                    <w:jc w:val="both"/>
                    <w:rPr>
                      <w:b/>
                      <w:szCs w:val="24"/>
                    </w:rPr>
                  </w:pPr>
                  <w:sdt>
                    <w:sdtPr>
                      <w:alias w:val="Numeris"/>
                      <w:tag w:val="nr_81f1400e502a4585a4710bf5ef1648b4"/>
                      <w:lock w:val="sdtLocked"/>
                      <w:richText/>
                    </w:sdtPr>
                    <w:sdtContent>
                      <w:r>
                        <w:rPr>
                          <w:b/>
                          <w:szCs w:val="24"/>
                        </w:rPr>
                        <w:t>8</w:t>
                      </w:r>
                    </w:sdtContent>
                  </w:sdt>
                  <w:r>
                    <w:rPr>
                      <w:b/>
                      <w:szCs w:val="24"/>
                    </w:rPr>
                    <w:t>. Sprendimo projekto rengimo metu gauti specialistų vertinimai ir išvados.</w:t>
                  </w:r>
                </w:p>
                <w:p>
                  <w:pPr>
                    <w:spacing w:line="312" w:lineRule="auto"/>
                    <w:ind w:firstLine="720"/>
                    <w:jc w:val="both"/>
                    <w:rPr>
                      <w:szCs w:val="24"/>
                    </w:rPr>
                  </w:pPr>
                  <w:r>
                    <w:rPr>
                      <w:szCs w:val="24"/>
                    </w:rPr>
                    <w:t xml:space="preserve">Kitų sprendimo projekto rengimo metu specialistų vertinimų ir išvadų negauta. </w:t>
                  </w:r>
                </w:p>
              </w:sdtContent>
            </w:sdt>
            <w:sdt>
              <w:sdtPr>
                <w:alias w:val="9 p."/>
                <w:tag w:val="part_661afb42b4664710946bf3199dd4ba90"/>
                <w:lock w:val="sdtLocked"/>
                <w:richText/>
              </w:sdtPr>
              <w:sdtContent>
                <w:p>
                  <w:pPr>
                    <w:spacing w:line="312" w:lineRule="auto"/>
                    <w:ind w:firstLine="720"/>
                    <w:jc w:val="both"/>
                    <w:rPr>
                      <w:b/>
                      <w:szCs w:val="24"/>
                    </w:rPr>
                  </w:pPr>
                  <w:sdt>
                    <w:sdtPr>
                      <w:alias w:val="Numeris"/>
                      <w:tag w:val="nr_661afb42b4664710946bf3199dd4ba90"/>
                      <w:lock w:val="sdtLocked"/>
                      <w:richText/>
                    </w:sdtPr>
                    <w:sdtContent>
                      <w:r>
                        <w:rPr>
                          <w:b/>
                          <w:szCs w:val="24"/>
                        </w:rPr>
                        <w:t>9</w:t>
                      </w:r>
                    </w:sdtContent>
                  </w:sdt>
                  <w:r>
                    <w:rPr>
                      <w:b/>
                      <w:szCs w:val="24"/>
                    </w:rPr>
                    <w:t>. Numatomo teisinio reguliavimo poveikio vertinimo rezultatai.</w:t>
                  </w:r>
                </w:p>
                <w:p>
                  <w:pPr>
                    <w:spacing w:line="312" w:lineRule="auto"/>
                    <w:ind w:firstLine="720"/>
                    <w:jc w:val="both"/>
                    <w:rPr>
                      <w:szCs w:val="24"/>
                    </w:rPr>
                  </w:pPr>
                  <w:r>
                    <w:rPr>
                      <w:szCs w:val="24"/>
                    </w:rPr>
                    <w:t>Nevertinamas.</w:t>
                  </w:r>
                </w:p>
              </w:sdtContent>
            </w:sdt>
            <w:sdt>
              <w:sdtPr>
                <w:alias w:val="10 p."/>
                <w:tag w:val="part_037fb9280c1e47fab683b50008b5f2bf"/>
                <w:lock w:val="sdtLocked"/>
                <w:richText/>
              </w:sdtPr>
              <w:sdtContent>
                <w:p>
                  <w:pPr>
                    <w:spacing w:line="312" w:lineRule="auto"/>
                    <w:ind w:firstLine="720"/>
                    <w:jc w:val="both"/>
                    <w:rPr>
                      <w:b/>
                      <w:szCs w:val="24"/>
                    </w:rPr>
                  </w:pPr>
                  <w:sdt>
                    <w:sdtPr>
                      <w:alias w:val="Numeris"/>
                      <w:tag w:val="nr_037fb9280c1e47fab683b50008b5f2bf"/>
                      <w:lock w:val="sdtLocked"/>
                      <w:richText/>
                    </w:sdtPr>
                    <w:sdtContent>
                      <w:r>
                        <w:rPr>
                          <w:b/>
                          <w:szCs w:val="24"/>
                        </w:rPr>
                        <w:t>10</w:t>
                      </w:r>
                    </w:sdtContent>
                  </w:sdt>
                  <w:r>
                    <w:rPr>
                      <w:b/>
                      <w:szCs w:val="24"/>
                    </w:rPr>
                    <w:t>. Sprendimo projekto antikorupcinis vertinimas.</w:t>
                  </w:r>
                </w:p>
                <w:p>
                  <w:pPr>
                    <w:spacing w:line="312" w:lineRule="auto"/>
                    <w:ind w:firstLine="720"/>
                    <w:jc w:val="both"/>
                    <w:rPr>
                      <w:szCs w:val="24"/>
                    </w:rPr>
                  </w:pPr>
                  <w:r>
                    <w:rPr>
                      <w:szCs w:val="24"/>
                    </w:rPr>
                    <w:t>Vertinimas neatliekamas.</w:t>
                  </w:r>
                </w:p>
              </w:sdtContent>
            </w:sdt>
            <w:sdt>
              <w:sdtPr>
                <w:alias w:val="11 p."/>
                <w:tag w:val="part_185d028d9ce440c68d982337928bdd76"/>
                <w:lock w:val="sdtLocked"/>
                <w:richText/>
              </w:sdtPr>
              <w:sdtContent>
                <w:p>
                  <w:pPr>
                    <w:spacing w:line="312" w:lineRule="auto"/>
                    <w:ind w:firstLine="720"/>
                    <w:jc w:val="both"/>
                    <w:rPr>
                      <w:b/>
                      <w:szCs w:val="24"/>
                    </w:rPr>
                  </w:pPr>
                  <w:sdt>
                    <w:sdtPr>
                      <w:alias w:val="Numeris"/>
                      <w:tag w:val="nr_185d028d9ce440c68d982337928bdd76"/>
                      <w:lock w:val="sdtLocked"/>
                      <w:richText/>
                    </w:sdtPr>
                    <w:sdtContent>
                      <w:r>
                        <w:rPr>
                          <w:b/>
                          <w:szCs w:val="24"/>
                        </w:rPr>
                        <w:t>11</w:t>
                      </w:r>
                    </w:sdtContent>
                  </w:sdt>
                  <w:r>
                    <w:rPr>
                      <w:b/>
                      <w:szCs w:val="24"/>
                    </w:rPr>
                    <w:t>. Kiti, iniciatoriaus nuomone, reikalingi pagrindimai ir paaiškinimai.</w:t>
                  </w:r>
                </w:p>
                <w:p>
                  <w:pPr>
                    <w:spacing w:line="312" w:lineRule="auto"/>
                    <w:ind w:firstLine="720"/>
                    <w:jc w:val="both"/>
                    <w:rPr>
                      <w:szCs w:val="24"/>
                    </w:rPr>
                  </w:pPr>
                  <w:r>
                    <w:rPr>
                      <w:szCs w:val="24"/>
                    </w:rPr>
                    <w:t>Nėra.</w:t>
                  </w:r>
                </w:p>
              </w:sdtContent>
            </w:sdt>
            <w:sdt>
              <w:sdtPr>
                <w:alias w:val="12 p."/>
                <w:tag w:val="part_2a66d8ef752d4835b338af15b41f3fc1"/>
                <w:lock w:val="sdtLocked"/>
                <w:richText/>
              </w:sdtPr>
              <w:sdtContent>
                <w:p>
                  <w:pPr>
                    <w:spacing w:line="312" w:lineRule="auto"/>
                    <w:ind w:firstLine="720"/>
                    <w:jc w:val="both"/>
                    <w:rPr>
                      <w:b/>
                      <w:szCs w:val="24"/>
                    </w:rPr>
                  </w:pPr>
                  <w:sdt>
                    <w:sdtPr>
                      <w:alias w:val="Numeris"/>
                      <w:tag w:val="nr_2a66d8ef752d4835b338af15b41f3fc1"/>
                      <w:lock w:val="sdtLocked"/>
                      <w:richText/>
                    </w:sdtPr>
                    <w:sdtContent>
                      <w:r>
                        <w:rPr>
                          <w:b/>
                          <w:szCs w:val="24"/>
                        </w:rPr>
                        <w:t>12</w:t>
                      </w:r>
                    </w:sdtContent>
                  </w:sdt>
                  <w:r>
                    <w:rPr>
                      <w:b/>
                      <w:szCs w:val="24"/>
                    </w:rPr>
                    <w:t>. Pridedami dokumentai.</w:t>
                  </w:r>
                </w:p>
                <w:p>
                  <w:pPr>
                    <w:spacing w:line="312" w:lineRule="auto"/>
                    <w:ind w:firstLine="720"/>
                    <w:jc w:val="both"/>
                    <w:rPr>
                      <w:szCs w:val="24"/>
                    </w:rPr>
                  </w:pPr>
                  <w:r>
                    <w:rPr>
                      <w:szCs w:val="24"/>
                    </w:rPr>
                    <w:t xml:space="preserve">Suderintas Žemės sklypo valstybinės žemės nuomos sutarties projektas. </w:t>
                  </w:r>
                </w:p>
                <w:p>
                  <w:pPr>
                    <w:spacing w:line="312" w:lineRule="auto"/>
                    <w:jc w:val="both"/>
                    <w:rPr>
                      <w:szCs w:val="24"/>
                    </w:rPr>
                  </w:pPr>
                </w:p>
                <w:p>
                  <w:pPr>
                    <w:spacing w:line="312" w:lineRule="auto"/>
                    <w:jc w:val="both"/>
                    <w:rPr>
                      <w:szCs w:val="24"/>
                    </w:rPr>
                  </w:pPr>
                </w:p>
                <w:p>
                  <w:pPr>
                    <w:spacing w:line="312" w:lineRule="auto"/>
                    <w:jc w:val="both"/>
                    <w:rPr>
                      <w:szCs w:val="24"/>
                    </w:rPr>
                  </w:pPr>
                </w:p>
              </w:sdtContent>
            </w:sdt>
          </w:sdtContent>
        </w:sdt>
        <w:sdt>
          <w:sdtPr>
            <w:alias w:val="signatura"/>
            <w:tag w:val="part_fb1179bf4dde49d3b88e304e24042c96"/>
            <w:lock w:val="sdtLocked"/>
            <w:richText/>
          </w:sdtPr>
          <w:sdtContent>
            <w:p>
              <w:pPr>
                <w:rPr>
                  <w:szCs w:val="24"/>
                </w:rPr>
              </w:pPr>
              <w:r>
                <w:rPr>
                  <w:szCs w:val="24"/>
                </w:rPr>
                <w:t>Architektūros ir urbanistikos skyriaus</w:t>
              </w:r>
            </w:p>
            <w:p>
              <w:pPr>
                <w:rPr>
                  <w:szCs w:val="24"/>
                </w:rPr>
              </w:pPr>
              <w:r>
                <w:rPr>
                  <w:szCs w:val="24"/>
                </w:rPr>
                <w:t>vyriausioji specialistė</w:t>
                <w:tab/>
                <w:tab/>
                <w:tab/>
                <w:tab/>
                <w:t xml:space="preserve">                                                        Vida Rodžianskienė</w:t>
              </w:r>
            </w:p>
            <w:p/>
            <w:p>
              <w:pPr>
                <w:rPr>
                  <w:szCs w:val="24"/>
                </w:rPr>
              </w:pPr>
            </w:p>
          </w:sdtContent>
        </w:sdt>
      </w:sdtContent>
    </w:sdt>
    <w:sectPr>
      <w:headerReference w:type="default" r:id="rId7"/>
      <w:type w:val="continuous"/>
      <w:pgSz w:w="11906" w:h="16838" w:code="9"/>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7088"/>
      </w:tabs>
      <w:rPr>
        <w:szCs w:val="24"/>
      </w:rPr>
    </w:pPr>
  </w:p>
  <w:p>
    <w:pPr>
      <w:tabs>
        <w:tab w:val="left" w:pos="7088"/>
      </w:tabs>
      <w:ind w:left="3894" w:firstLine="1298"/>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8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F0A35C43-06E6-48CC-8F4C-28569E236F6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9145635">
      <w:bodyDiv w:val="1"/>
      <w:marLeft w:val="0"/>
      <w:marRight w:val="0"/>
      <w:marTop w:val="0"/>
      <w:marBottom w:val="0"/>
      <w:divBdr>
        <w:top w:val="none" w:sz="0" w:space="0" w:color="auto"/>
        <w:left w:val="none" w:sz="0" w:space="0" w:color="auto"/>
        <w:bottom w:val="none" w:sz="0" w:space="0" w:color="auto"/>
        <w:right w:val="none" w:sz="0" w:space="0" w:color="auto"/>
      </w:divBdr>
    </w:div>
    <w:div w:id="502666855">
      <w:bodyDiv w:val="1"/>
      <w:marLeft w:val="0"/>
      <w:marRight w:val="0"/>
      <w:marTop w:val="0"/>
      <w:marBottom w:val="0"/>
      <w:divBdr>
        <w:top w:val="none" w:sz="0" w:space="0" w:color="auto"/>
        <w:left w:val="none" w:sz="0" w:space="0" w:color="auto"/>
        <w:bottom w:val="none" w:sz="0" w:space="0" w:color="auto"/>
        <w:right w:val="none" w:sz="0" w:space="0" w:color="auto"/>
      </w:divBdr>
    </w:div>
    <w:div w:id="673151411">
      <w:bodyDiv w:val="1"/>
      <w:marLeft w:val="0"/>
      <w:marRight w:val="0"/>
      <w:marTop w:val="0"/>
      <w:marBottom w:val="0"/>
      <w:divBdr>
        <w:top w:val="none" w:sz="0" w:space="0" w:color="auto"/>
        <w:left w:val="none" w:sz="0" w:space="0" w:color="auto"/>
        <w:bottom w:val="none" w:sz="0" w:space="0" w:color="auto"/>
        <w:right w:val="none" w:sz="0" w:space="0" w:color="auto"/>
      </w:divBdr>
    </w:div>
    <w:div w:id="683475908">
      <w:bodyDiv w:val="1"/>
      <w:marLeft w:val="0"/>
      <w:marRight w:val="0"/>
      <w:marTop w:val="0"/>
      <w:marBottom w:val="0"/>
      <w:divBdr>
        <w:top w:val="none" w:sz="0" w:space="0" w:color="auto"/>
        <w:left w:val="none" w:sz="0" w:space="0" w:color="auto"/>
        <w:bottom w:val="none" w:sz="0" w:space="0" w:color="auto"/>
        <w:right w:val="none" w:sz="0" w:space="0" w:color="auto"/>
      </w:divBdr>
    </w:div>
    <w:div w:id="873351943">
      <w:bodyDiv w:val="1"/>
      <w:marLeft w:val="0"/>
      <w:marRight w:val="0"/>
      <w:marTop w:val="0"/>
      <w:marBottom w:val="0"/>
      <w:divBdr>
        <w:top w:val="none" w:sz="0" w:space="0" w:color="auto"/>
        <w:left w:val="none" w:sz="0" w:space="0" w:color="auto"/>
        <w:bottom w:val="none" w:sz="0" w:space="0" w:color="auto"/>
        <w:right w:val="none" w:sz="0" w:space="0" w:color="auto"/>
      </w:divBdr>
    </w:div>
    <w:div w:id="913078911">
      <w:bodyDiv w:val="1"/>
      <w:marLeft w:val="0"/>
      <w:marRight w:val="0"/>
      <w:marTop w:val="0"/>
      <w:marBottom w:val="0"/>
      <w:divBdr>
        <w:top w:val="none" w:sz="0" w:space="0" w:color="auto"/>
        <w:left w:val="none" w:sz="0" w:space="0" w:color="auto"/>
        <w:bottom w:val="none" w:sz="0" w:space="0" w:color="auto"/>
        <w:right w:val="none" w:sz="0" w:space="0" w:color="auto"/>
      </w:divBdr>
    </w:div>
    <w:div w:id="1087850653">
      <w:bodyDiv w:val="1"/>
      <w:marLeft w:val="0"/>
      <w:marRight w:val="0"/>
      <w:marTop w:val="0"/>
      <w:marBottom w:val="0"/>
      <w:divBdr>
        <w:top w:val="none" w:sz="0" w:space="0" w:color="auto"/>
        <w:left w:val="none" w:sz="0" w:space="0" w:color="auto"/>
        <w:bottom w:val="none" w:sz="0" w:space="0" w:color="auto"/>
        <w:right w:val="none" w:sz="0" w:space="0" w:color="auto"/>
      </w:divBdr>
    </w:div>
    <w:div w:id="1489126204">
      <w:bodyDiv w:val="1"/>
      <w:marLeft w:val="0"/>
      <w:marRight w:val="0"/>
      <w:marTop w:val="0"/>
      <w:marBottom w:val="0"/>
      <w:divBdr>
        <w:top w:val="none" w:sz="0" w:space="0" w:color="auto"/>
        <w:left w:val="none" w:sz="0" w:space="0" w:color="auto"/>
        <w:bottom w:val="none" w:sz="0" w:space="0" w:color="auto"/>
        <w:right w:val="none" w:sz="0" w:space="0" w:color="auto"/>
      </w:divBdr>
    </w:div>
    <w:div w:id="1511095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b24685042c041bd88b0c5448e4b4a23" PartId="f547840dec4a4a47a4e3721b585f7851">
    <Part Type="punktas" Nr="1" Abbr="1 p." DocPartId="ccfb83c4461543b8b1d0de3feec7821a" PartId="5c4d9dff0c684868addf4e39b1d99959"/>
    <Part Type="punktas" Nr="2" Abbr="2 p." DocPartId="95d5c92ba3ac4c82b6ad4c2f4a259117" PartId="004183878039429580896119cd5a40ed"/>
    <Part Type="punktas" Nr="3" Abbr="3 p." DocPartId="ce351e7bf1054e968df4e4ca3497fde2" PartId="05d234361ccb4eb5b98ebeea4df8ace0"/>
    <Part Type="punktas" Nr="4" Abbr="4 p." DocPartId="66fc0e378dd84dbfb47705962137592c" PartId="9012a61ea1b0472caf4d2a6e1dd26913"/>
    <Part Type="skirsnis" Title="RADVILIŠKIO RAJONO SAVIVALDYBĖS TARYBOS SPRENDIMO PROJEKTO „DĖL VALSTYBINĖS ŽEMĖS SKLYPO (KADASTRO NR. 7157/0003:165, UNIKALUS NR. 4400-6692-9531), ESANČIO RADVILIŠKIO M., DARIAUS IR GIRĖNO G. 15A, NUOMOS“ AIŠKINAMASIS RAŠTAS" DocPartId="908d5c5fa8524a439c8489dcdc1df5ba" PartId="9db03083d77b436ebf23f3cf04fffe20">
      <Part Type="punktas" Nr="1" Abbr="1 p." DocPartId="5ffc0fa85fa4495a8e4934c19be37691" PartId="a348322719f5496ba7cc24290e9db5d7"/>
      <Part Type="punktas" Nr="2" Abbr="2 p." DocPartId="b50b1082d4cd4b76a3b427bf5bf87349" PartId="1f25381a460c4e87820d4a20580a2192"/>
      <Part Type="punktas" Nr="3" Abbr="3 p." DocPartId="8de439ffbd1042eaa0d6e5cfdb8b6a60" PartId="b03144960aff41d4812bdc65ec10aa3f"/>
      <Part Type="punktas" Nr="4" Abbr="4 p." DocPartId="1c47f69b42f84ed794070b8da16de35f" PartId="80ba4328b9d7498c9829e0e105a883d3"/>
      <Part Type="punktas" Nr="5" Abbr="5 p." DocPartId="bf0374693aba48c48aebb51287157d1f" PartId="b9835a4578c74447a3f062f61e54060a"/>
      <Part Type="punktas" Nr="6" Abbr="6 p." DocPartId="c22f86ad9bb44729a2bb2e00a435cdf6" PartId="20234ab1c45f4d7bb47d24c68082d798"/>
      <Part Type="punktas" Nr="7" Abbr="7 p." DocPartId="cb193873a7034159b5fa6ae26a5bb461" PartId="019a1f56cf0945d19ff54c15fb14b535"/>
      <Part Type="punktas" Nr="8" Abbr="8 p." DocPartId="874a2e143d664760981825990974ab8c" PartId="81f1400e502a4585a4710bf5ef1648b4"/>
      <Part Type="punktas" Nr="9" Abbr="9 p." DocPartId="6d517d21011641d49c94ecbda6601518" PartId="661afb42b4664710946bf3199dd4ba90"/>
      <Part Type="punktas" Nr="10" Abbr="10 p." DocPartId="93464d1f97c949c3b06ee1faf71e9a5b" PartId="037fb9280c1e47fab683b50008b5f2bf"/>
      <Part Type="punktas" Nr="11" Abbr="11 p." DocPartId="878c90b242624832906858ce838c89e9" PartId="185d028d9ce440c68d982337928bdd76"/>
      <Part Type="punktas" Nr="12" Abbr="12 p." DocPartId="34e81b2485764874b74a2c571aac6304" PartId="2a66d8ef752d4835b338af15b41f3fc1"/>
    </Part>
    <Part Type="signatura" DocPartId="3bf163028adc4a4c922eeb145d53e8a0" PartId="fb1179bf4dde49d3b88e304e24042c96"/>
  </Part>
</Parts>
</file>

<file path=customXml/itemProps1.xml><?xml version="1.0" encoding="utf-8"?>
<ds:datastoreItem xmlns:ds="http://schemas.openxmlformats.org/officeDocument/2006/customXml" ds:itemID="{130C5811-57B4-40DC-B0C3-A494101E6B36}">
  <ds:schemaRefs>
    <ds:schemaRef ds:uri="http://schemas.openxmlformats.org/officeDocument/2006/bibliography"/>
  </ds:schemaRefs>
</ds:datastoreItem>
</file>

<file path=customXml/itemProps2.xml><?xml version="1.0" encoding="utf-8"?>
<ds:datastoreItem xmlns:ds="http://schemas.openxmlformats.org/officeDocument/2006/customXml" ds:itemID="{B5DE0FD8-AE27-45A4-8E65-32E020C0417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1078</Words>
  <Characters>7477</Characters>
  <Application>Microsoft Office Word</Application>
  <DocSecurity>4</DocSecurity>
  <Lines>141</Lines>
  <Paragraphs>59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8496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2025-08-06T10:25:00Z</dcterms:created>
  <dc:creator>Sigitas Labanauskas</dc:creator>
  <lastModifiedBy>adlibuser</lastModifiedBy>
  <lastPrinted>2024-05-24T11:18:00Z</lastPrinted>
  <dcterms:modified xsi:type="dcterms:W3CDTF">2025-08-06T10:25:00Z</dcterms:modified>
  <revision>2</revision>
</coreProperties>
</file>