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fccbe1dc14148dd9965f2119e5ebfdc"/>
        <w:lock w:val="sdtLocked"/>
        <w:richText/>
      </w:sdtPr>
      <w:sdtContent>
        <w:p>
          <w:pPr>
            <w:tabs>
              <w:tab w:val="center" w:pos="4153"/>
              <w:tab w:val="right" w:pos="8306"/>
            </w:tabs>
            <w:rPr>
              <w:sz w:val="20"/>
              <w:lang w:eastAsia="lt-LT"/>
            </w:rPr>
          </w:pPr>
        </w:p>
        <w:p>
          <w:pPr>
            <w:jc w:val="right"/>
            <w:rPr>
              <w:b/>
              <w:bCs/>
              <w:szCs w:val="24"/>
              <w:lang w:eastAsia="lt-LT"/>
            </w:rPr>
          </w:pPr>
          <w:r>
            <w:rPr>
              <w:b/>
              <w:bCs/>
              <w:szCs w:val="24"/>
              <w:lang w:eastAsia="lt-LT"/>
            </w:rPr>
            <w:t>Projektas</w:t>
          </w:r>
        </w:p>
        <w:p>
          <w:pPr>
            <w:jc w:val="center"/>
            <w:rPr>
              <w:b/>
              <w:sz w:val="28"/>
              <w:lang w:eastAsia="lt-LT"/>
            </w:rPr>
          </w:pPr>
        </w:p>
        <w:p>
          <w:pPr>
            <w:jc w:val="center"/>
            <w:rPr>
              <w:b/>
              <w:sz w:val="28"/>
              <w:lang w:eastAsia="lt-LT"/>
            </w:rPr>
          </w:pPr>
          <w:r>
            <w:rPr>
              <w:b/>
              <w:sz w:val="28"/>
              <w:lang w:eastAsia="lt-LT"/>
            </w:rPr>
            <w:t>LIETUVOS RESPUBLIKOS SUSISIEKIMO MINISTRAS</w:t>
          </w:r>
        </w:p>
        <w:p>
          <w:pPr>
            <w:jc w:val="center"/>
            <w:rPr>
              <w:b/>
              <w:sz w:val="26"/>
              <w:lang w:eastAsia="lt-LT"/>
            </w:rPr>
          </w:pPr>
        </w:p>
        <w:p>
          <w:pPr>
            <w:jc w:val="center"/>
            <w:rPr>
              <w:b/>
              <w:sz w:val="26"/>
              <w:lang w:eastAsia="lt-LT"/>
            </w:rPr>
          </w:pPr>
        </w:p>
        <w:p>
          <w:pPr>
            <w:jc w:val="center"/>
            <w:rPr>
              <w:b/>
              <w:sz w:val="26"/>
              <w:lang w:eastAsia="lt-LT"/>
            </w:rPr>
          </w:pPr>
        </w:p>
        <w:p>
          <w:pPr>
            <w:jc w:val="center"/>
            <w:rPr>
              <w:b/>
              <w:sz w:val="28"/>
              <w:lang w:eastAsia="lt-LT"/>
            </w:rPr>
          </w:pPr>
          <w:r>
            <w:rPr>
              <w:b/>
              <w:sz w:val="28"/>
              <w:lang w:eastAsia="lt-LT"/>
            </w:rPr>
            <w:t>ĮSAKYMAS</w:t>
          </w:r>
        </w:p>
        <w:p>
          <w:pPr>
            <w:jc w:val="center"/>
            <w:rPr>
              <w:b/>
              <w:sz w:val="28"/>
              <w:lang w:eastAsia="lt-LT"/>
            </w:rPr>
          </w:pPr>
          <w:r>
            <w:rPr>
              <w:b/>
              <w:sz w:val="28"/>
              <w:lang w:eastAsia="lt-LT"/>
            </w:rPr>
            <w:t>DĖL LIETUVOS RESPUBLIKOS SUSISIEKIMO MINISTRO</w:t>
            <w:br/>
            <w:t>2015 M. RUGSĖJO 18 D. ĮSAKYMO NR. 3-396(1.5 E) „DĖL 2014–2020 METŲ EUROPOS SĄJUNGOS FONDŲ INVESTICIJŲ VEIKSMŲ PROGRAMOS</w:t>
            <w:br/>
            <w:t xml:space="preserve"> 6 PRIORITETO „DARNAUS TRANSPORTO IR PAGRINDINIŲ TINKLŲ INFRASTRUKTŪROS PLĖTRA“ 06.2.1-TID-V-507 PRIEMONĖS „REGIONŲ PASIEKIAMUMO GERINIMAS“ PROJEKTŲ FINANSAVIMO SĄLYGŲ APRAŠO NR. 1 PATVIRTINIMO“ PAKEITIMO</w:t>
          </w:r>
        </w:p>
        <w:p>
          <w:pPr>
            <w:jc w:val="center"/>
            <w:rPr>
              <w:b/>
              <w:sz w:val="26"/>
              <w:lang w:eastAsia="lt-LT"/>
            </w:rPr>
          </w:pPr>
        </w:p>
        <w:tbl>
          <w:tblPr>
            <w:tblW w:w="0" w:type="auto"/>
            <w:jc w:val="center"/>
            <w:tblLook w:val="04A0" w:firstRow="1" w:lastRow="0" w:firstColumn="1" w:lastColumn="0" w:noHBand="0" w:noVBand="1"/>
          </w:tblPr>
          <w:tblGrid>
            <w:gridCol w:w="2692"/>
            <w:gridCol w:w="1385"/>
          </w:tblGrid>
          <w:tr>
            <w:trPr>
              <w:jc w:val="center"/>
            </w:trPr>
            <w:tc>
              <w:tcPr>
                <w:tcW w:w="2692" w:type="dxa"/>
              </w:tcPr>
              <w:p>
                <w:pPr>
                  <w:rPr>
                    <w:b/>
                    <w:sz w:val="26"/>
                    <w:lang w:eastAsia="lt-LT"/>
                  </w:rPr>
                </w:pPr>
                <w:r>
                  <w:rPr>
                    <w:lang w:eastAsia="lt-LT"/>
                  </w:rPr>
                  <w:t xml:space="preserve">20       m.                     d.</w:t>
                </w:r>
              </w:p>
            </w:tc>
            <w:tc>
              <w:tcPr>
                <w:tcW w:w="1385" w:type="dxa"/>
              </w:tcPr>
              <w:p>
                <w:pPr>
                  <w:rPr>
                    <w:b/>
                    <w:sz w:val="26"/>
                    <w:lang w:eastAsia="lt-LT"/>
                  </w:rPr>
                </w:pPr>
                <w:r>
                  <w:rPr>
                    <w:lang w:eastAsia="lt-LT"/>
                  </w:rPr>
                  <w:t>Nr.</w:t>
                </w:r>
              </w:p>
            </w:tc>
          </w:tr>
        </w:tbl>
        <w:p>
          <w:pPr>
            <w:jc w:val="center"/>
            <w:rPr>
              <w:lang w:eastAsia="lt-LT"/>
            </w:rPr>
          </w:pPr>
          <w:r>
            <w:rPr>
              <w:lang w:eastAsia="lt-LT"/>
            </w:rPr>
            <w:t>Vilnius</w:t>
          </w:r>
        </w:p>
        <w:p>
          <w:pPr>
            <w:rPr>
              <w:lang w:eastAsia="lt-LT"/>
            </w:rPr>
          </w:pPr>
        </w:p>
        <w:p>
          <w:pPr>
            <w:rPr>
              <w:lang w:eastAsia="lt-LT"/>
            </w:rPr>
          </w:pPr>
        </w:p>
        <w:p>
          <w:pPr>
            <w:ind w:firstLine="1247"/>
            <w:jc w:val="both"/>
            <w:rPr>
              <w:lang w:eastAsia="lt-LT"/>
            </w:rPr>
          </w:pPr>
          <w:r>
            <w:rPr>
              <w:lang w:eastAsia="lt-LT"/>
            </w:rPr>
            <w:t>P a k e i č i u 2014–2020 metų Europos Sąjungos fondų investicijų veiksmų programos 6 prioriteto „Darnaus transporto ir pagrindinių tinklų infrastruktūros plėtra“ 06.2.1-TID-V-507 priemonės „Regionų pasiekiamumo gerinimas“ projektų finansavimo sąlygų aprašą, patvirtintą Lietuvos Respublikos susisiekimo ministro 2015 m. rugsėjo 18 d. įsakymu Nr. 3-396(1.5 E) „Dėl 2014–2020 metų Europos Sąjungos fondų investicijų veiksmų programos 6 prioriteto „Darnaus transporto ir pagrindinių tinklų infrastruktūros plėtra“ 06.2.1-TID-V-507 priemonės „Regionų pasiekiamumo gerinimas“ projektų finansavimo sąlygų aprašo Nr. 1 patvirtinimo“:</w:t>
          </w:r>
        </w:p>
        <w:sdt>
          <w:sdtPr>
            <w:alias w:val="1 p."/>
            <w:tag w:val="part_fdc2e2e137974d878e898411d317b125"/>
            <w:lock w:val="sdtLocked"/>
            <w:richText/>
          </w:sdtPr>
          <w:sdtContent>
            <w:p>
              <w:pPr>
                <w:ind w:left="1607" w:hanging="360"/>
                <w:jc w:val="both"/>
                <w:rPr>
                  <w:lang w:eastAsia="lt-LT"/>
                </w:rPr>
              </w:pPr>
              <w:sdt>
                <w:sdtPr>
                  <w:alias w:val="Numeris"/>
                  <w:tag w:val="nr_fdc2e2e137974d878e898411d317b125"/>
                  <w:lock w:val="sdtLocked"/>
                  <w:richText/>
                </w:sdtPr>
                <w:sdtContent>
                  <w:r>
                    <w:rPr>
                      <w:lang w:eastAsia="lt-LT"/>
                    </w:rPr>
                    <w:t>1</w:t>
                  </w:r>
                </w:sdtContent>
              </w:sdt>
              <w:r>
                <w:rPr>
                  <w:lang w:eastAsia="lt-LT"/>
                </w:rPr>
                <w:t>.</w:t>
                <w:tab/>
                <w:t>Pakeičiu 4 punktą ir jį išdėstau taip:</w:t>
              </w:r>
            </w:p>
            <w:sdt>
              <w:sdtPr>
                <w:alias w:val="citata"/>
                <w:tag w:val="part_c886de45d6b849d48e8548efb67b3cd7"/>
                <w:lock w:val="sdtLocked"/>
                <w:richText/>
              </w:sdtPr>
              <w:sdtContent>
                <w:sdt>
                  <w:sdtPr>
                    <w:alias w:val="4 p."/>
                    <w:tag w:val="part_7a08b456991e4e95810a0d6da8ea0ed9"/>
                    <w:lock w:val="sdtLocked"/>
                    <w:richText/>
                  </w:sdtPr>
                  <w:sdtContent>
                    <w:p>
                      <w:pPr>
                        <w:ind w:firstLine="1247"/>
                        <w:jc w:val="both"/>
                        <w:rPr>
                          <w:lang w:eastAsia="lt-LT"/>
                        </w:rPr>
                      </w:pPr>
                      <w:r>
                        <w:rPr>
                          <w:lang w:eastAsia="lt-LT"/>
                        </w:rPr>
                        <w:t>„</w:t>
                      </w:r>
                      <w:sdt>
                        <w:sdtPr>
                          <w:alias w:val="Numeris"/>
                          <w:tag w:val="nr_7a08b456991e4e95810a0d6da8ea0ed9"/>
                          <w:lock w:val="sdtLocked"/>
                          <w:richText/>
                        </w:sdtPr>
                        <w:sdtContent>
                          <w:r>
                            <w:rPr>
                              <w:lang w:eastAsia="lt-LT"/>
                            </w:rPr>
                            <w:t>4</w:t>
                          </w:r>
                        </w:sdtContent>
                      </w:sdt>
                      <w:r>
                        <w:rPr>
                          <w:lang w:eastAsia="lt-LT"/>
                        </w:rPr>
                        <w:t>. Priemonės įgyvendinimą administruoja Lietuvos Respublikos susisiekimo ministerija (toliau – Ministerija) ir VšĮ Centrinė projektų valdymo agentūra (toliau – įgyvendinančioji institucija).“</w:t>
                      </w:r>
                    </w:p>
                  </w:sdtContent>
                </w:sdt>
              </w:sdtContent>
            </w:sdt>
          </w:sdtContent>
        </w:sdt>
        <w:sdt>
          <w:sdtPr>
            <w:alias w:val="2 p."/>
            <w:tag w:val="part_6db1197730de429599c6a83db8692dc4"/>
            <w:lock w:val="sdtLocked"/>
            <w:richText/>
          </w:sdtPr>
          <w:sdtContent>
            <w:p>
              <w:pPr>
                <w:ind w:left="1607" w:hanging="360"/>
                <w:jc w:val="both"/>
                <w:rPr>
                  <w:lang w:eastAsia="lt-LT"/>
                </w:rPr>
              </w:pPr>
              <w:sdt>
                <w:sdtPr>
                  <w:alias w:val="Numeris"/>
                  <w:tag w:val="nr_6db1197730de429599c6a83db8692dc4"/>
                  <w:lock w:val="sdtLocked"/>
                  <w:richText/>
                </w:sdtPr>
                <w:sdtContent>
                  <w:r>
                    <w:rPr>
                      <w:lang w:eastAsia="lt-LT"/>
                    </w:rPr>
                    <w:t>2</w:t>
                  </w:r>
                </w:sdtContent>
              </w:sdt>
              <w:r>
                <w:rPr>
                  <w:lang w:eastAsia="lt-LT"/>
                </w:rPr>
                <w:t>.</w:t>
                <w:tab/>
                <w:t>Pakeičiu 14 punktą ir jį išdėstau taip:</w:t>
              </w:r>
            </w:p>
            <w:sdt>
              <w:sdtPr>
                <w:alias w:val="citata"/>
                <w:tag w:val="part_17ae379e74524d8a94f9398c61a238b4"/>
                <w:lock w:val="sdtLocked"/>
                <w:richText/>
              </w:sdtPr>
              <w:sdtContent>
                <w:sdt>
                  <w:sdtPr>
                    <w:alias w:val="14 p."/>
                    <w:tag w:val="part_15b8883b18b04925b659663336ff34d8"/>
                    <w:lock w:val="sdtLocked"/>
                    <w:richText/>
                  </w:sdtPr>
                  <w:sdtContent>
                    <w:p>
                      <w:pPr>
                        <w:tabs>
                          <w:tab w:val="left" w:pos="1418"/>
                          <w:tab w:val="left" w:pos="1560"/>
                        </w:tabs>
                        <w:ind w:firstLine="851"/>
                        <w:jc w:val="both"/>
                        <w:rPr>
                          <w:szCs w:val="24"/>
                        </w:rPr>
                      </w:pPr>
                      <w:r>
                        <w:rPr>
                          <w:sz w:val="20"/>
                          <w:lang w:eastAsia="lt-LT"/>
                        </w:rPr>
                        <w:t>„</w:t>
                      </w:r>
                      <w:sdt>
                        <w:sdtPr>
                          <w:alias w:val="Numeris"/>
                          <w:tag w:val="nr_15b8883b18b04925b659663336ff34d8"/>
                          <w:lock w:val="sdtLocked"/>
                          <w:richText/>
                        </w:sdtPr>
                        <w:sdtContent>
                          <w:r>
                            <w:rPr>
                              <w:szCs w:val="24"/>
                            </w:rPr>
                            <w:t>14</w:t>
                          </w:r>
                        </w:sdtContent>
                      </w:sdt>
                      <w:r>
                        <w:rPr>
                          <w:szCs w:val="24"/>
                        </w:rPr>
                        <w:t>. Projektas turi atitikti šiuos specialiuosius projektų atrankos kriterijus, patvirtintus Veiksmų programos stebėsenos komiteto 2015 m. liepos 9 d. posėdžio nutarimu Nr. 44P-6.1 (8), patikslintus Veiksmų programos stebėsenos komiteto 2017 m. vasario 2 d. posėdžio nutarimu Nr. 44P-1.1(23) ir Veiksmų programos stebėsenos komiteto 2019 m. lapkričio 21 d. posėdžio protokoliniu sprendimu Nr. 44P-11 (47):</w:t>
                      </w:r>
                    </w:p>
                    <w:sdt>
                      <w:sdtPr>
                        <w:alias w:val="14.1 pp."/>
                        <w:tag w:val="part_cf930163a3514097a9394e1d8951a436"/>
                        <w:lock w:val="sdtLocked"/>
                        <w:richText/>
                      </w:sdtPr>
                      <w:sdtContent>
                        <w:p>
                          <w:pPr>
                            <w:tabs>
                              <w:tab w:val="left" w:pos="720"/>
                            </w:tabs>
                            <w:ind w:firstLine="851"/>
                            <w:jc w:val="both"/>
                            <w:rPr>
                              <w:szCs w:val="24"/>
                            </w:rPr>
                          </w:pPr>
                          <w:sdt>
                            <w:sdtPr>
                              <w:alias w:val="Numeris"/>
                              <w:tag w:val="nr_cf930163a3514097a9394e1d8951a436"/>
                              <w:lock w:val="sdtLocked"/>
                              <w:richText/>
                            </w:sdtPr>
                            <w:sdtContent>
                              <w:r>
                                <w:rPr>
                                  <w:szCs w:val="24"/>
                                </w:rPr>
                                <w:t>14.1</w:t>
                              </w:r>
                            </w:sdtContent>
                          </w:sdt>
                          <w:r>
                            <w:rPr>
                              <w:szCs w:val="24"/>
                            </w:rPr>
                            <w:t xml:space="preserve">. projektas turi atitikti Nacionalinės susisiekimo plėtros 2014–2022 metų programos, patvirtintos Lietuvos Respublikos Vyriausybės 2013 m. gruodžio 18 d. nutarimu Nr. 1253 „Dėl Nacionalinės susisiekimo plėtros 2014–2022 metų programos patvirtinimo“, 1 tikslo „Didinti krovinių ir keleivių judumą, gerinant Europos Sąjungos transeuropinio transporto tinklo pagrindinio tinklo koridorius ir jų jungtis su valstybinės ir vietinės reikšmės transporto tinklu bei plėtojant skirtingų transporto rūšių sąveikos efektyvumą“ 2 uždavinį „Plėtoti naują ir pagerinti esamą TEN-T kelių infrastruktūrą ir jungtis su jais“ ir (arba) 5 tikslo „Didinti eismo saugą ir saugumą“ 1 uždavinį „Didinti eismo saugą, diegti technines saugaus eismo priemones ir kitas inovacijas“; </w:t>
                          </w:r>
                        </w:p>
                      </w:sdtContent>
                    </w:sdt>
                    <w:sdt>
                      <w:sdtPr>
                        <w:alias w:val="14.2 pp."/>
                        <w:tag w:val="part_1a49c61f5dd9429fa545e1dba252d57d"/>
                        <w:lock w:val="sdtLocked"/>
                        <w:richText/>
                      </w:sdtPr>
                      <w:sdtContent>
                        <w:p>
                          <w:pPr>
                            <w:tabs>
                              <w:tab w:val="left" w:pos="720"/>
                            </w:tabs>
                            <w:ind w:firstLine="851"/>
                            <w:jc w:val="both"/>
                            <w:rPr>
                              <w:szCs w:val="24"/>
                            </w:rPr>
                          </w:pPr>
                          <w:sdt>
                            <w:sdtPr>
                              <w:alias w:val="Numeris"/>
                              <w:tag w:val="nr_1a49c61f5dd9429fa545e1dba252d57d"/>
                              <w:lock w:val="sdtLocked"/>
                              <w:richText/>
                            </w:sdtPr>
                            <w:sdtContent>
                              <w:r>
                                <w:rPr>
                                  <w:szCs w:val="24"/>
                                </w:rPr>
                                <w:t>14.2</w:t>
                              </w:r>
                            </w:sdtContent>
                          </w:sdt>
                          <w:r>
                            <w:rPr>
                              <w:szCs w:val="24"/>
                            </w:rPr>
                            <w:t>. projektas turi atitikti preliminarų Nacionalinės susisiekimo plėtros 2014–2022 metų programos projektų sąrašą, patvirtintą Lietuvos Respublikos susisiekimo ministro 2015 m. birželio 15 d. įsakymu Nr. 3-249 „Dėl preliminaraus Nacionalinės susisiekimo plėtros 2014–2022 metų programos projektų sąrašo patvirtinimo“</w:t>
                          </w:r>
                          <w:r>
                            <w:rPr>
                              <w:b/>
                              <w:bCs/>
                              <w:szCs w:val="24"/>
                            </w:rPr>
                            <w:t xml:space="preserve"> </w:t>
                          </w:r>
                          <w:r>
                            <w:rPr>
                              <w:szCs w:val="24"/>
                            </w:rPr>
                            <w:t>ir paskelbtą ES struktūrinių fondų interneto svetainėje www.esinvesticijos.lt; laikoma, kad projektas atitinka preliminarų Nacionalinės susisiekimo plėtros 2014–2022 metų programos projektų sąrašą, jeigu atitinka bent vieną iš šio sąrašo 1.2.3.1–1.2.3.6</w:t>
                          </w:r>
                          <w:r>
                            <w:rPr>
                              <w:b/>
                              <w:bCs/>
                              <w:szCs w:val="24"/>
                            </w:rPr>
                            <w:t xml:space="preserve"> </w:t>
                          </w:r>
                          <w:r>
                            <w:rPr>
                              <w:szCs w:val="24"/>
                            </w:rPr>
                            <w:t>papunkčiuose nurodytų projektų, prie jų nurodytas veiklas ir galimus projektų vykdytojus.“</w:t>
                          </w:r>
                        </w:p>
                      </w:sdtContent>
                    </w:sdt>
                  </w:sdtContent>
                </w:sdt>
              </w:sdtContent>
            </w:sdt>
          </w:sdtContent>
        </w:sdt>
        <w:sdt>
          <w:sdtPr>
            <w:alias w:val="3 p."/>
            <w:tag w:val="part_ee9dba669628476fb12fcbcd2fd85066"/>
            <w:lock w:val="sdtLocked"/>
            <w:richText/>
          </w:sdtPr>
          <w:sdtContent>
            <w:p>
              <w:pPr>
                <w:ind w:left="1607" w:hanging="360"/>
                <w:jc w:val="both"/>
                <w:rPr>
                  <w:lang w:eastAsia="lt-LT"/>
                </w:rPr>
              </w:pPr>
              <w:sdt>
                <w:sdtPr>
                  <w:alias w:val="Numeris"/>
                  <w:tag w:val="nr_ee9dba669628476fb12fcbcd2fd85066"/>
                  <w:lock w:val="sdtLocked"/>
                  <w:richText/>
                </w:sdtPr>
                <w:sdtContent>
                  <w:r>
                    <w:rPr>
                      <w:lang w:eastAsia="lt-LT"/>
                    </w:rPr>
                    <w:t>3</w:t>
                  </w:r>
                </w:sdtContent>
              </w:sdt>
              <w:r>
                <w:rPr>
                  <w:lang w:eastAsia="lt-LT"/>
                </w:rPr>
                <w:t>.</w:t>
                <w:tab/>
                <w:t>Pakeičiu 20.1 papunktį ir jį išdėstau taip:</w:t>
              </w:r>
            </w:p>
            <w:sdt>
              <w:sdtPr>
                <w:alias w:val="citata"/>
                <w:tag w:val="part_ef128faa7e25459f8b9788eb7816bca0"/>
                <w:lock w:val="sdtLocked"/>
                <w:richText/>
              </w:sdtPr>
              <w:sdtContent>
                <w:sdt>
                  <w:sdtPr>
                    <w:alias w:val="20.1 pp."/>
                    <w:tag w:val="part_a7d314008e894e64ac6c483225acdc38"/>
                    <w:lock w:val="sdtLocked"/>
                    <w:richText/>
                  </w:sdtPr>
                  <w:sdtContent>
                    <w:p>
                      <w:pPr>
                        <w:ind w:firstLine="1247"/>
                        <w:jc w:val="both"/>
                        <w:rPr>
                          <w:b/>
                          <w:bCs/>
                          <w:lang w:eastAsia="lt-LT"/>
                        </w:rPr>
                      </w:pPr>
                      <w:r>
                        <w:rPr>
                          <w:lang w:eastAsia="lt-LT"/>
                        </w:rPr>
                        <w:t>„</w:t>
                      </w:r>
                      <w:sdt>
                        <w:sdtPr>
                          <w:alias w:val="Numeris"/>
                          <w:tag w:val="nr_a7d314008e894e64ac6c483225acdc38"/>
                          <w:lock w:val="sdtLocked"/>
                          <w:richText/>
                        </w:sdtPr>
                        <w:sdtContent>
                          <w:r>
                            <w:rPr>
                              <w:lang w:eastAsia="lt-LT"/>
                            </w:rPr>
                            <w:t>20.1</w:t>
                          </w:r>
                        </w:sdtContent>
                      </w:sdt>
                      <w:r>
                        <w:rPr>
                          <w:lang w:eastAsia="lt-LT"/>
                        </w:rPr>
                        <w:t>. Iki paraiškos pateikimo pareiškėjas turi būti parengęs ir pateikęs įgyvendinančiajai institucijai įvertinti bent vienos Aprašo 9 punkte nurodytos veiklos pagrindinio viešojo pirkimo dokumentus ir įvykdęs šio pirkimo procedūras (pateikęs įgyvendinančiajai institucijai sudarytos viešojo pirkimo sutarties kopiją). Įvykdyto viešojo pirkimo dokumentus pareiškėjas turi pateikti įgyvendinančiajai institucijai kartu su paraiška.“</w:t>
                      </w:r>
                    </w:p>
                  </w:sdtContent>
                </w:sdt>
              </w:sdtContent>
            </w:sdt>
          </w:sdtContent>
        </w:sdt>
        <w:sdt>
          <w:sdtPr>
            <w:alias w:val="4 p."/>
            <w:tag w:val="part_8c31561f5d874535b81adda85dae9a68"/>
            <w:lock w:val="sdtLocked"/>
            <w:richText/>
          </w:sdtPr>
          <w:sdtContent>
            <w:p>
              <w:pPr>
                <w:ind w:left="1607" w:hanging="360"/>
                <w:jc w:val="both"/>
                <w:rPr>
                  <w:lang w:eastAsia="lt-LT"/>
                </w:rPr>
              </w:pPr>
              <w:sdt>
                <w:sdtPr>
                  <w:alias w:val="Numeris"/>
                  <w:tag w:val="nr_8c31561f5d874535b81adda85dae9a68"/>
                  <w:lock w:val="sdtLocked"/>
                  <w:richText/>
                </w:sdtPr>
                <w:sdtContent>
                  <w:r>
                    <w:rPr>
                      <w:lang w:eastAsia="lt-LT"/>
                    </w:rPr>
                    <w:t>4</w:t>
                  </w:r>
                </w:sdtContent>
              </w:sdt>
              <w:r>
                <w:rPr>
                  <w:lang w:eastAsia="lt-LT"/>
                </w:rPr>
                <w:t>.</w:t>
                <w:tab/>
                <w:t>Pripažįstu netekusiu galios 20.2 papunktį.</w:t>
              </w:r>
            </w:p>
          </w:sdtContent>
        </w:sdt>
        <w:sdt>
          <w:sdtPr>
            <w:alias w:val="5 p."/>
            <w:tag w:val="part_e7139c29c6024b919ab7a5384bb40ad2"/>
            <w:lock w:val="sdtLocked"/>
            <w:richText/>
          </w:sdtPr>
          <w:sdtContent>
            <w:p>
              <w:pPr>
                <w:ind w:left="1607" w:hanging="360"/>
                <w:jc w:val="both"/>
                <w:rPr>
                  <w:lang w:eastAsia="lt-LT"/>
                </w:rPr>
              </w:pPr>
              <w:sdt>
                <w:sdtPr>
                  <w:alias w:val="Numeris"/>
                  <w:tag w:val="nr_e7139c29c6024b919ab7a5384bb40ad2"/>
                  <w:lock w:val="sdtLocked"/>
                  <w:richText/>
                </w:sdtPr>
                <w:sdtContent>
                  <w:r>
                    <w:rPr>
                      <w:lang w:eastAsia="lt-LT"/>
                    </w:rPr>
                    <w:t>5</w:t>
                  </w:r>
                </w:sdtContent>
              </w:sdt>
              <w:r>
                <w:rPr>
                  <w:lang w:eastAsia="lt-LT"/>
                </w:rPr>
                <w:t>.</w:t>
                <w:tab/>
                <w:t>Pakeičiu 20.3.1 papunktį ir jį išdėstau taip:</w:t>
              </w:r>
            </w:p>
            <w:sdt>
              <w:sdtPr>
                <w:alias w:val="citata"/>
                <w:tag w:val="part_5b55d1c2cdfc46368694e17af186c864"/>
                <w:lock w:val="sdtLocked"/>
                <w:richText/>
              </w:sdtPr>
              <w:sdtContent>
                <w:sdt>
                  <w:sdtPr>
                    <w:alias w:val="20.3.1 pp."/>
                    <w:tag w:val="part_6f87f75320fb42818777c1a59ee16b17"/>
                    <w:lock w:val="sdtLocked"/>
                    <w:richText/>
                  </w:sdtPr>
                  <w:sdtContent>
                    <w:p>
                      <w:pPr>
                        <w:ind w:firstLine="1247"/>
                        <w:jc w:val="both"/>
                        <w:rPr>
                          <w:lang w:eastAsia="lt-LT"/>
                        </w:rPr>
                      </w:pPr>
                      <w:r>
                        <w:rPr>
                          <w:lang w:eastAsia="lt-LT"/>
                        </w:rPr>
                        <w:t>„</w:t>
                      </w:r>
                      <w:sdt>
                        <w:sdtPr>
                          <w:alias w:val="Numeris"/>
                          <w:tag w:val="nr_6f87f75320fb42818777c1a59ee16b17"/>
                          <w:lock w:val="sdtLocked"/>
                          <w:richText/>
                        </w:sdtPr>
                        <w:sdtContent>
                          <w:r>
                            <w:rPr>
                              <w:lang w:eastAsia="lt-LT"/>
                            </w:rPr>
                            <w:t>20.3.1</w:t>
                          </w:r>
                        </w:sdtContent>
                      </w:sdt>
                      <w:r>
                        <w:rPr>
                          <w:lang w:eastAsia="lt-LT"/>
                        </w:rPr>
                        <w:t>. patvirtintas statinio projektas (jeigu taikoma) arba</w:t>
                      </w:r>
                      <w:r>
                        <w:rPr>
                          <w:b/>
                          <w:bCs/>
                          <w:lang w:eastAsia="lt-LT"/>
                        </w:rPr>
                        <w:t xml:space="preserve"> </w:t>
                      </w:r>
                      <w:r>
                        <w:rPr>
                          <w:lang w:eastAsia="lt-LT"/>
                        </w:rPr>
                        <w:t>patvirtinta techninė specifikacija;“</w:t>
                      </w:r>
                    </w:p>
                  </w:sdtContent>
                </w:sdt>
              </w:sdtContent>
            </w:sdt>
          </w:sdtContent>
        </w:sdt>
        <w:sdt>
          <w:sdtPr>
            <w:alias w:val="6 p."/>
            <w:tag w:val="part_0787c57f39804c80a95f34e259f271d5"/>
            <w:lock w:val="sdtLocked"/>
            <w:richText/>
          </w:sdtPr>
          <w:sdtContent>
            <w:p>
              <w:pPr>
                <w:ind w:left="1607" w:hanging="360"/>
                <w:jc w:val="both"/>
                <w:rPr>
                  <w:lang w:eastAsia="lt-LT"/>
                </w:rPr>
              </w:pPr>
              <w:sdt>
                <w:sdtPr>
                  <w:alias w:val="Numeris"/>
                  <w:tag w:val="nr_0787c57f39804c80a95f34e259f271d5"/>
                  <w:lock w:val="sdtLocked"/>
                  <w:richText/>
                </w:sdtPr>
                <w:sdtContent>
                  <w:r>
                    <w:rPr>
                      <w:lang w:eastAsia="lt-LT"/>
                    </w:rPr>
                    <w:t>6</w:t>
                  </w:r>
                </w:sdtContent>
              </w:sdt>
              <w:r>
                <w:rPr>
                  <w:lang w:eastAsia="lt-LT"/>
                </w:rPr>
                <w:t>.</w:t>
                <w:tab/>
                <w:t>Pakeičiu 20.3.2 papunktį ir jį išdėstau taip:</w:t>
              </w:r>
            </w:p>
            <w:sdt>
              <w:sdtPr>
                <w:alias w:val="20.3.2 pp."/>
                <w:tag w:val="part_086dc41eef82489a94d8d8d3d734b639"/>
                <w:lock w:val="sdtLocked"/>
                <w:richText/>
              </w:sdtPr>
              <w:sdtContent>
                <w:p>
                  <w:pPr>
                    <w:ind w:firstLine="1247"/>
                    <w:jc w:val="both"/>
                    <w:rPr>
                      <w:lang w:eastAsia="lt-LT"/>
                    </w:rPr>
                  </w:pPr>
                  <w:sdt>
                    <w:sdtPr>
                      <w:alias w:val="Numeris"/>
                      <w:tag w:val="nr_086dc41eef82489a94d8d8d3d734b639"/>
                      <w:lock w:val="sdtLocked"/>
                      <w:richText/>
                    </w:sdtPr>
                    <w:sdtContent>
                      <w:r>
                        <w:rPr>
                          <w:lang w:eastAsia="lt-LT"/>
                        </w:rPr>
                        <w:t>20.3.2</w:t>
                      </w:r>
                    </w:sdtContent>
                  </w:sdt>
                  <w:r>
                    <w:rPr>
                      <w:lang w:eastAsia="lt-LT"/>
                    </w:rPr>
                    <w:t>. gautas statinio projekto ekspertizės paslaugas teikiančio teikėjo</w:t>
                  </w:r>
                  <w:r>
                    <w:rPr>
                      <w:b/>
                      <w:bCs/>
                      <w:lang w:eastAsia="lt-LT"/>
                    </w:rPr>
                    <w:t xml:space="preserve"> </w:t>
                  </w:r>
                  <w:r>
                    <w:rPr>
                      <w:lang w:eastAsia="lt-LT"/>
                    </w:rPr>
                    <w:t>aktas su išvada, kad projektą galima tvirtinti (jeigu taikoma);“</w:t>
                  </w:r>
                </w:p>
              </w:sdtContent>
            </w:sdt>
          </w:sdtContent>
        </w:sdt>
        <w:sdt>
          <w:sdtPr>
            <w:alias w:val="7 p."/>
            <w:tag w:val="part_65ca8ba2e36d4423829f0d3afd441312"/>
            <w:lock w:val="sdtLocked"/>
            <w:richText/>
          </w:sdtPr>
          <w:sdtContent>
            <w:p>
              <w:pPr>
                <w:ind w:left="1607" w:hanging="360"/>
                <w:jc w:val="both"/>
                <w:rPr>
                  <w:lang w:eastAsia="lt-LT"/>
                </w:rPr>
              </w:pPr>
              <w:sdt>
                <w:sdtPr>
                  <w:alias w:val="Numeris"/>
                  <w:tag w:val="nr_65ca8ba2e36d4423829f0d3afd441312"/>
                  <w:lock w:val="sdtLocked"/>
                  <w:richText/>
                </w:sdtPr>
                <w:sdtContent>
                  <w:r>
                    <w:rPr>
                      <w:lang w:eastAsia="lt-LT"/>
                    </w:rPr>
                    <w:t>7</w:t>
                  </w:r>
                </w:sdtContent>
              </w:sdt>
              <w:r>
                <w:rPr>
                  <w:lang w:eastAsia="lt-LT"/>
                </w:rPr>
                <w:t>.</w:t>
                <w:tab/>
                <w:t>Pakeičiu 20.3.6 papunktį ir jį išdėstau taip:</w:t>
              </w:r>
            </w:p>
            <w:sdt>
              <w:sdtPr>
                <w:alias w:val="citata"/>
                <w:tag w:val="part_c0ece16740bc47c18a622835b841ef8d"/>
                <w:lock w:val="sdtLocked"/>
                <w:richText/>
              </w:sdtPr>
              <w:sdtContent>
                <w:sdt>
                  <w:sdtPr>
                    <w:alias w:val="20.3.6 pp."/>
                    <w:tag w:val="part_a9b71c13e5a543a2989987a2e8943454"/>
                    <w:lock w:val="sdtLocked"/>
                    <w:richText/>
                  </w:sdtPr>
                  <w:sdtContent>
                    <w:p>
                      <w:pPr>
                        <w:ind w:firstLine="1247"/>
                        <w:jc w:val="both"/>
                        <w:rPr>
                          <w:lang w:eastAsia="lt-LT"/>
                        </w:rPr>
                      </w:pPr>
                      <w:r>
                        <w:rPr>
                          <w:lang w:eastAsia="lt-LT"/>
                        </w:rPr>
                        <w:t>„</w:t>
                      </w:r>
                      <w:sdt>
                        <w:sdtPr>
                          <w:alias w:val="Numeris"/>
                          <w:tag w:val="nr_a9b71c13e5a543a2989987a2e8943454"/>
                          <w:lock w:val="sdtLocked"/>
                          <w:richText/>
                        </w:sdtPr>
                        <w:sdtContent>
                          <w:r>
                            <w:rPr>
                              <w:lang w:eastAsia="lt-LT"/>
                            </w:rPr>
                            <w:t>20.3.6</w:t>
                          </w:r>
                        </w:sdtContent>
                      </w:sdt>
                      <w:r>
                        <w:rPr>
                          <w:lang w:eastAsia="lt-LT"/>
                        </w:rPr>
                        <w:t>. gautas statybą leidžiantis dokumentas (jeigu taikoma).“</w:t>
                      </w:r>
                    </w:p>
                  </w:sdtContent>
                </w:sdt>
              </w:sdtContent>
            </w:sdt>
          </w:sdtContent>
        </w:sdt>
        <w:sdt>
          <w:sdtPr>
            <w:alias w:val="8 p."/>
            <w:tag w:val="part_bfbd254282154994b7cf363a832125ef"/>
            <w:lock w:val="sdtLocked"/>
            <w:richText/>
          </w:sdtPr>
          <w:sdtContent>
            <w:p>
              <w:pPr>
                <w:ind w:left="1607" w:hanging="360"/>
                <w:jc w:val="both"/>
                <w:rPr>
                  <w:lang w:eastAsia="lt-LT"/>
                </w:rPr>
              </w:pPr>
              <w:sdt>
                <w:sdtPr>
                  <w:alias w:val="Numeris"/>
                  <w:tag w:val="nr_bfbd254282154994b7cf363a832125ef"/>
                  <w:lock w:val="sdtLocked"/>
                  <w:richText/>
                </w:sdtPr>
                <w:sdtContent>
                  <w:r>
                    <w:rPr>
                      <w:lang w:eastAsia="lt-LT"/>
                    </w:rPr>
                    <w:t>8</w:t>
                  </w:r>
                </w:sdtContent>
              </w:sdt>
              <w:r>
                <w:rPr>
                  <w:lang w:eastAsia="lt-LT"/>
                </w:rPr>
                <w:t>.</w:t>
                <w:tab/>
                <w:t>Pakeičiu 24 punktą ir jį išdėstau taip:</w:t>
              </w:r>
            </w:p>
            <w:sdt>
              <w:sdtPr>
                <w:alias w:val="citata"/>
                <w:tag w:val="part_f308eb3b0bb840778bc0877181b0e99b"/>
                <w:lock w:val="sdtLocked"/>
                <w:richText/>
              </w:sdtPr>
              <w:sdtContent>
                <w:sdt>
                  <w:sdtPr>
                    <w:alias w:val="24 p."/>
                    <w:tag w:val="part_ae7f5e429f274e728e4101996d2df7ca"/>
                    <w:lock w:val="sdtLocked"/>
                    <w:richText/>
                  </w:sdtPr>
                  <w:sdtContent>
                    <w:p>
                      <w:pPr>
                        <w:ind w:firstLine="1276"/>
                        <w:jc w:val="both"/>
                        <w:rPr>
                          <w:rFonts w:ascii="Tms Rmn" w:eastAsia="Calibri" w:hAnsi="Tms Rmn"/>
                          <w:szCs w:val="24"/>
                        </w:rPr>
                      </w:pPr>
                      <w:r>
                        <w:rPr>
                          <w:sz w:val="20"/>
                          <w:lang w:eastAsia="lt-LT"/>
                        </w:rPr>
                        <w:t>„</w:t>
                      </w:r>
                      <w:sdt>
                        <w:sdtPr>
                          <w:alias w:val="Numeris"/>
                          <w:tag w:val="nr_ae7f5e429f274e728e4101996d2df7ca"/>
                          <w:lock w:val="sdtLocked"/>
                          <w:richText/>
                        </w:sdtPr>
                        <w:sdtContent>
                          <w:r>
                            <w:rPr>
                              <w:szCs w:val="24"/>
                              <w:lang w:eastAsia="lt-LT"/>
                            </w:rPr>
                            <w:t>24</w:t>
                          </w:r>
                        </w:sdtContent>
                      </w:sdt>
                      <w:r>
                        <w:rPr>
                          <w:szCs w:val="24"/>
                          <w:lang w:eastAsia="lt-LT"/>
                        </w:rPr>
                        <w:t>. Projekto išlaidos turi atitikti Projektų taisyklių VI skyriuje ir Rekomendacijose dėl projektų išlaidų atitikties Europos Sąjungos struktūrinių fondų reikalavimams išdėstytus projekto išlaidoms taikomus reikalavimus. Pagal Aprašą Projektų taisyklių 405.2 papunktyje nustatytas reikalavimas pateikti rangovo, prekių tiekėjo ar paslaugų teikėjo gautą kredito įstaigos išankstinio mokėjimo grąžinimo garantiją, laidavimo ar laidavimo draudimo dokumentą netaikomas.</w:t>
                      </w:r>
                    </w:p>
                  </w:sdtContent>
                </w:sdt>
                <w:sdt>
                  <w:sdtPr>
                    <w:alias w:val="9 p."/>
                    <w:tag w:val="part_cb452b50d8a4450eb1e7f7479ecfea54"/>
                    <w:lock w:val="sdtLocked"/>
                    <w:richText/>
                  </w:sdtPr>
                  <w:sdtContent>
                    <w:p>
                      <w:pPr>
                        <w:ind w:left="1607" w:hanging="360"/>
                        <w:jc w:val="both"/>
                        <w:rPr>
                          <w:lang w:eastAsia="lt-LT"/>
                        </w:rPr>
                      </w:pPr>
                      <w:sdt>
                        <w:sdtPr>
                          <w:alias w:val="Numeris"/>
                          <w:tag w:val="nr_cb452b50d8a4450eb1e7f7479ecfea54"/>
                          <w:lock w:val="sdtLocked"/>
                          <w:richText/>
                        </w:sdtPr>
                        <w:sdtContent>
                          <w:r>
                            <w:rPr>
                              <w:lang w:eastAsia="lt-LT"/>
                            </w:rPr>
                            <w:t>9</w:t>
                          </w:r>
                        </w:sdtContent>
                      </w:sdt>
                      <w:r>
                        <w:rPr>
                          <w:lang w:eastAsia="lt-LT"/>
                        </w:rPr>
                        <w:t>.</w:t>
                        <w:tab/>
                        <w:t>Pakeičiu 32 punktą ir jį išdėstau taip:</w:t>
                      </w:r>
                    </w:p>
                    <w:p>
                      <w:pPr>
                        <w:tabs>
                          <w:tab w:val="left" w:pos="851"/>
                        </w:tabs>
                        <w:ind w:firstLine="1276"/>
                        <w:jc w:val="both"/>
                        <w:rPr>
                          <w:szCs w:val="24"/>
                          <w:lang w:eastAsia="lt-LT"/>
                        </w:rPr>
                      </w:pPr>
                      <w:r>
                        <w:rPr>
                          <w:sz w:val="20"/>
                          <w:lang w:eastAsia="lt-LT"/>
                        </w:rPr>
                        <w:t>„</w:t>
                      </w:r>
                      <w:r>
                        <w:rPr>
                          <w:szCs w:val="24"/>
                        </w:rPr>
                        <w:t>32. Galimi pareiškėjai iki 2020 m. liepos 1 d. turi Ministerijai raštu pateikti projektinį pasiūlymą dėl valstybės projekto įgyvendinimo (toliau – projektinis pasiūlymas) pagal formą, nustatytą Aprašo 2 priede. Kartu su projektiniu pasiūlymu galimi pareiškėjai turi pateikti investicijų projektą, parengtą vadovaujantis Investicijų projektų, kuriems siekiama gauti finansavimą iš Europos Sąjungos struktūrinės paramos ir</w:t>
                      </w:r>
                      <w:r>
                        <w:rPr>
                          <w:b/>
                          <w:bCs/>
                          <w:szCs w:val="24"/>
                        </w:rPr>
                        <w:t xml:space="preserve"> </w:t>
                      </w:r>
                      <w:r>
                        <w:rPr>
                          <w:szCs w:val="24"/>
                        </w:rPr>
                        <w:t>/ ar valstybės biudžeto lėšų, rengimo metodika, patvirtinta VšĮ Centrinės projektų valdymo agentūros direktoriaus 2014 m. gruodžio 31 d. įsakymu Nr. 2014/8-337</w:t>
                      </w:r>
                      <w:r>
                        <w:rPr>
                          <w:b/>
                          <w:bCs/>
                          <w:szCs w:val="24"/>
                        </w:rPr>
                        <w:t xml:space="preserve"> </w:t>
                      </w:r>
                      <w:r>
                        <w:rPr>
                          <w:szCs w:val="24"/>
                        </w:rPr>
                        <w:t xml:space="preserve">(toliau – Investicijų projektų rengimo metodika), kuri skelbiama ES struktūrinių fondų svetainėje www.esinvesticijos.lt. Kartu pateikiamas į elektroninę laikmeną įrašytas investicijų projektas, taip pat jo priedas – sąnaudų ir naudos analizės rezultatų lentelė </w:t>
                      </w:r>
                      <w:r>
                        <w:rPr>
                          <w:i/>
                          <w:szCs w:val="24"/>
                        </w:rPr>
                        <w:t>MS Excel</w:t>
                      </w:r>
                      <w:r>
                        <w:rPr>
                          <w:szCs w:val="24"/>
                        </w:rPr>
                        <w:t xml:space="preserve"> formatu. Investicijų projekte turi būti </w:t>
                      </w:r>
                      <w:r>
                        <w:rPr>
                          <w:color w:val="000000"/>
                          <w:szCs w:val="24"/>
                        </w:rPr>
                        <w:t xml:space="preserve">išnagrinėtas ir palygintas minimalus vertinamų alternatyvų skaičius, ne mažesnis, nei numatyta </w:t>
                      </w:r>
                      <w:r>
                        <w:rPr>
                          <w:szCs w:val="24"/>
                        </w:rPr>
                        <w:t>Investicijų projektų rengimo metodikos 4 priedo lentelėje</w:t>
                      </w:r>
                      <w:r>
                        <w:rPr>
                          <w:b/>
                          <w:bCs/>
                          <w:szCs w:val="24"/>
                        </w:rPr>
                        <w:t xml:space="preserve"> </w:t>
                      </w:r>
                      <w:r>
                        <w:rPr>
                          <w:szCs w:val="24"/>
                        </w:rPr>
                        <w:t>„</w:t>
                      </w:r>
                      <w:r>
                        <w:rPr>
                          <w:color w:val="000000"/>
                          <w:szCs w:val="24"/>
                          <w:bdr w:val="none" w:sz="0" w:space="0" w:color="auto" w:frame="1"/>
                        </w:rPr>
                        <w:t xml:space="preserve">Minimaliai privalomos išnagrinėti ir palyginti projekto įgyvendinimo alternatyvos pagal investavimo </w:t>
                      </w:r>
                      <w:r>
                        <w:rPr>
                          <w:szCs w:val="24"/>
                        </w:rPr>
                        <w:t>objektus ir galimų veiklų sąrašus“. Jeigu projektams yra taikomi teisiniai, ekonominiai ar socialiniai apribojimai ir dėl to investicijų projekte negali būti išnagrinėtos visos</w:t>
                      </w:r>
                      <w:r>
                        <w:rPr>
                          <w:b/>
                          <w:bCs/>
                          <w:szCs w:val="24"/>
                        </w:rPr>
                        <w:t xml:space="preserve"> </w:t>
                      </w:r>
                      <w:r>
                        <w:rPr>
                          <w:szCs w:val="24"/>
                        </w:rPr>
                        <w:t>projekto įgyvendinimo alternatyvos</w:t>
                      </w:r>
                      <w:r>
                        <w:rPr>
                          <w:b/>
                          <w:bCs/>
                          <w:szCs w:val="24"/>
                        </w:rPr>
                        <w:t xml:space="preserve">, </w:t>
                      </w:r>
                      <w:r>
                        <w:rPr>
                          <w:szCs w:val="24"/>
                        </w:rPr>
                        <w:t>kaip numatyta Investicijų projektų rengimo metodikos 4 priedo lentelėje „Minimaliai privalomos išnagrinėti ir palyginti projekto įgyvendinimo alternatyvos pagal investavimo objektus ir galimų veiklų sąrašas“, šie apribojimai turi būti paaiškinti nurodant priežastis investicijų projekto aprašomojoje dalyje, tačiau visais atvejais investicijų projekte turi būti išnagrinėtos ir palygintos bent dvi alternatyvos, kurios skiriasi savo techniniais sprendimais ir / ar įgyvendinimo būdais.“</w:t>
                      </w:r>
                    </w:p>
                  </w:sdtContent>
                </w:sdt>
              </w:sdtContent>
            </w:sdt>
          </w:sdtContent>
        </w:sdt>
        <w:sdt>
          <w:sdtPr>
            <w:alias w:val="10 p."/>
            <w:tag w:val="part_f7bc664bca8040d3827cc04e389a9991"/>
            <w:lock w:val="sdtLocked"/>
            <w:richText/>
          </w:sdtPr>
          <w:sdtContent>
            <w:p>
              <w:pPr>
                <w:ind w:left="1607" w:hanging="360"/>
                <w:jc w:val="both"/>
                <w:rPr>
                  <w:lang w:eastAsia="lt-LT"/>
                </w:rPr>
              </w:pPr>
              <w:sdt>
                <w:sdtPr>
                  <w:alias w:val="Numeris"/>
                  <w:tag w:val="nr_f7bc664bca8040d3827cc04e389a9991"/>
                  <w:lock w:val="sdtLocked"/>
                  <w:richText/>
                </w:sdtPr>
                <w:sdtContent>
                  <w:r>
                    <w:rPr>
                      <w:lang w:eastAsia="lt-LT"/>
                    </w:rPr>
                    <w:t>10</w:t>
                  </w:r>
                </w:sdtContent>
              </w:sdt>
              <w:r>
                <w:rPr>
                  <w:lang w:eastAsia="lt-LT"/>
                </w:rPr>
                <w:t>.</w:t>
                <w:tab/>
                <w:t>Pakeičiu 57 punktą ir jį išdėstau taip:</w:t>
              </w:r>
            </w:p>
            <w:sdt>
              <w:sdtPr>
                <w:alias w:val="citata"/>
                <w:tag w:val="part_99737ea93c5c46ecb63345d23ddaf603"/>
                <w:lock w:val="sdtLocked"/>
                <w:richText/>
              </w:sdtPr>
              <w:sdtContent>
                <w:sdt>
                  <w:sdtPr>
                    <w:alias w:val="57 p."/>
                    <w:tag w:val="part_7916dc4bbc8842d885d756054e9e92f7"/>
                    <w:lock w:val="sdtLocked"/>
                    <w:richText/>
                  </w:sdtPr>
                  <w:sdtContent>
                    <w:p>
                      <w:pPr>
                        <w:ind w:firstLine="1247"/>
                        <w:jc w:val="both"/>
                        <w:rPr>
                          <w:lang w:eastAsia="lt-LT"/>
                        </w:rPr>
                      </w:pPr>
                      <w:r>
                        <w:rPr>
                          <w:lang w:eastAsia="lt-LT"/>
                        </w:rPr>
                        <w:t>„</w:t>
                      </w:r>
                      <w:sdt>
                        <w:sdtPr>
                          <w:alias w:val="Numeris"/>
                          <w:tag w:val="nr_7916dc4bbc8842d885d756054e9e92f7"/>
                          <w:lock w:val="sdtLocked"/>
                          <w:richText/>
                        </w:sdtPr>
                        <w:sdtContent>
                          <w:r>
                            <w:rPr>
                              <w:lang w:eastAsia="lt-LT"/>
                            </w:rPr>
                            <w:t>57</w:t>
                          </w:r>
                        </w:sdtContent>
                      </w:sdt>
                      <w:r>
                        <w:rPr>
                          <w:lang w:eastAsia="lt-LT"/>
                        </w:rPr>
                        <w:t xml:space="preserve">. Projekto vykdytojas privalo užtikrinti, kad visi su projekto įgyvendinimu susiję viešieji pirkimai būtų vykdomi vadovaujantis Lietuvos Respublikos viešųjų pirkimų įstatymu;  projekto sutartys turi būti įgyvendinamos vadovaujantis Lietuvos Respublikos teisės aktais. Statybų darbų projektas turi būti įgyvendinamas</w:t>
                      </w:r>
                      <w:r>
                        <w:rPr>
                          <w:b/>
                          <w:bCs/>
                          <w:lang w:eastAsia="lt-LT"/>
                        </w:rPr>
                        <w:t xml:space="preserve"> </w:t>
                      </w:r>
                      <w:r>
                        <w:rPr>
                          <w:lang w:eastAsia="lt-LT"/>
                        </w:rPr>
                        <w:t>vadovaujantis Lietuvos Respublikos statybos įstatymu, statybos techninių reglamentų reikalavimais ir kitais Lietuvos Respublikos teisės aktais.“</w:t>
                      </w:r>
                    </w:p>
                  </w:sdtContent>
                </w:sdt>
              </w:sdtContent>
            </w:sdt>
          </w:sdtContent>
        </w:sdt>
        <w:sdt>
          <w:sdtPr>
            <w:alias w:val="11 p."/>
            <w:tag w:val="part_880f5dfee232428b9b1f9118b8b39fa9"/>
            <w:lock w:val="sdtLocked"/>
            <w:richText/>
          </w:sdtPr>
          <w:sdtContent>
            <w:p>
              <w:pPr>
                <w:ind w:left="1607" w:hanging="360"/>
                <w:jc w:val="both"/>
                <w:rPr>
                  <w:lang w:eastAsia="lt-LT"/>
                </w:rPr>
              </w:pPr>
              <w:sdt>
                <w:sdtPr>
                  <w:alias w:val="Numeris"/>
                  <w:tag w:val="nr_880f5dfee232428b9b1f9118b8b39fa9"/>
                  <w:lock w:val="sdtLocked"/>
                  <w:richText/>
                </w:sdtPr>
                <w:sdtContent>
                  <w:r>
                    <w:rPr>
                      <w:lang w:eastAsia="lt-LT"/>
                    </w:rPr>
                    <w:t>11</w:t>
                  </w:r>
                </w:sdtContent>
              </w:sdt>
              <w:r>
                <w:rPr>
                  <w:lang w:eastAsia="lt-LT"/>
                </w:rPr>
                <w:t>.</w:t>
                <w:tab/>
                <w:t>Pakeičiu 1 priedą ir jį išdėstau nauja redakcija (pridedama).</w:t>
              </w:r>
            </w:p>
          </w:sdtContent>
        </w:sdt>
        <w:sdt>
          <w:sdtPr>
            <w:alias w:val="12 p."/>
            <w:tag w:val="part_7fd2e495355a4510b12d6d8b36b5d507"/>
            <w:lock w:val="sdtLocked"/>
            <w:richText/>
          </w:sdtPr>
          <w:sdtContent>
            <w:p>
              <w:pPr>
                <w:ind w:left="1607" w:hanging="360"/>
                <w:jc w:val="both"/>
                <w:rPr>
                  <w:lang w:eastAsia="lt-LT"/>
                </w:rPr>
              </w:pPr>
              <w:sdt>
                <w:sdtPr>
                  <w:alias w:val="Numeris"/>
                  <w:tag w:val="nr_7fd2e495355a4510b12d6d8b36b5d507"/>
                  <w:lock w:val="sdtLocked"/>
                  <w:richText/>
                </w:sdtPr>
                <w:sdtContent>
                  <w:r>
                    <w:rPr>
                      <w:lang w:eastAsia="lt-LT"/>
                    </w:rPr>
                    <w:t>12</w:t>
                  </w:r>
                </w:sdtContent>
              </w:sdt>
              <w:r>
                <w:rPr>
                  <w:lang w:eastAsia="lt-LT"/>
                </w:rPr>
                <w:t>.</w:t>
                <w:tab/>
                <w:t>Pripažįstu netekusiu galios 3 priedą.</w:t>
              </w:r>
            </w:p>
            <w:p>
              <w:pPr>
                <w:rPr>
                  <w:lang w:eastAsia="lt-LT"/>
                </w:rPr>
              </w:pPr>
            </w:p>
            <w:p>
              <w:pPr>
                <w:rPr>
                  <w:lang w:eastAsia="lt-LT"/>
                </w:rPr>
              </w:pPr>
            </w:p>
            <w:p>
              <w:pPr>
                <w:rPr>
                  <w:lang w:eastAsia="lt-LT"/>
                </w:rPr>
              </w:pPr>
            </w:p>
            <w:tbl>
              <w:tblPr>
                <w:tblW w:w="0" w:type="auto"/>
                <w:tblLayout w:type="fixed"/>
                <w:tblLook w:val="0000" w:firstRow="0" w:lastRow="0" w:firstColumn="0" w:lastColumn="0" w:noHBand="0" w:noVBand="0"/>
              </w:tblPr>
              <w:tblGrid>
                <w:gridCol w:w="3284"/>
                <w:gridCol w:w="3283"/>
                <w:gridCol w:w="3283"/>
              </w:tblGrid>
              <w:tr>
                <w:trPr>
                  <w:trHeight w:val="240"/>
                </w:trPr>
                <w:tc>
                  <w:tcPr>
                    <w:tcW w:w="3284" w:type="dxa"/>
                  </w:tcPr>
                  <w:p>
                    <w:pPr>
                      <w:rPr>
                        <w:sz w:val="42"/>
                        <w:szCs w:val="42"/>
                      </w:rPr>
                    </w:pPr>
                  </w:p>
                  <w:p>
                    <w:pPr>
                      <w:rPr>
                        <w:lang w:eastAsia="lt-LT"/>
                      </w:rPr>
                    </w:pPr>
                    <w:r>
                      <w:rPr>
                        <w:lang w:eastAsia="lt-LT"/>
                      </w:rPr>
                      <w:t>Susisiekimo ministras</w:t>
                    </w:r>
                  </w:p>
                </w:tc>
                <w:tc>
                  <w:tcPr>
                    <w:tcW w:w="3283" w:type="dxa"/>
                  </w:tcPr>
                  <w:p>
                    <w:pPr>
                      <w:rPr>
                        <w:sz w:val="42"/>
                        <w:szCs w:val="42"/>
                      </w:rPr>
                    </w:pPr>
                  </w:p>
                  <w:p>
                    <w:pPr>
                      <w:rPr>
                        <w:lang w:eastAsia="lt-LT"/>
                      </w:rPr>
                    </w:pPr>
                  </w:p>
                </w:tc>
                <w:tc>
                  <w:tcPr>
                    <w:tcW w:w="3283" w:type="dxa"/>
                  </w:tcPr>
                  <w:p>
                    <w:pPr>
                      <w:rPr>
                        <w:sz w:val="42"/>
                        <w:szCs w:val="42"/>
                      </w:rPr>
                    </w:pPr>
                  </w:p>
                  <w:p>
                    <w:pPr>
                      <w:jc w:val="right"/>
                      <w:rPr>
                        <w:lang w:eastAsia="lt-LT"/>
                      </w:rPr>
                    </w:pPr>
                  </w:p>
                </w:tc>
              </w:tr>
            </w:tbl>
            <w:p>
              <w:pPr>
                <w:rPr>
                  <w:lang w:eastAsia="lt-LT"/>
                </w:rPr>
              </w:pPr>
            </w:p>
            <w:p>
              <w:pPr>
                <w:rPr>
                  <w:lang w:eastAsia="lt-LT"/>
                </w:rPr>
                <w:sectPr>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276" w:right="567" w:bottom="1560" w:left="1701" w:header="567" w:footer="567" w:gutter="0"/>
                  <w:cols w:space="1296"/>
                  <w:titlePg/>
                </w:sectPr>
              </w:pPr>
            </w:p>
          </w:sdtContent>
        </w:sdt>
        <w:sdt>
          <w:sdtPr>
            <w:alias w:val="signatura"/>
            <w:tag w:val="part_a0e3d90efa0b4773a58f8106a15e6f53"/>
            <w:lock w:val="sdtLocked"/>
            <w:richText/>
          </w:sdtPr>
          <w:sdtContent>
            <w:p>
              <w:pPr>
                <w:framePr w:w="2268" w:h="939" w:hSpace="181" w:wrap="auto" w:vAnchor="page" w:hAnchor="page" w:x="1588" w:y="14585" w:anchorLock="1"/>
                <w:rPr>
                  <w:sz w:val="20"/>
                  <w:lang w:eastAsia="lt-LT"/>
                </w:rPr>
              </w:pPr>
              <w:r>
                <w:rPr>
                  <w:sz w:val="20"/>
                  <w:lang w:eastAsia="lt-LT"/>
                </w:rPr>
                <w:t>Parengė</w:t>
              </w:r>
            </w:p>
            <w:p>
              <w:pPr>
                <w:framePr w:w="2268" w:h="939" w:hSpace="181" w:wrap="auto" w:vAnchor="page" w:hAnchor="page" w:x="1588" w:y="14585" w:anchorLock="1"/>
                <w:rPr>
                  <w:sz w:val="20"/>
                  <w:lang w:eastAsia="lt-LT"/>
                </w:rPr>
              </w:pPr>
            </w:p>
            <w:p>
              <w:pPr>
                <w:framePr w:w="2268" w:h="939" w:hSpace="181" w:wrap="auto" w:vAnchor="page" w:hAnchor="page" w:x="1588" w:y="14585" w:anchorLock="1"/>
                <w:rPr>
                  <w:sz w:val="20"/>
                  <w:lang w:eastAsia="lt-LT"/>
                </w:rPr>
              </w:pPr>
              <w:r>
                <w:rPr>
                  <w:sz w:val="20"/>
                  <w:lang w:eastAsia="lt-LT"/>
                </w:rPr>
                <w:t>Jurgita Vitė</w:t>
              </w:r>
            </w:p>
            <w:p>
              <w:pPr>
                <w:framePr w:w="2268" w:h="939" w:hSpace="181" w:wrap="auto" w:vAnchor="page" w:hAnchor="page" w:x="1588" w:y="14585" w:anchorLock="1"/>
                <w:rPr>
                  <w:sz w:val="20"/>
                  <w:lang w:eastAsia="lt-LT"/>
                </w:rPr>
              </w:pPr>
              <w:r>
                <w:rPr>
                  <w:sz w:val="20"/>
                  <w:lang w:eastAsia="lt-LT"/>
                </w:rPr>
                <w:t>2020-02-03</w:t>
              </w:r>
            </w:p>
            <w:p>
              <w:pPr>
                <w:rPr>
                  <w:lang w:eastAsia="lt-LT"/>
                </w:rPr>
              </w:pPr>
            </w:p>
          </w:sdtContent>
        </w:sdt>
      </w:sdtContent>
    </w:sdt>
    <w:sectPr>
      <w:type w:val="continuous"/>
      <w:pgSz w:w="11906" w:h="16838" w:code="9"/>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right"/>
      <w:rPr>
        <w:sz w:val="20"/>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160" w:line="259"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160" w:line="259" w:lineRule="auto"/>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C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4bfcc83885444a189c657776dae6ddba" PartId="2fccbe1dc14148dd9965f2119e5ebfdc">
    <Part Type="punktas" Nr="1" Abbr="1 p." DocPartId="1a738562c5304693b6e57189d3288278" PartId="fdc2e2e137974d878e898411d317b125">
      <Part Type="citata" DocPartId="1d683a1f487c404d8c2e59afde513d1a" PartId="c886de45d6b849d48e8548efb67b3cd7">
        <Part Type="punktas" Nr="4" Abbr="4 p." DocPartId="1f18fff90ba14e209c69c3f9d2fb52c5" PartId="7a08b456991e4e95810a0d6da8ea0ed9"/>
      </Part>
    </Part>
    <Part Type="punktas" Nr="2" Abbr="2 p." DocPartId="1b716df001aa47259039c72d41234df6" PartId="6db1197730de429599c6a83db8692dc4">
      <Part Type="citata" DocPartId="38cfb930b583491a9e04eb7aa0c60a53" PartId="17ae379e74524d8a94f9398c61a238b4">
        <Part Type="punktas" Nr="14" Abbr="14 p." DocPartId="0b6a9876054d41ac96e560d13e7df518" PartId="15b8883b18b04925b659663336ff34d8">
          <Part Type="papunktis" Nr="14.1" Abbr="14.1 pp." DocPartId="f1a70edfe3bf463fa3f798bebc1eeb63" PartId="cf930163a3514097a9394e1d8951a436"/>
          <Part Type="papunktis" Nr="14.2" Abbr="14.2 pp." DocPartId="de0d71fa7e1d432c9e6b8af83ec54bd4" PartId="1a49c61f5dd9429fa545e1dba252d57d"/>
        </Part>
      </Part>
    </Part>
    <Part Type="punktas" Nr="3" Abbr="3 p." DocPartId="473477f44a394883b5854b7c94066dca" PartId="ee9dba669628476fb12fcbcd2fd85066">
      <Part Type="citata" DocPartId="a76e105aeeb3419ba9cf0dafa24c6450" PartId="ef128faa7e25459f8b9788eb7816bca0">
        <Part Type="papunktis" Nr="20.1" Abbr="20.1 pp." DocPartId="c1b0548692eb474fbfdd1d5b80121238" PartId="a7d314008e894e64ac6c483225acdc38"/>
      </Part>
    </Part>
    <Part Type="punktas" Nr="4" Abbr="4 p." DocPartId="710a8ccf8e6a45a0b8a15db53b327330" PartId="8c31561f5d874535b81adda85dae9a68"/>
    <Part Type="punktas" Nr="5" Abbr="5 p." DocPartId="ec3c2594743648e1afb7197920fb7949" PartId="e7139c29c6024b919ab7a5384bb40ad2">
      <Part Type="citata" DocPartId="30ccadf2aa924b7da3b03cbaedf1310d" PartId="5b55d1c2cdfc46368694e17af186c864">
        <Part Type="papunktis" Nr="20.3.1" Abbr="20.3.1 pp." DocPartId="361933014fe244f789f2eba80518c120" PartId="6f87f75320fb42818777c1a59ee16b17"/>
      </Part>
    </Part>
    <Part Type="punktas" Nr="6" Abbr="6 p." DocPartId="5e91667e82b04e78a196225ea2492b26" PartId="0787c57f39804c80a95f34e259f271d5">
      <Part Type="papunktis" Nr="20.3.2" Abbr="20.3.2 pp." Notes="Numeris ne iš eilės. Trūksta dalių? [DocDalys]" DocPartId="e7b3c2e1fb884a85b7a78b5adc221ead" PartId="086dc41eef82489a94d8d8d3d734b639"/>
    </Part>
    <Part Type="punktas" Nr="7" Abbr="7 p." DocPartId="51d3d37e4cc84e9e956a61428e679c28" PartId="65ca8ba2e36d4423829f0d3afd441312">
      <Part Type="citata" DocPartId="344d74c482624e26a7a864aa610f8b80" PartId="c0ece16740bc47c18a622835b841ef8d">
        <Part Type="papunktis" Nr="20.3.6" Abbr="20.3.6 pp." DocPartId="5f2e31a1093744eda26adb29fd2be31d" PartId="a9b71c13e5a543a2989987a2e8943454"/>
      </Part>
    </Part>
    <Part Type="punktas" Nr="8" Abbr="8 p." DocPartId="49521353fc134021b9d177affd83c48b" PartId="bfbd254282154994b7cf363a832125ef">
      <Part Type="citata" DocPartId="71d15c8a6c11453d98716a4a1cdaccd8" PartId="f308eb3b0bb840778bc0877181b0e99b">
        <Part Type="punktas" Nr="24" Abbr="24 p." DocPartId="ab3b31eed8e34ab89a27272e112e2de8" PartId="ae7f5e429f274e728e4101996d2df7ca"/>
        <Part Type="punktas" Nr="9" Abbr="9 p." Notes="Numeris ne iš eilės. Trūksta dalių? [DocDalys]" DocPartId="3bd62bccad34449bbe4066c919ce29a5" PartId="cb452b50d8a4450eb1e7f7479ecfea54"/>
      </Part>
    </Part>
    <Part Type="punktas" Nr="10" Abbr="10 p." Notes="Numeris ne iš eilės. Trūksta dalių? [DocDalys]" DocPartId="fe9138da62ae4e5a9a9257b41a809791" PartId="f7bc664bca8040d3827cc04e389a9991">
      <Part Type="citata" DocPartId="a0ca0d23c09c49649792a93cab36aa8d" PartId="99737ea93c5c46ecb63345d23ddaf603">
        <Part Type="punktas" Nr="57" Abbr="57 p." DocPartId="e77b6f80b3294fc7830919d14b2786e5" PartId="7916dc4bbc8842d885d756054e9e92f7"/>
      </Part>
    </Part>
    <Part Type="punktas" Nr="11" Abbr="11 p." DocPartId="2ba87380cb4943309907fdd84d0cda9f" PartId="880f5dfee232428b9b1f9118b8b39fa9"/>
    <Part Type="punktas" Nr="12" Abbr="12 p." DocPartId="2a8562565b1a442b96d61db2714c73b1" PartId="7fd2e495355a4510b12d6d8b36b5d507"/>
    <Part Type="signatura" DocPartId="4631d1819e0f4c3e90160bd7f0917339" PartId="a0e3d90efa0b4773a58f8106a15e6f53"/>
  </Part>
</Parts>
</file>

<file path=customXml/itemProps1.xml><?xml version="1.0" encoding="utf-8"?>
<ds:datastoreItem xmlns:ds="http://schemas.openxmlformats.org/officeDocument/2006/customXml" ds:itemID="{1AF5CD37-2FAE-45BE-99DA-BA64AFD1A6CF}">
  <ds:schemaRefs>
    <ds:schemaRef ds:uri="http://schemas.openxmlformats.org/officeDocument/2006/bibliography"/>
  </ds:schemaRefs>
</ds:datastoreItem>
</file>

<file path=customXml/itemProps2.xml><?xml version="1.0" encoding="utf-8"?>
<ds:datastoreItem xmlns:ds="http://schemas.openxmlformats.org/officeDocument/2006/customXml" ds:itemID="{3416A8E2-76DB-4707-ABEF-7374DAD0B4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909</Words>
  <Characters>6375</Characters>
  <Application>Microsoft Office Word</Application>
  <DocSecurity>4</DocSecurity>
  <Lines>115</Lines>
  <Paragraphs>40</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7244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2020-02-11T14:27:00Z</dcterms:created>
  <dc:creator>Jurgita Vitė</dc:creator>
  <lastModifiedBy>adlibuser</lastModifiedBy>
  <lastPrinted>2001-05-19T15:01:00Z</lastPrinted>
  <dcterms:modified xsi:type="dcterms:W3CDTF">2020-02-11T14:27:00Z</dcterms:modified>
  <revision>2</revision>
</coreProperties>
</file>