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2d7655712034358809d6a4cd8ea00bf"/>
        <w:lock w:val="sdtLocked"/>
        <w:richText/>
      </w:sdtPr>
      <w:sdtContent>
        <w:p w14:paraId="1D20315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1D20315E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1D20315F" w14:textId="77777777">
          <w:pPr>
            <w:suppressAutoHyphens/>
            <w:ind w:firstLine="2160"/>
            <w:rPr>
              <w:szCs w:val="24"/>
              <w:lang w:eastAsia="ar-SA"/>
            </w:rPr>
          </w:pPr>
        </w:p>
        <w:p w14:paraId="1D203160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1D203161" w14:textId="77777777">
          <w:pPr>
            <w:suppressAutoHyphens/>
            <w:jc w:val="center"/>
            <w:rPr>
              <w:b/>
              <w:bCs/>
              <w:i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ŠIAULIŲ MIESTO SAVIVALDYBĖS TARYBOS 2017 M. SPALIO 5 D. SPRENDIMO NR. T-343 „DĖL </w:t>
          </w:r>
          <w:r>
            <w:rPr>
              <w:b/>
              <w:bCs/>
              <w:iCs/>
              <w:szCs w:val="24"/>
              <w:lang w:eastAsia="ar-SA"/>
            </w:rPr>
            <w:t>BIUDŽETINĖS ĮSTAIGOS ŠIAULIŲ TURIZMO INFORMACIJOS CENTRO TEIKIAMŲ ATLYGINTINŲ PASLAUGŲ SĄRAŠO PATVIRTINIMO“ PAKEITIMO</w:t>
          </w:r>
        </w:p>
        <w:p w14:paraId="1D203162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1D203163" w14:textId="566CB128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2025 m.</w:t>
          </w:r>
          <w:r>
            <w:rPr>
              <w:color w:val="FF0000"/>
              <w:szCs w:val="24"/>
              <w:lang w:eastAsia="ar-SA"/>
            </w:rPr>
            <w:t xml:space="preserve">              </w:t>
          </w:r>
          <w:r>
            <w:rPr>
              <w:szCs w:val="24"/>
              <w:lang w:eastAsia="ar-SA"/>
            </w:rPr>
            <w:t xml:space="preserve">     d. Nr. T- </w:t>
          </w:r>
        </w:p>
        <w:p w14:paraId="1D203164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1D203165" w14:textId="77777777">
          <w:pPr>
            <w:suppressAutoHyphens/>
            <w:rPr>
              <w:szCs w:val="24"/>
              <w:lang w:eastAsia="ar-SA"/>
            </w:rPr>
          </w:pPr>
        </w:p>
        <w:sdt>
          <w:sdtPr>
            <w:alias w:val="preambule"/>
            <w:tag w:val="part_ce801e0f190a4f83a0129d5acc358963"/>
            <w:lock w:val="sdtLocked"/>
            <w:richText/>
          </w:sdtPr>
          <w:sdtContent>
            <w:p w14:paraId="4D8BF078" w14:textId="3B0B2D91">
              <w:pPr>
                <w:tabs>
                  <w:tab w:val="left" w:pos="96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29 punktu, 16 straipsnio 1 dalimi, </w:t>
              </w:r>
              <w:r>
                <w:rPr>
                  <w:szCs w:val="24"/>
                  <w:lang w:eastAsia="ar-SA"/>
                </w:rPr>
                <w:t>atsižvelgdama į Šiaulių miesto savivaldybės įgyvendinto projekto „Gyventojų kortelės integravimas į teikiamų paslaugų valdymą Jelgavos ir Šiaulių savivaldybėse“ (e-Card, LLI-152) rezultatus,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c9ff19e5f0604684916781c04fdc5e23"/>
            <w:lock w:val="sdtLocked"/>
            <w:richText/>
          </w:sdtPr>
          <w:sdtContent>
            <w:p w14:paraId="351B3C83" w14:textId="2201D46D">
              <w:pPr>
                <w:tabs>
                  <w:tab w:val="left" w:pos="96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Pakeisti Šiaulių turizmo informacijos centro teikiamų atlygintinų paslaugų sąrašą, patvirtintą Šiaulių miesto savivaldybės tarybos 2017 m. spalio 5 d. sprendimo Nr. T-343 „Dėl Biudžetinės įstaigos Šiaulių turizmo informacijos centro teikiamų atlygintinų paslaugų sąrašo patvirtinimo“ 1 punktu,</w:t>
              </w:r>
              <w:r>
                <w:rPr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>ir 5 išnašą išdėstyti taip:</w:t>
              </w:r>
            </w:p>
            <w:sdt>
              <w:sdtPr>
                <w:alias w:val="citata"/>
                <w:tag w:val="part_a6af138a384b4dc897a91477924bcf8d"/>
                <w:lock w:val="sdtLocked"/>
                <w:richText/>
              </w:sdtPr>
              <w:sdtContent>
                <w:sdt>
                  <w:sdtPr>
                    <w:alias w:val="pastraipa"/>
                    <w:tag w:val="part_b729a902676c44dc96f6122dcc16459f"/>
                    <w:lock w:val="sdtLocked"/>
                    <w:richText/>
                  </w:sdtPr>
                  <w:sdtContent>
                    <w:p w14:paraId="12AC5287" w14:textId="4829BE16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r>
                        <w:rPr>
                          <w:bCs/>
                          <w:szCs w:val="24"/>
                          <w:vertAlign w:val="superscript"/>
                          <w:lang w:eastAsia="ar-SA"/>
                        </w:rPr>
                        <w:t>5</w:t>
                      </w:r>
                      <w:r>
                        <w:rPr>
                          <w:bCs/>
                          <w:szCs w:val="24"/>
                          <w:lang w:eastAsia="ar-SA"/>
                        </w:rPr>
                        <w:t xml:space="preserve"> Nuolaida taikoma Šiaulių miesto savivaldybėje  gyvenamąją vietą deklaravusiam asmeniui, kuris pateikia fizinę plastikinę šiauliečio kortelę arba naudodamasis mobiliąja programėle „Šiauliai“ pateikia virtualiąją šiauliečio kortelę. </w:t>
                      </w:r>
                      <w:r>
                        <w:rPr>
                          <w:szCs w:val="24"/>
                          <w:lang w:eastAsia="ar-SA"/>
                        </w:rPr>
                        <w:t>Nuolaida netaikoma 14 punkte nurodytoms kultūros paso ir kultūros krepšelio edukacinėms programoms.</w:t>
                      </w:r>
                      <w:r>
                        <w:rPr>
                          <w:bCs/>
                          <w:szCs w:val="24"/>
                          <w:lang w:eastAsia="ar-SA"/>
                        </w:rPr>
                        <w:t>“</w:t>
                      </w:r>
                    </w:p>
                    <w:p w14:paraId="0A2D1F4F" w14:textId="0016C4F0">
                      <w:pPr>
                        <w:tabs>
                          <w:tab w:val="left" w:pos="960"/>
                        </w:tabs>
                        <w:suppressAutoHyphens/>
                        <w:jc w:val="both"/>
                        <w:rPr>
                          <w:szCs w:val="24"/>
                          <w:lang w:eastAsia="ar-SA"/>
                        </w:rPr>
                      </w:pPr>
                    </w:p>
                    <w:p w14:paraId="048DD740" w14:textId="50875E3C">
                      <w:pPr>
                        <w:tabs>
                          <w:tab w:val="left" w:pos="960"/>
                        </w:tabs>
                        <w:suppressAutoHyphens/>
                        <w:jc w:val="both"/>
                        <w:rPr>
                          <w:szCs w:val="24"/>
                          <w:lang w:eastAsia="ar-SA"/>
                        </w:rPr>
                      </w:pPr>
                    </w:p>
                    <w:p w14:paraId="7436FCD4" w14:textId="77777777">
                      <w:pPr>
                        <w:tabs>
                          <w:tab w:val="left" w:pos="960"/>
                        </w:tabs>
                        <w:suppressAutoHyphens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66CEB9BF" w14:textId="64ADCFC4">
                      <w:pPr>
                        <w:tabs>
                          <w:tab w:val="left" w:pos="960"/>
                        </w:tabs>
                        <w:suppressAutoHyphens/>
                        <w:ind w:firstLine="960"/>
                        <w:jc w:val="both"/>
                        <w:rPr>
                          <w:strike/>
                          <w:szCs w:val="24"/>
                          <w:lang w:eastAsia="ar-SA"/>
                        </w:rPr>
                      </w:pPr>
                    </w:p>
                    <w:p w14:paraId="5A92A45D" w14:textId="347F140E">
                      <w:pPr>
                        <w:tabs>
                          <w:tab w:val="left" w:pos="960"/>
                        </w:tabs>
                        <w:suppressAutoHyphens/>
                        <w:jc w:val="both"/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2CA9F53E" w14:textId="77777777">
                      <w:pPr>
                        <w:tabs>
                          <w:tab w:val="left" w:pos="960"/>
                        </w:tabs>
                        <w:suppressAutoHyphens/>
                        <w:jc w:val="both"/>
                        <w:rPr>
                          <w:szCs w:val="24"/>
                          <w:lang w:eastAsia="ar-SA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c186fedf9ab4c709c7da781cae37144"/>
            <w:lock w:val="sdtLocked"/>
            <w:richText/>
          </w:sdtPr>
          <w:sdtContent>
            <w:p w14:paraId="1D20319F" w14:textId="46B86FE8">
              <w:pPr>
                <w:tabs>
                  <w:tab w:val="left" w:pos="9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  <w:tab/>
                <w:t xml:space="preserve"> </w:t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 xml:space="preserve">             </w:t>
              </w:r>
            </w:p>
            <w:p w14:paraId="1D2031A0" w14:textId="77777777">
              <w:pPr>
                <w:tabs>
                  <w:tab w:val="left" w:pos="9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D2031A1" w14:textId="77777777">
              <w:pPr>
                <w:tabs>
                  <w:tab w:val="left" w:pos="9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D2031AB" w14:textId="77777777">
              <w:pPr>
                <w:tabs>
                  <w:tab w:val="left" w:pos="960"/>
                </w:tabs>
                <w:suppressAutoHyphens/>
                <w:jc w:val="both"/>
                <w:rPr>
                  <w:szCs w:val="24"/>
                  <w:lang w:val="en-GB" w:eastAsia="ar-SA"/>
                </w:rPr>
              </w:pPr>
            </w:p>
            <w:p w14:paraId="1D2031AC" w14:textId="77777777">
              <w:pPr>
                <w:tabs>
                  <w:tab w:val="left" w:pos="960"/>
                </w:tabs>
                <w:suppressAutoHyphens/>
                <w:jc w:val="both"/>
                <w:rPr>
                  <w:szCs w:val="24"/>
                  <w:lang w:val="en-GB" w:eastAsia="ar-SA"/>
                </w:rPr>
              </w:pPr>
            </w:p>
            <w:p w14:paraId="1D2031AD" w14:textId="77777777">
              <w:pPr>
                <w:tabs>
                  <w:tab w:val="left" w:pos="960"/>
                </w:tabs>
                <w:suppressAutoHyphens/>
                <w:jc w:val="both"/>
                <w:rPr>
                  <w:szCs w:val="24"/>
                  <w:lang w:val="en-GB" w:eastAsia="ar-SA"/>
                </w:rPr>
              </w:pPr>
            </w:p>
            <w:p w14:paraId="1D2031AE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pgSz w:w="11906" w:h="16838"/>
      <w:pgMar w:top="1078" w:right="567" w:bottom="1134" w:left="1701" w:header="72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8C3A7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6BE96C63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  <w:endnote w:type="continuationNotice" w:id="1">
    <w:p w14:paraId="2E6ED94B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5A417F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6AE6ED62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  <w:footnote w:type="continuationNotice" w:id="1">
    <w:p w14:paraId="43EA3F1A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ACEED2" w14:textId="6E0F9872">
    <w:pPr>
      <w:tabs>
        <w:tab w:val="center" w:pos="4153"/>
        <w:tab w:val="right" w:pos="8306"/>
      </w:tabs>
      <w:suppressAutoHyphens/>
      <w:jc w:val="center"/>
      <w:rPr>
        <w:szCs w:val="24"/>
        <w:lang w:val="en-GB" w:eastAsia="ar-SA"/>
      </w:rPr>
    </w:pPr>
    <w:r>
      <w:rPr>
        <w:szCs w:val="24"/>
        <w:lang w:val="en-GB" w:eastAsia="ar-SA"/>
      </w:rPr>
      <w:fldChar w:fldCharType="begin"/>
    </w:r>
    <w:r>
      <w:rPr>
        <w:szCs w:val="24"/>
        <w:lang w:val="en-GB" w:eastAsia="ar-SA"/>
      </w:rPr>
      <w:instrText>PAGE   \* MERGEFORMAT</w:instrText>
    </w:r>
    <w:r>
      <w:rPr>
        <w:szCs w:val="24"/>
        <w:lang w:val="en-GB"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val="en-GB" w:eastAsia="ar-SA"/>
      </w:rPr>
      <w:fldChar w:fldCharType="end"/>
    </w:r>
  </w:p>
  <w:p w14:paraId="135C3BF4" w14:textId="77777777">
    <w:pPr>
      <w:tabs>
        <w:tab w:val="center" w:pos="4153"/>
        <w:tab w:val="right" w:pos="8306"/>
      </w:tabs>
      <w:suppressAutoHyphens/>
      <w:rPr>
        <w:szCs w:val="24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D792C" w14:textId="7229F9AD">
    <w:pPr>
      <w:tabs>
        <w:tab w:val="center" w:pos="4153"/>
        <w:tab w:val="right" w:pos="8306"/>
      </w:tabs>
      <w:suppressAutoHyphens/>
      <w:ind w:left="567" w:firstLine="7371"/>
      <w:rPr>
        <w:b/>
        <w:szCs w:val="24"/>
        <w:lang w:val="en-GB" w:eastAsia="ar-SA"/>
      </w:rPr>
    </w:pPr>
    <w:r>
      <w:rPr>
        <w:b/>
        <w:szCs w:val="24"/>
        <w:lang w:val="en-GB" w:eastAsia="ar-SA"/>
      </w:rPr>
      <w:t xml:space="preserve">Projektas </w:t>
    </w:r>
  </w:p>
  <w:p w14:paraId="1D2031B3" w14:textId="5B45948F">
    <w:pPr>
      <w:tabs>
        <w:tab w:val="center" w:pos="4153"/>
        <w:tab w:val="right" w:pos="8306"/>
      </w:tabs>
      <w:suppressAutoHyphens/>
      <w:jc w:val="right"/>
      <w:rPr>
        <w:b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1D20315D"/>
  <w15:docId w15:val="{DDC6DE17-D667-46CD-829C-03784927F8E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256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f8a5ef4a9594933903c4c4b2e199211" PartId="22d7655712034358809d6a4cd8ea00bf">
    <Part Type="preambule" DocPartId="8669f2de325d422da4872677cc7986e4" PartId="ce801e0f190a4f83a0129d5acc358963"/>
    <Part Type="pastraipa" DocPartId="169243b788c34cf79595ae34ddfc438d" PartId="c9ff19e5f0604684916781c04fdc5e23">
      <Part Type="citata" DocPartId="8e20e274888a40ae8beb7cb6dbd841ad" PartId="a6af138a384b4dc897a91477924bcf8d">
        <Part Type="pastraipa" DocPartId="14eb202e867d455187d395933ff1c9b2" PartId="b729a902676c44dc96f6122dcc16459f"/>
      </Part>
    </Part>
    <Part Type="signatura" DocPartId="d02ae959e9494a809b2365b59b066758" PartId="5c186fedf9ab4c709c7da781cae37144"/>
  </Part>
</Parts>
</file>

<file path=customXml/itemProps1.xml><?xml version="1.0" encoding="utf-8"?>
<ds:datastoreItem xmlns:ds="http://schemas.openxmlformats.org/officeDocument/2006/customXml" ds:itemID="{DB1FAA51-836F-4C92-A6EA-6C0BD77A0F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166</Words>
  <Characters>1209</Characters>
  <Application>Microsoft Office Word</Application>
  <DocSecurity>4</DocSecurity>
  <Lines>39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2025-01-08T12:40:00Z</dcterms:created>
  <dc:creator>b.bendziuviene</dc:creator>
  <lastModifiedBy>adlibuser</lastModifiedBy>
  <lastPrinted>2014-09-05T08:08:00Z</lastPrinted>
  <dcterms:modified xsi:type="dcterms:W3CDTF">2025-01-08T12:40:00Z</dcterms:modified>
  <revision>2</revision>
</coreProperties>
</file>