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3bbff663884a099829b828a7fdacf5"/>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„ILGALAIKĖS PRIEŽIŪROS PASLAUGŲ PLĖTRA RADVILIŠKIO RAJONE“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728f84b3026546fc9044902ef48736a4"/>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2025 m. birželio 16 d. sprendimu Nr. ŠR/TS-10 „Dėl Šiaulių regiono plėtros tarybos 2023 m. vasario 8 d. sprendimo Nr. ŠR/TS-6 „Dėl 2022–2030 metų Šiaulių regiono plėtros plano patvirtinimo“ pakeitimo“ (toliau – Šiaulių RPP), Regioninės pažangos priemonės Nr. 11-002-02-11-02 (RE) „Užtikrinti ilgalaikės priežiūros paslaugų plėtrą“ finansavimo gairės, patvirtintos Lietuvos Respublikos sveikatos ministro 2023 m. lapkričio 6 d. įsakymu Nr. V-1145 „Dėl Regioninės pažangos priemonės Nr. 11-002-02-11-02 (RE) „Užtikrinti ilgalaikės priežiūros paslaugų plėtrą“ finansavimo gairių patvirtinimo“ (toliau – Gairės), Radviliškio rajono savivaldybės taryba </w:t>
              </w:r>
              <w:r>
                <w:rPr>
                  <w:spacing w:val="50"/>
                  <w:szCs w:val="24"/>
                </w:rPr>
                <w:t>nusprendži</w:t>
              </w:r>
              <w:r>
                <w:rPr>
                  <w:szCs w:val="24"/>
                </w:rPr>
                <w:t>a:</w:t>
              </w:r>
            </w:p>
          </w:sdtContent>
        </w:sdt>
        <w:sdt>
          <w:sdtPr>
            <w:alias w:val="1 p."/>
            <w:tag w:val="part_6c0d70b6ee72457091df8fa4d69c6f31"/>
            <w:lock w:val="sdtLocked"/>
            <w:richText/>
          </w:sdtPr>
          <w:sdtContent>
            <w:p>
              <w:pPr>
                <w:spacing w:line="276" w:lineRule="auto"/>
                <w:ind w:firstLine="851"/>
                <w:jc w:val="both"/>
                <w:rPr>
                  <w:szCs w:val="24"/>
                </w:rPr>
              </w:pPr>
              <w:sdt>
                <w:sdtPr>
                  <w:alias w:val="Numeris"/>
                  <w:tag w:val="nr_6c0d70b6ee72457091df8fa4d69c6f31"/>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„Ilgalaikės priežiūros paslaugų plėtra Radviliškio rajone</w:t>
              </w:r>
              <w:r>
                <w:rPr>
                  <w:szCs w:val="24"/>
                </w:rPr>
                <w:t>“</w:t>
              </w:r>
              <w:r>
                <w:rPr>
                  <w:color w:val="000000"/>
                  <w:szCs w:val="24"/>
                </w:rPr>
                <w:t xml:space="preserve"> (toliau – Projektas).</w:t>
              </w:r>
            </w:p>
          </w:sdtContent>
        </w:sdt>
        <w:sdt>
          <w:sdtPr>
            <w:alias w:val="2 p."/>
            <w:tag w:val="part_bd22de6048484d97b7062d686d47915d"/>
            <w:lock w:val="sdtLocked"/>
            <w:richText/>
          </w:sdtPr>
          <w:sdtContent>
            <w:p>
              <w:pPr>
                <w:spacing w:line="276" w:lineRule="auto"/>
                <w:ind w:firstLine="851"/>
                <w:jc w:val="both"/>
                <w:rPr>
                  <w:szCs w:val="24"/>
                </w:rPr>
              </w:pPr>
              <w:sdt>
                <w:sdtPr>
                  <w:alias w:val="Numeris"/>
                  <w:tag w:val="nr_bd22de6048484d97b7062d686d47915d"/>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 xml:space="preserve">rojekto įgyvendinimo planą (toliau – PĮP) bei kitus reikalingus dokumentus, siekiant gauti finansavimą bei, projektui gavus finansavimą, pasirašyti kitus dokumentus, reikalingus Projekto </w:t>
              </w:r>
              <w:r>
                <w:rPr>
                  <w:szCs w:val="24"/>
                </w:rPr>
                <w:t>įgyvendinimui</w:t>
              </w:r>
              <w:r>
                <w:rPr>
                  <w:color w:val="000000"/>
                  <w:szCs w:val="24"/>
                </w:rPr>
                <w:t>.</w:t>
              </w:r>
            </w:p>
          </w:sdtContent>
        </w:sdt>
        <w:sdt>
          <w:sdtPr>
            <w:alias w:val="3 p."/>
            <w:tag w:val="part_ca2e85bb89fb40649469d39c06c2ab57"/>
            <w:lock w:val="sdtLocked"/>
            <w:richText/>
          </w:sdtPr>
          <w:sdtContent>
            <w:p>
              <w:pPr>
                <w:spacing w:line="276" w:lineRule="auto"/>
                <w:ind w:firstLine="851"/>
                <w:jc w:val="both"/>
                <w:rPr>
                  <w:szCs w:val="24"/>
                </w:rPr>
              </w:pPr>
              <w:sdt>
                <w:sdtPr>
                  <w:alias w:val="Numeris"/>
                  <w:tag w:val="nr_ca2e85bb89fb40649469d39c06c2ab57"/>
                  <w:lock w:val="sdtLocked"/>
                  <w:richText/>
                </w:sdtPr>
                <w:sdtContent>
                  <w:r>
                    <w:rPr>
                      <w:szCs w:val="24"/>
                    </w:rPr>
                    <w:t>3</w:t>
                  </w:r>
                </w:sdtContent>
              </w:sdt>
              <w:r>
                <w:rPr>
                  <w:szCs w:val="24"/>
                </w:rPr>
                <w:t>.</w:t>
                <w:tab/>
              </w:r>
              <w:r>
                <w:rPr>
                  <w:color w:val="000000"/>
                  <w:szCs w:val="24"/>
                </w:rPr>
                <w:t>Projekto partneriu skirti viešąją įstaigą Radviliškio ligoninę.</w:t>
              </w:r>
            </w:p>
          </w:sdtContent>
        </w:sdt>
        <w:sdt>
          <w:sdtPr>
            <w:alias w:val="4 p."/>
            <w:tag w:val="part_67940b3239f54a49a430d97ca77ed1ed"/>
            <w:lock w:val="sdtLocked"/>
            <w:richText/>
          </w:sdtPr>
          <w:sdtContent>
            <w:p>
              <w:pPr>
                <w:tabs>
                  <w:tab w:val="left" w:pos="993"/>
                </w:tabs>
                <w:spacing w:line="276" w:lineRule="auto"/>
                <w:ind w:firstLine="851"/>
                <w:jc w:val="both"/>
                <w:rPr>
                  <w:szCs w:val="24"/>
                </w:rPr>
              </w:pPr>
              <w:sdt>
                <w:sdtPr>
                  <w:alias w:val="Numeris"/>
                  <w:tag w:val="nr_67940b3239f54a49a430d97ca77ed1ed"/>
                  <w:lock w:val="sdtLocked"/>
                  <w:richText/>
                </w:sdtPr>
                <w:sdtContent>
                  <w:r>
                    <w:rPr>
                      <w:szCs w:val="24"/>
                    </w:rPr>
                    <w:t>4</w:t>
                  </w:r>
                </w:sdtContent>
              </w:sdt>
              <w:r>
                <w:rPr>
                  <w:szCs w:val="24"/>
                </w:rPr>
                <w:t>.</w:t>
                <w:tab/>
                <w:t xml:space="preserve">Įsipareigoti skirti Radviliškio rajono savivaldybės biudžeto lėšas Projekto išlaidų finansavimui: </w:t>
              </w:r>
            </w:p>
            <w:sdt>
              <w:sdtPr>
                <w:alias w:val="4.1 pp."/>
                <w:tag w:val="part_b09948eeef7d44cfbe82671d26d1dcd1"/>
                <w:lock w:val="sdtLocked"/>
                <w:richText/>
              </w:sdtPr>
              <w:sdtContent>
                <w:p>
                  <w:pPr>
                    <w:tabs>
                      <w:tab w:val="left" w:pos="993"/>
                    </w:tabs>
                    <w:spacing w:line="276" w:lineRule="auto"/>
                    <w:ind w:left="851"/>
                    <w:jc w:val="both"/>
                    <w:rPr>
                      <w:szCs w:val="24"/>
                    </w:rPr>
                  </w:pPr>
                  <w:sdt>
                    <w:sdtPr>
                      <w:alias w:val="Numeris"/>
                      <w:tag w:val="nr_b09948eeef7d44cfbe82671d26d1dcd1"/>
                      <w:lock w:val="sdtLocked"/>
                      <w:richText/>
                    </w:sdtPr>
                    <w:sdtContent>
                      <w:r>
                        <w:rPr>
                          <w:szCs w:val="24"/>
                        </w:rPr>
                        <w:t>4.1</w:t>
                      </w:r>
                    </w:sdtContent>
                  </w:sdt>
                  <w:r>
                    <w:rPr>
                      <w:szCs w:val="24"/>
                    </w:rPr>
                    <w:t xml:space="preserve">. ne mažiau 15 procentų visų tinkamų finansuoti; </w:t>
                  </w:r>
                </w:p>
              </w:sdtContent>
            </w:sdt>
            <w:sdt>
              <w:sdtPr>
                <w:alias w:val="4.2 pp."/>
                <w:tag w:val="part_9f6250d110b94541afa185f09131f290"/>
                <w:lock w:val="sdtLocked"/>
                <w:richText/>
              </w:sdtPr>
              <w:sdtContent>
                <w:p>
                  <w:pPr>
                    <w:tabs>
                      <w:tab w:val="left" w:pos="993"/>
                    </w:tabs>
                    <w:spacing w:line="276" w:lineRule="auto"/>
                    <w:ind w:left="851"/>
                    <w:jc w:val="both"/>
                    <w:rPr>
                      <w:szCs w:val="24"/>
                    </w:rPr>
                  </w:pPr>
                  <w:sdt>
                    <w:sdtPr>
                      <w:alias w:val="Numeris"/>
                      <w:tag w:val="nr_9f6250d110b94541afa185f09131f290"/>
                      <w:lock w:val="sdtLocked"/>
                      <w:richText/>
                    </w:sdtPr>
                    <w:sdtContent>
                      <w:r>
                        <w:rPr>
                          <w:szCs w:val="24"/>
                        </w:rPr>
                        <w:t>4.2</w:t>
                      </w:r>
                    </w:sdtContent>
                  </w:sdt>
                  <w:r>
                    <w:rPr>
                      <w:szCs w:val="24"/>
                    </w:rPr>
                    <w:t>. tinkamas finansuoti išlaidas, kurių nepadengia projektui skirtos finansavimo lėšos;</w:t>
                  </w:r>
                </w:p>
              </w:sdtContent>
            </w:sdt>
            <w:sdt>
              <w:sdtPr>
                <w:alias w:val="4.3 pp."/>
                <w:tag w:val="part_d5f58e0c89d54554b269389c41efcf59"/>
                <w:lock w:val="sdtLocked"/>
                <w:richText/>
              </w:sdtPr>
              <w:sdtContent>
                <w:p>
                  <w:pPr>
                    <w:tabs>
                      <w:tab w:val="left" w:pos="993"/>
                    </w:tabs>
                    <w:spacing w:line="276" w:lineRule="auto"/>
                    <w:ind w:left="851"/>
                    <w:jc w:val="both"/>
                    <w:rPr>
                      <w:szCs w:val="24"/>
                    </w:rPr>
                  </w:pPr>
                  <w:sdt>
                    <w:sdtPr>
                      <w:alias w:val="Numeris"/>
                      <w:tag w:val="nr_d5f58e0c89d54554b269389c41efcf59"/>
                      <w:lock w:val="sdtLocked"/>
                      <w:richText/>
                    </w:sdtPr>
                    <w:sdtContent>
                      <w:r>
                        <w:rPr>
                          <w:szCs w:val="24"/>
                        </w:rPr>
                        <w:t>4.3</w:t>
                      </w:r>
                    </w:sdtContent>
                  </w:sdt>
                  <w:r>
                    <w:rPr>
                      <w:szCs w:val="24"/>
                    </w:rPr>
                    <w:t>. netinkamas finansuoti, tačiau šiam Projektui įgyvendinti būtinas išlaidas.</w:t>
                  </w:r>
                </w:p>
              </w:sdtContent>
            </w:sdt>
          </w:sdtContent>
        </w:sdt>
        <w:sdt>
          <w:sdtPr>
            <w:alias w:val="5 p."/>
            <w:tag w:val="part_e837d2cbebdf47219d8b2570de19b2a8"/>
            <w:lock w:val="sdtLocked"/>
            <w:richText/>
          </w:sdtPr>
          <w:sdtContent>
            <w:p>
              <w:pPr>
                <w:tabs>
                  <w:tab w:val="left" w:pos="993"/>
                </w:tabs>
                <w:spacing w:line="276" w:lineRule="auto"/>
                <w:ind w:left="851"/>
                <w:jc w:val="both"/>
                <w:rPr>
                  <w:szCs w:val="24"/>
                </w:rPr>
              </w:pPr>
              <w:sdt>
                <w:sdtPr>
                  <w:alias w:val="Numeris"/>
                  <w:tag w:val="nr_e837d2cbebdf47219d8b2570de19b2a8"/>
                  <w:lock w:val="sdtLocked"/>
                  <w:richText/>
                </w:sdtPr>
                <w:sdtContent>
                  <w:r>
                    <w:rPr>
                      <w:szCs w:val="24"/>
                    </w:rPr>
                    <w:t>5</w:t>
                  </w:r>
                </w:sdtContent>
              </w:sdt>
              <w:r>
                <w:rPr>
                  <w:szCs w:val="24"/>
                </w:rPr>
                <w:t>. Užtikrinti Projekto tęstinumą 5 metus po Projekto įgyvendinimo pabaigos.</w:t>
              </w:r>
            </w:p>
          </w:sdtContent>
        </w:sdt>
        <w:sdt>
          <w:sdtPr>
            <w:alias w:val="6 p."/>
            <w:tag w:val="part_b0ea7d9e1f6a4bce89c7c4cf225d0932"/>
            <w:lock w:val="sdtLocked"/>
            <w:richText/>
          </w:sdtPr>
          <w:sdtContent>
            <w:p>
              <w:pPr>
                <w:spacing w:line="276" w:lineRule="auto"/>
                <w:ind w:firstLine="851"/>
                <w:jc w:val="both"/>
                <w:rPr>
                  <w:szCs w:val="24"/>
                </w:rPr>
              </w:pPr>
              <w:sdt>
                <w:sdtPr>
                  <w:alias w:val="Numeris"/>
                  <w:tag w:val="nr_b0ea7d9e1f6a4bce89c7c4cf225d0932"/>
                  <w:lock w:val="sdtLocked"/>
                  <w:richText/>
                </w:sdtPr>
                <w:sdtContent>
                  <w:r>
                    <w:rPr>
                      <w:szCs w:val="24"/>
                    </w:rPr>
                    <w:t>6</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529551b8f654418c8c73f80da25c3d76"/>
            <w:lock w:val="sdtLocked"/>
            <w:richText/>
          </w:sdtPr>
          <w:sdtContent>
            <w:sdt>
              <w:sdtPr>
                <w:alias w:val="Pavadinimas"/>
                <w:tag w:val="title_529551b8f654418c8c73f80da25c3d76"/>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caps/>
                      <w:szCs w:val="24"/>
                    </w:rPr>
                    <w:t xml:space="preserve">„ILGALAIKĖS PRIEŽIŪROS PASLAUGŲ PLĖTRA RADVILIŠKIO RAJONE“ </w:t>
                  </w:r>
                  <w:r>
                    <w:rPr>
                      <w:b/>
                      <w:bCs/>
                      <w:szCs w:val="24"/>
                    </w:rPr>
                    <w:t xml:space="preserve">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2025-07-29</w:t>
              </w:r>
            </w:p>
            <w:p>
              <w:pPr>
                <w:jc w:val="center"/>
                <w:rPr>
                  <w:szCs w:val="24"/>
                </w:rPr>
              </w:pPr>
              <w:r>
                <w:rPr>
                  <w:szCs w:val="24"/>
                </w:rPr>
                <w:t>Radviliškis</w:t>
              </w:r>
            </w:p>
            <w:p>
              <w:pPr>
                <w:rPr>
                  <w:szCs w:val="24"/>
                </w:rPr>
              </w:pPr>
            </w:p>
            <w:sdt>
              <w:sdtPr>
                <w:alias w:val="1 p."/>
                <w:tag w:val="part_44c8e47519a141559b1dc29b7c9a6526"/>
                <w:lock w:val="sdtLocked"/>
                <w:richText/>
              </w:sdtPr>
              <w:sdtContent>
                <w:p>
                  <w:pPr>
                    <w:tabs>
                      <w:tab w:val="left" w:pos="855"/>
                      <w:tab w:val="left" w:pos="1276"/>
                    </w:tabs>
                    <w:suppressAutoHyphens/>
                    <w:ind w:firstLine="709"/>
                    <w:jc w:val="both"/>
                    <w:rPr>
                      <w:shd w:val="clear" w:color="auto" w:fill="FFFFFF"/>
                      <w:lang w:eastAsia="ar-SA"/>
                    </w:rPr>
                  </w:pPr>
                  <w:sdt>
                    <w:sdtPr>
                      <w:alias w:val="Numeris"/>
                      <w:tag w:val="nr_44c8e47519a141559b1dc29b7c9a6526"/>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ind w:firstLine="709"/>
                    <w:jc w:val="both"/>
                    <w:rPr>
                      <w:szCs w:val="24"/>
                    </w:rPr>
                  </w:pPr>
                  <w:r>
                    <w:rPr>
                      <w:szCs w:val="24"/>
                    </w:rPr>
                    <w:t xml:space="preserve">Paskelbtas kvietimas teikti projekto </w:t>
                  </w:r>
                  <w:r>
                    <w:rPr>
                      <w:color w:val="000000"/>
                      <w:szCs w:val="24"/>
                    </w:rPr>
                    <w:t>„Ilgalaikės priežiūros paslaugų plėtra Radviliškio rajone</w:t>
                  </w:r>
                  <w:r>
                    <w:rPr>
                      <w:szCs w:val="24"/>
                    </w:rPr>
                    <w:t>“</w:t>
                  </w:r>
                  <w:r>
                    <w:rPr>
                      <w:color w:val="000000"/>
                      <w:szCs w:val="24"/>
                    </w:rPr>
                    <w:t xml:space="preserve"> </w:t>
                  </w:r>
                  <w:r>
                    <w:rPr>
                      <w:szCs w:val="24"/>
                    </w:rPr>
                    <w:t>įgyvendinimo planą (toliau – PĮP). Pateikimo terminas 2025 m. rugsėjo 15 d. Kvietimas parengtas vadovaujantis 2022–2030 m. Šiaulių regiono plėtros planu, patvirtintu Šiaulių regiono plėtros tarybos 2025 m. birželio 16 d. sprendimu Nr. ŠR/TS-10 „Dėl Šiaulių regiono plėtros tarybos 2023 m. vasario 8 d. sprendimo Nr. ŠR/TS-6 „Dėl 2022–2030 metų Šiaulių regiono plėtros plano patvirtinimo“ pakeitimo“ (toliau – Šiaulių RPP), Regioninės pažangos priemonės Nr. 11-002-02-11-02 (RE) „Užtikrinti ilgalaikės priežiūros paslaugų plėtrą“ finansavimo gairės, patvirtintos Lietuvos Respublikos sveikatos ministro 2023 m. lapkričio 6 d. įsakymu Nr. V-1145 „Dėl Regioninės pažangos priemonės Nr. 11-002-02-11-02 (RE) „Užtikrinti ilgalaikės priežiūros paslaugų plėtrą“ finansavimo gairių patvirtinimo“ (toliau – Gairės).</w:t>
                  </w:r>
                </w:p>
                <w:p>
                  <w:pPr>
                    <w:ind w:firstLine="680"/>
                    <w:jc w:val="both"/>
                    <w:rPr>
                      <w:szCs w:val="24"/>
                    </w:rPr>
                  </w:pPr>
                  <w:r>
                    <w:rPr>
                      <w:szCs w:val="24"/>
                    </w:rPr>
                    <w:t xml:space="preserve">Projekto tikslas – </w:t>
                  </w:r>
                  <w:r>
                    <w:rPr>
                      <w:rFonts w:eastAsia="Calibri"/>
                      <w:iCs/>
                      <w:szCs w:val="24"/>
                    </w:rPr>
                    <w:t>stacionarinių slaugos paslaugų žmonėms, sergantiems demencija ir Alzheimerio liga, infrastruktūros išplėtimas ir modernizavimas Radviliškio rajone. Vykdant šią veiklą, planuojama pastatyti naują ~840 m² pastatą ir įrengti 24 vietų Radviliškio ligoninės demencijos skyrių, nupirkti darbui reikalingą įrangą, baldus.</w:t>
                  </w:r>
                </w:p>
              </w:sdtContent>
            </w:sdt>
            <w:sdt>
              <w:sdtPr>
                <w:alias w:val="2 p."/>
                <w:tag w:val="part_36c7bac2e72c4fe481acdd5a476f8151"/>
                <w:lock w:val="sdtLocked"/>
                <w:richText/>
              </w:sdtPr>
              <w:sdtContent>
                <w:p>
                  <w:pPr>
                    <w:suppressAutoHyphens/>
                    <w:ind w:left="1040" w:hanging="360"/>
                    <w:jc w:val="both"/>
                    <w:rPr>
                      <w:szCs w:val="24"/>
                    </w:rPr>
                  </w:pPr>
                  <w:sdt>
                    <w:sdtPr>
                      <w:alias w:val="Numeris"/>
                      <w:tag w:val="nr_36c7bac2e72c4fe481acdd5a476f8151"/>
                      <w:lock w:val="sdtLocked"/>
                      <w:richText/>
                    </w:sdtPr>
                    <w:sdtContent>
                      <w:r>
                        <w:rPr>
                          <w:b/>
                          <w:szCs w:val="24"/>
                        </w:rPr>
                        <w:t>2</w:t>
                      </w:r>
                    </w:sdtContent>
                  </w:sdt>
                  <w:r>
                    <w:rPr>
                      <w:b/>
                      <w:szCs w:val="24"/>
                    </w:rPr>
                    <w:t>.</w:t>
                    <w:tab/>
                  </w:r>
                  <w:r>
                    <w:rPr>
                      <w:b/>
                      <w:bCs/>
                      <w:szCs w:val="24"/>
                    </w:rPr>
                    <w:t>Projekto iniciatoriai (institucija, asmenys ar piliečių atstovai) ir rengėjai.</w:t>
                  </w:r>
                </w:p>
                <w:p>
                  <w:pPr>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94b13c72c7d14a55ba1f357b5b24f794"/>
                <w:lock w:val="sdtLocked"/>
                <w:richText/>
              </w:sdtPr>
              <w:sdtContent>
                <w:p>
                  <w:pPr>
                    <w:suppressAutoHyphens/>
                    <w:ind w:left="1040" w:hanging="360"/>
                    <w:jc w:val="both"/>
                    <w:rPr>
                      <w:szCs w:val="24"/>
                    </w:rPr>
                  </w:pPr>
                  <w:sdt>
                    <w:sdtPr>
                      <w:alias w:val="Numeris"/>
                      <w:tag w:val="nr_94b13c72c7d14a55ba1f357b5b24f794"/>
                      <w:lock w:val="sdtLocked"/>
                      <w:richText/>
                    </w:sdtPr>
                    <w:sdtContent>
                      <w:r>
                        <w:rPr>
                          <w:b/>
                          <w:szCs w:val="24"/>
                        </w:rPr>
                        <w:t>3</w:t>
                      </w:r>
                    </w:sdtContent>
                  </w:sdt>
                  <w:r>
                    <w:rPr>
                      <w:b/>
                      <w:szCs w:val="24"/>
                    </w:rPr>
                    <w:t>.</w:t>
                    <w:tab/>
                    <w:t>Kaip šiuo metu yra reguliuojami sprendimo projekte aptarti teisiniai santykiai.</w:t>
                  </w:r>
                </w:p>
                <w:p>
                  <w:pPr>
                    <w:shd w:val="clear" w:color="auto" w:fill="FFFFFF"/>
                    <w:ind w:firstLine="709"/>
                    <w:jc w:val="both"/>
                    <w:rPr>
                      <w:color w:val="000000"/>
                      <w:szCs w:val="24"/>
                    </w:rPr>
                  </w:pPr>
                  <w:r>
                    <w:rPr>
                      <w:iCs/>
                      <w:szCs w:val="24"/>
                      <w:lang w:eastAsia="lt-LT"/>
                    </w:rPr>
                    <w:t>Planuojant siūlomą įgyvendinti projektą, buvo atsižvelgta į ilgalaikės priežiūros paslaugų poreikį Radviliškio rajone. Radviliškyje kaip ir visoje Lietuvoje didėja nepagydomomis / sunkiomis lėtinėmis ligomis sergančių žmonių skaičius</w:t>
                  </w:r>
                  <w:r>
                    <w:rPr>
                      <w:szCs w:val="24"/>
                    </w:rPr>
                    <w:t xml:space="preserve"> (</w:t>
                  </w:r>
                  <w:r>
                    <w:rPr>
                      <w:iCs/>
                      <w:szCs w:val="24"/>
                      <w:lang w:eastAsia="lt-LT"/>
                    </w:rPr>
                    <w:t xml:space="preserve">Statistikos agentūros duomenimis, 2022 metais apie 77,1 proc. gyventojų, vyresnių nei 65 metų turėjo lėtinių ligų ar ilgalaikių sveikatos sutrikimų). Šiuo metu Radviliškio rajone stacionarias slaugos paslaugas demencija ar Alzheimerio liga sergantiems pacientams teikia tik VšĮ Radviliškio ligoninė (55 lovos skirtos somatinėmis ligomis sergantiems pacientams, 6 lovos – demencija sergantiems pacientams ir 4 lovos – paliatyviosios pagalbos paslaugos). Tačiau to tikrai neužtenka. </w:t>
                  </w:r>
                </w:p>
              </w:sdtContent>
            </w:sdt>
            <w:sdt>
              <w:sdtPr>
                <w:alias w:val="4 p."/>
                <w:tag w:val="part_ea464a76454c4ba69b72500c09ac3e4e"/>
                <w:lock w:val="sdtLocked"/>
                <w:richText/>
              </w:sdtPr>
              <w:sdtContent>
                <w:p>
                  <w:pPr>
                    <w:tabs>
                      <w:tab w:val="left" w:pos="855"/>
                    </w:tabs>
                    <w:ind w:firstLine="680"/>
                    <w:jc w:val="both"/>
                    <w:rPr>
                      <w:color w:val="000000"/>
                      <w:szCs w:val="24"/>
                    </w:rPr>
                  </w:pPr>
                  <w:sdt>
                    <w:sdtPr>
                      <w:alias w:val="Numeris"/>
                      <w:tag w:val="nr_ea464a76454c4ba69b72500c09ac3e4e"/>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ind w:firstLine="680"/>
                    <w:jc w:val="both"/>
                    <w:rPr>
                      <w:szCs w:val="24"/>
                    </w:rPr>
                  </w:pPr>
                  <w:r>
                    <w:rPr>
                      <w:szCs w:val="24"/>
                    </w:rPr>
                    <w:t>Naujos teisinio reguliavimo nuostatos nesiūlomos. Teigiamas rezultatas – plečiamos ir modernizuojamos stacionarinės Alzheimerio liga bei demencija sergančių pacientų priežiūros paslaugos.</w:t>
                  </w:r>
                </w:p>
              </w:sdtContent>
            </w:sdt>
            <w:sdt>
              <w:sdtPr>
                <w:alias w:val="5 p."/>
                <w:tag w:val="part_0c26cbd6b0c84610b17cd6c617b3884d"/>
                <w:lock w:val="sdtLocked"/>
                <w:richText/>
              </w:sdtPr>
              <w:sdtContent>
                <w:p>
                  <w:pPr>
                    <w:ind w:firstLine="680"/>
                    <w:jc w:val="both"/>
                    <w:rPr>
                      <w:b/>
                      <w:bCs/>
                      <w:szCs w:val="24"/>
                    </w:rPr>
                  </w:pPr>
                  <w:sdt>
                    <w:sdtPr>
                      <w:alias w:val="Numeris"/>
                      <w:tag w:val="nr_0c26cbd6b0c84610b17cd6c617b3884d"/>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ind w:firstLine="680"/>
                    <w:jc w:val="both"/>
                    <w:rPr>
                      <w:szCs w:val="24"/>
                    </w:rPr>
                  </w:pPr>
                  <w:r>
                    <w:rPr>
                      <w:szCs w:val="24"/>
                    </w:rPr>
                    <w:t>Neigiamų pasekmių nenumatoma.</w:t>
                  </w:r>
                </w:p>
              </w:sdtContent>
            </w:sdt>
            <w:sdt>
              <w:sdtPr>
                <w:alias w:val="6 p."/>
                <w:tag w:val="part_8d51ddf2270b48d5aa4115082a3de8c3"/>
                <w:lock w:val="sdtLocked"/>
                <w:richText/>
              </w:sdtPr>
              <w:sdtContent>
                <w:p>
                  <w:pPr>
                    <w:ind w:firstLine="680"/>
                    <w:jc w:val="both"/>
                    <w:rPr>
                      <w:szCs w:val="24"/>
                    </w:rPr>
                  </w:pPr>
                  <w:sdt>
                    <w:sdtPr>
                      <w:alias w:val="Numeris"/>
                      <w:tag w:val="nr_8d51ddf2270b48d5aa4115082a3de8c3"/>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4a6e1a76865c4834823d9f04bb43c795"/>
                <w:lock w:val="sdtLocked"/>
                <w:richText/>
              </w:sdtPr>
              <w:sdtContent>
                <w:p>
                  <w:pPr>
                    <w:tabs>
                      <w:tab w:val="left" w:pos="855"/>
                    </w:tabs>
                    <w:ind w:firstLine="680"/>
                    <w:jc w:val="both"/>
                    <w:rPr>
                      <w:szCs w:val="24"/>
                      <w:shd w:val="clear" w:color="auto" w:fill="FFFFFF"/>
                    </w:rPr>
                  </w:pPr>
                  <w:sdt>
                    <w:sdtPr>
                      <w:alias w:val="Numeris"/>
                      <w:tag w:val="nr_4a6e1a76865c4834823d9f04bb43c795"/>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ind w:firstLine="680"/>
                    <w:jc w:val="both"/>
                    <w:rPr>
                      <w:color w:val="000000"/>
                      <w:szCs w:val="24"/>
                    </w:rPr>
                  </w:pPr>
                  <w:r>
                    <w:rPr>
                      <w:szCs w:val="24"/>
                      <w:shd w:val="clear" w:color="auto" w:fill="FFFFFF"/>
                    </w:rPr>
                    <w:t xml:space="preserve">Preliminari Projekto vertė 2 000 000,00 Eur. 1 700 000,00 Eur – Europos regioninės plėtros fondų lėšos, 300 000,00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05b841ae7a4e44078b596b1c68cc08eb"/>
                <w:lock w:val="sdtLocked"/>
                <w:richText/>
              </w:sdtPr>
              <w:sdtContent>
                <w:p>
                  <w:pPr>
                    <w:tabs>
                      <w:tab w:val="left" w:pos="1200"/>
                    </w:tabs>
                    <w:ind w:firstLine="680"/>
                    <w:jc w:val="both"/>
                    <w:rPr>
                      <w:b/>
                      <w:color w:val="000000"/>
                      <w:szCs w:val="24"/>
                    </w:rPr>
                  </w:pPr>
                  <w:sdt>
                    <w:sdtPr>
                      <w:alias w:val="Numeris"/>
                      <w:tag w:val="nr_05b841ae7a4e44078b596b1c68cc08eb"/>
                      <w:lock w:val="sdtLocked"/>
                      <w:richText/>
                    </w:sdtPr>
                    <w:sdtContent>
                      <w:r>
                        <w:rPr>
                          <w:b/>
                          <w:szCs w:val="24"/>
                        </w:rPr>
                        <w:t>8</w:t>
                      </w:r>
                    </w:sdtContent>
                  </w:sdt>
                  <w:r>
                    <w:rPr>
                      <w:b/>
                      <w:szCs w:val="24"/>
                    </w:rPr>
                    <w:t>. Sprendimo projekto rengimo metu gauti specialistų vertinimai ir išvados.</w:t>
                  </w:r>
                </w:p>
                <w:p>
                  <w:pPr>
                    <w:tabs>
                      <w:tab w:val="left" w:pos="1200"/>
                    </w:tabs>
                    <w:ind w:firstLine="680"/>
                    <w:jc w:val="both"/>
                    <w:rPr>
                      <w:bCs/>
                      <w:szCs w:val="24"/>
                    </w:rPr>
                  </w:pPr>
                  <w:r>
                    <w:rPr>
                      <w:bCs/>
                      <w:szCs w:val="24"/>
                    </w:rPr>
                    <w:t>Nėra.</w:t>
                  </w:r>
                </w:p>
              </w:sdtContent>
            </w:sdt>
            <w:sdt>
              <w:sdtPr>
                <w:alias w:val="9 p."/>
                <w:tag w:val="part_27bf56524bd64ebe9f0752009cea372a"/>
                <w:lock w:val="sdtLocked"/>
                <w:richText/>
              </w:sdtPr>
              <w:sdtContent>
                <w:p>
                  <w:pPr>
                    <w:tabs>
                      <w:tab w:val="left" w:pos="1200"/>
                    </w:tabs>
                    <w:ind w:firstLine="680"/>
                    <w:jc w:val="both"/>
                    <w:rPr>
                      <w:b/>
                      <w:szCs w:val="24"/>
                    </w:rPr>
                  </w:pPr>
                  <w:sdt>
                    <w:sdtPr>
                      <w:alias w:val="Numeris"/>
                      <w:tag w:val="nr_27bf56524bd64ebe9f0752009cea372a"/>
                      <w:lock w:val="sdtLocked"/>
                      <w:richText/>
                    </w:sdtPr>
                    <w:sdtContent>
                      <w:r>
                        <w:rPr>
                          <w:b/>
                          <w:szCs w:val="24"/>
                        </w:rPr>
                        <w:t>9</w:t>
                      </w:r>
                    </w:sdtContent>
                  </w:sdt>
                  <w:r>
                    <w:rPr>
                      <w:b/>
                      <w:szCs w:val="24"/>
                    </w:rPr>
                    <w:t>. Numatomo teisinio reguliavimo poveikio vertinimo rezultatai.</w:t>
                  </w:r>
                </w:p>
                <w:p>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eeb34cfe8b97410398fd0bb58dc3e97c"/>
                <w:lock w:val="sdtLocked"/>
                <w:richText/>
              </w:sdtPr>
              <w:sdtContent>
                <w:p>
                  <w:pPr>
                    <w:ind w:firstLine="680"/>
                    <w:jc w:val="both"/>
                    <w:rPr>
                      <w:szCs w:val="24"/>
                      <w:shd w:val="clear" w:color="auto" w:fill="FFFFFF"/>
                    </w:rPr>
                  </w:pPr>
                  <w:sdt>
                    <w:sdtPr>
                      <w:alias w:val="Numeris"/>
                      <w:tag w:val="nr_eeb34cfe8b97410398fd0bb58dc3e97c"/>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e93acedfd5044a52a536bda57ce21c66"/>
                <w:lock w:val="sdtLocked"/>
                <w:richText/>
              </w:sdtPr>
              <w:sdtContent>
                <w:p>
                  <w:pPr>
                    <w:tabs>
                      <w:tab w:val="left" w:pos="1134"/>
                    </w:tabs>
                    <w:ind w:left="1069" w:hanging="360"/>
                    <w:rPr>
                      <w:rFonts w:eastAsia="Calibri"/>
                      <w:b/>
                      <w:bCs/>
                      <w:szCs w:val="24"/>
                    </w:rPr>
                  </w:pPr>
                  <w:sdt>
                    <w:sdtPr>
                      <w:alias w:val="Numeris"/>
                      <w:tag w:val="nr_e93acedfd5044a52a536bda57ce21c66"/>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6a227e52b6ad48bfb05cb4172e0b0d7e"/>
                <w:lock w:val="sdtLocked"/>
                <w:richText/>
              </w:sdtPr>
              <w:sdtContent>
                <w:p>
                  <w:pPr>
                    <w:ind w:left="1069" w:hanging="360"/>
                    <w:jc w:val="both"/>
                    <w:rPr>
                      <w:rFonts w:eastAsia="Calibri"/>
                      <w:b/>
                      <w:bCs/>
                      <w:szCs w:val="24"/>
                    </w:rPr>
                  </w:pPr>
                  <w:sdt>
                    <w:sdtPr>
                      <w:alias w:val="Numeris"/>
                      <w:tag w:val="nr_6a227e52b6ad48bfb05cb4172e0b0d7e"/>
                      <w:lock w:val="sdtLocked"/>
                      <w:richText/>
                    </w:sdtPr>
                    <w:sdtContent>
                      <w:r>
                        <w:rPr>
                          <w:rFonts w:eastAsia="Calibri"/>
                          <w:b/>
                          <w:bCs/>
                          <w:szCs w:val="24"/>
                        </w:rPr>
                        <w:t>12</w:t>
                      </w:r>
                    </w:sdtContent>
                  </w:sdt>
                  <w:r>
                    <w:rPr>
                      <w:rFonts w:eastAsia="Calibri"/>
                      <w:b/>
                      <w:bCs/>
                      <w:szCs w:val="24"/>
                    </w:rPr>
                    <w:t>.</w:t>
                    <w:tab/>
                    <w:t>Pridedami dokumentai.</w:t>
                  </w:r>
                </w:p>
                <w:p>
                  <w:pPr>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54ea48178e8c47c7a52f1d4b43621428"/>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bffb93fbd854493a9d7af75da884257" PartId="9a3bbff663884a099829b828a7fdacf5">
    <Part Type="preambule" DocPartId="b9bf93e9648245e4b10fa7c67912e768" PartId="728f84b3026546fc9044902ef48736a4"/>
    <Part Type="punktas" Nr="1" Abbr="1 p." DocPartId="248ed785e846420a867a1f60045281fc" PartId="6c0d70b6ee72457091df8fa4d69c6f31"/>
    <Part Type="punktas" Nr="2" Abbr="2 p." DocPartId="362f7eeea51e49248b68c8d2c092b089" PartId="bd22de6048484d97b7062d686d47915d"/>
    <Part Type="punktas" Nr="3" Abbr="3 p." DocPartId="91224f29915a420d847dab65d95132f5" PartId="ca2e85bb89fb40649469d39c06c2ab57"/>
    <Part Type="punktas" Nr="4" Abbr="4 p." DocPartId="bc1530fb3dbe474b932a3882154a09f9" PartId="67940b3239f54a49a430d97ca77ed1ed">
      <Part Type="papunktis" Nr="4.1" Abbr="4.1 pp." DocPartId="8b36f99572ad41b28957799520750b05" PartId="b09948eeef7d44cfbe82671d26d1dcd1"/>
      <Part Type="papunktis" Nr="4.2" Abbr="4.2 pp." DocPartId="16fd7e5b078a4930b1ee7baeed406d27" PartId="9f6250d110b94541afa185f09131f290"/>
      <Part Type="papunktis" Nr="4.3" Abbr="4.3 pp." DocPartId="c5357a0465044dcd8f6be3eb62a51a58" PartId="d5f58e0c89d54554b269389c41efcf59"/>
    </Part>
    <Part Type="punktas" Nr="5" Abbr="5 p." DocPartId="09814022bdb445f1959661e074fe7969" PartId="e837d2cbebdf47219d8b2570de19b2a8"/>
    <Part Type="punktas" Nr="6" Abbr="6 p." DocPartId="224baa5e4c2e4be0a4d746f48990fb0d" PartId="b0ea7d9e1f6a4bce89c7c4cf225d0932"/>
    <Part Type="skirsnis" Title="RADVILIŠKIO RAJONO SAVIVALDYBĖS TARYBOS SPRENDIMO PROJEKTO „DĖL PRITARIMO PROJEKTO „ILGALAIKĖS PRIEŽIŪROS PASLAUGŲ PLĖTRA RADVILIŠKIO RAJONE“ ĮGYVENDINIMUI IR LĖŠŲ SKYRIMO“ AIŠKINAMASIS RAŠTAS" DocPartId="3b00664f5d824ee384c80e3711f917b8" PartId="529551b8f654418c8c73f80da25c3d76">
      <Part Type="punktas" Nr="1" Abbr="1 p." DocPartId="9d7cd33fbf694efdb8a955b40d067129" PartId="44c8e47519a141559b1dc29b7c9a6526"/>
      <Part Type="punktas" Nr="2" Abbr="2 p." DocPartId="2c04cee041b747798d4afd5b394379f7" PartId="36c7bac2e72c4fe481acdd5a476f8151"/>
      <Part Type="punktas" Nr="3" Abbr="3 p." DocPartId="755187a4cdf0405f8877f2a5ac6f5dcf" PartId="94b13c72c7d14a55ba1f357b5b24f794"/>
      <Part Type="punktas" Nr="4" Abbr="4 p." DocPartId="9b9876e8185842e083c59fd7f90a95bb" PartId="ea464a76454c4ba69b72500c09ac3e4e"/>
      <Part Type="punktas" Nr="5" Abbr="5 p." DocPartId="ef2a25c163214a05a016eac52f29955e" PartId="0c26cbd6b0c84610b17cd6c617b3884d"/>
      <Part Type="punktas" Nr="6" Abbr="6 p." DocPartId="ba163598185f44d589192b3c07f68b55" PartId="8d51ddf2270b48d5aa4115082a3de8c3"/>
      <Part Type="punktas" Nr="7" Abbr="7 p." DocPartId="91a847e255704118bba71e12832d57f9" PartId="4a6e1a76865c4834823d9f04bb43c795"/>
      <Part Type="punktas" Nr="8" Abbr="8 p." DocPartId="f65f8e176f9f4e5f975789546b6b777d" PartId="05b841ae7a4e44078b596b1c68cc08eb"/>
      <Part Type="punktas" Nr="9" Abbr="9 p." DocPartId="1eb0f71f937c49df83532583f59d5ce7" PartId="27bf56524bd64ebe9f0752009cea372a"/>
      <Part Type="punktas" Nr="10" Abbr="10 p." DocPartId="472e730eb2504f1a9a4365cd1662e58d" PartId="eeb34cfe8b97410398fd0bb58dc3e97c"/>
      <Part Type="punktas" Nr="11" Abbr="11 p." DocPartId="18c3196388d14db696deae8d74080e50" PartId="e93acedfd5044a52a536bda57ce21c66"/>
      <Part Type="punktas" Nr="12" Abbr="12 p." DocPartId="a1db4e9c741944709be914d02aa9fd27" PartId="6a227e52b6ad48bfb05cb4172e0b0d7e"/>
    </Part>
    <Part Type="signatura" DocPartId="c7d3ba0822a145cfaac84c8b70986a0c" PartId="54ea48178e8c47c7a52f1d4b43621428"/>
  </Part>
</Parts>
</file>

<file path=customXml/itemProps1.xml><?xml version="1.0" encoding="utf-8"?>
<ds:datastoreItem xmlns:ds="http://schemas.openxmlformats.org/officeDocument/2006/customXml" ds:itemID="{C92C4567-05B4-4C3D-8B5E-43ED5C0CD8A5}">
  <ds:schemaRefs>
    <ds:schemaRef ds:uri="http://schemas.openxmlformats.org/officeDocument/2006/bibliography"/>
  </ds:schemaRefs>
</ds:datastoreItem>
</file>

<file path=customXml/itemProps2.xml><?xml version="1.0" encoding="utf-8"?>
<ds:datastoreItem xmlns:ds="http://schemas.openxmlformats.org/officeDocument/2006/customXml" ds:itemID="{E362B061-8CAF-4724-9AA0-51B6600962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819</Words>
  <Characters>6009</Characters>
  <Application>Microsoft Office Word</Application>
  <DocSecurity>4</DocSecurity>
  <Lines>117</Lines>
  <Paragraphs>58</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6770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2025-08-13T06:49:00Z</dcterms:created>
  <dc:creator>Gintaras</dc:creator>
  <lastModifiedBy>adlibuser</lastModifiedBy>
  <lastPrinted>2024-04-30T06:27:00Z</lastPrinted>
  <dcterms:modified xsi:type="dcterms:W3CDTF">2025-08-13T06:49:00Z</dcterms:modified>
  <revision>2</revision>
  <dc:title/>
</coreProperties>
</file>