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b3d0933c38404e94db77d43919b90c"/>
        <w:lock w:val="sdtLocked"/>
        <w:richText/>
      </w:sdtPr>
      <w:sdtContent>
        <w:p>
          <w:pPr>
            <w:rPr>
              <w:b/>
              <w:sz w:val="18"/>
              <w:szCs w:val="18"/>
            </w:rPr>
          </w:pPr>
        </w:p>
        <w:tbl>
          <w:tblPr>
            <w:tblW w:w="0" w:type="auto"/>
            <w:tblLook w:val="04A0" w:firstRow="1" w:lastRow="0" w:firstColumn="1" w:lastColumn="0" w:noHBand="0" w:noVBand="1"/>
          </w:tblPr>
          <w:tblGrid>
            <w:gridCol w:w="1993"/>
            <w:gridCol w:w="1993"/>
            <w:gridCol w:w="1994"/>
            <w:gridCol w:w="1994"/>
            <w:gridCol w:w="1994"/>
          </w:tblGrid>
          <w:tr>
            <w:tc>
              <w:tcPr>
                <w:tcW w:w="1993" w:type="dxa"/>
              </w:tcPr>
              <w:p>
                <w:pPr>
                  <w:rPr>
                    <w:sz w:val="20"/>
                  </w:rPr>
                </w:pPr>
              </w:p>
            </w:tc>
            <w:tc>
              <w:tcPr>
                <w:tcW w:w="1993" w:type="dxa"/>
              </w:tcPr>
              <w:p>
                <w:pPr>
                  <w:rPr>
                    <w:sz w:val="20"/>
                  </w:rPr>
                </w:pPr>
              </w:p>
            </w:tc>
            <w:tc>
              <w:tcPr>
                <w:tcW w:w="1994" w:type="dxa"/>
              </w:tcPr>
              <w:p>
                <w:pPr>
                  <w:rPr>
                    <w:sz w:val="20"/>
                  </w:rPr>
                </w:pPr>
              </w:p>
            </w:tc>
            <w:tc>
              <w:tcPr>
                <w:tcW w:w="1994" w:type="dxa"/>
              </w:tcPr>
              <w:p>
                <w:pPr>
                  <w:rPr>
                    <w:sz w:val="20"/>
                  </w:rPr>
                </w:pPr>
              </w:p>
            </w:tc>
            <w:tc>
              <w:tcPr>
                <w:tcW w:w="1994" w:type="dxa"/>
              </w:tcPr>
              <w:p>
                <w:pPr>
                  <w:rPr>
                    <w:b/>
                    <w:bCs/>
                    <w:szCs w:val="24"/>
                  </w:rPr>
                </w:pPr>
                <w:r>
                  <w:rPr>
                    <w:b/>
                    <w:bCs/>
                    <w:szCs w:val="24"/>
                  </w:rPr>
                  <w:t>Projektas</w:t>
                </w:r>
              </w:p>
              <w:p>
                <w:pPr>
                  <w:rPr>
                    <w:sz w:val="20"/>
                  </w:rPr>
                </w:pPr>
                <w:r>
                  <w:rPr>
                    <w:szCs w:val="24"/>
                  </w:rPr>
                  <w:t>TSP-</w:t>
                </w:r>
              </w:p>
            </w:tc>
          </w:tr>
        </w:tbl>
        <w:p>
          <w:pPr>
            <w:keepNext/>
            <w:jc w:val="center"/>
            <w:outlineLvl w:val="1"/>
            <w:rPr>
              <w:rFonts w:eastAsia="MS Mincho"/>
              <w:b/>
              <w:bCs/>
              <w:szCs w:val="24"/>
            </w:rPr>
          </w:pPr>
        </w:p>
        <w:sdt>
          <w:sdtPr>
            <w:alias w:val="skirsnis"/>
            <w:tag w:val="part_8c691f9d92b842a992d4dd4b54848cd0"/>
            <w:lock w:val="sdtLocked"/>
            <w:richText/>
          </w:sdtPr>
          <w:sdtContent>
            <w:p>
              <w:pPr>
                <w:keepNext/>
                <w:jc w:val="center"/>
                <w:outlineLvl w:val="1"/>
                <w:rPr>
                  <w:rFonts w:eastAsia="MS Mincho"/>
                  <w:b/>
                  <w:bCs/>
                  <w:szCs w:val="24"/>
                </w:rPr>
              </w:pPr>
              <w:sdt>
                <w:sdtPr>
                  <w:alias w:val="Pavadinimas"/>
                  <w:tag w:val="title_8c691f9d92b842a992d4dd4b54848cd0"/>
                  <w:lock w:val="sdtLocked"/>
                  <w:richText/>
                </w:sdtPr>
                <w:sdtContent>
                  <w:r>
                    <w:rPr>
                      <w:rFonts w:eastAsia="MS Mincho"/>
                      <w:b/>
                      <w:bCs/>
                      <w:szCs w:val="24"/>
                    </w:rPr>
                    <w:t>RADVILIŠKIO RAJONO SAVIVALDYBĖS TARYBA</w:t>
                  </w:r>
                </w:sdtContent>
              </w:sdt>
            </w:p>
            <w:p>
              <w:pPr>
                <w:jc w:val="center"/>
                <w:rPr>
                  <w:b/>
                  <w:bCs/>
                  <w:szCs w:val="24"/>
                </w:rPr>
              </w:pPr>
            </w:p>
            <w:sdt>
              <w:sdtPr>
                <w:alias w:val="lentele"/>
                <w:tag w:val="part_63cb4a1ca96942438f4e859ea4846b71"/>
                <w:lock w:val="sdtLocked"/>
                <w:richText/>
              </w:sdtPr>
              <w:sdtContent>
                <w:p>
                  <w:pPr>
                    <w:jc w:val="center"/>
                    <w:rPr>
                      <w:b/>
                      <w:bCs/>
                      <w:szCs w:val="24"/>
                    </w:rPr>
                  </w:pPr>
                  <w:sdt>
                    <w:sdtPr>
                      <w:alias w:val="Pavadinimas"/>
                      <w:tag w:val="title_63cb4a1ca96942438f4e859ea4846b71"/>
                      <w:lock w:val="sdtLocked"/>
                      <w:richText/>
                    </w:sdtPr>
                    <w:sdtContent>
                      <w:r>
                        <w:rPr>
                          <w:b/>
                          <w:bCs/>
                          <w:szCs w:val="24"/>
                        </w:rPr>
                        <w:t>SPRENDIMAS</w:t>
                      </w:r>
                    </w:sdtContent>
                  </w:sdt>
                </w:p>
                <w:tbl>
                  <w:tblPr>
                    <w:tblW w:w="0" w:type="auto"/>
                    <w:tblLook w:val="04A0" w:firstRow="1" w:lastRow="0" w:firstColumn="1" w:lastColumn="0" w:noHBand="0" w:noVBand="1"/>
                  </w:tblPr>
                  <w:tblGrid>
                    <w:gridCol w:w="9854"/>
                  </w:tblGrid>
                  <w:tr>
                    <w:tc>
                      <w:tcPr>
                        <w:tcW w:w="9854" w:type="dxa"/>
                        <w:hideMark/>
                      </w:tcPr>
                      <w:p>
                        <w:pPr>
                          <w:keepNext/>
                          <w:jc w:val="center"/>
                          <w:outlineLvl w:val="1"/>
                          <w:rPr>
                            <w:rFonts w:eastAsia="MS Mincho"/>
                            <w:b/>
                            <w:bCs/>
                            <w:szCs w:val="24"/>
                          </w:rPr>
                        </w:pPr>
                        <w:r>
                          <w:rPr>
                            <w:rFonts w:eastAsia="MS Mincho"/>
                            <w:b/>
                            <w:bCs/>
                            <w:szCs w:val="24"/>
                          </w:rPr>
                          <w:t xml:space="preserve">DĖL KELIŲ PRIEŽIŪROS IR PLĖTROS PROGRAMOS FINANSAVIMO LĖŠŲ PASKIRSTYMO 2025 METAIS  </w:t>
                        </w:r>
                      </w:p>
                    </w:tc>
                  </w:tr>
                </w:tbl>
                <w:p>
                  <w:pPr>
                    <w:ind w:firstLine="720"/>
                    <w:jc w:val="both"/>
                    <w:rPr>
                      <w:szCs w:val="24"/>
                    </w:rPr>
                  </w:pPr>
                </w:p>
              </w:sdtContent>
            </w:sdt>
            <w:sdt>
              <w:sdtPr>
                <w:alias w:val="pastraipa"/>
                <w:tag w:val="part_be04b003b02e46cebc2fdffd68437ffe"/>
                <w:lock w:val="sdtLocked"/>
                <w:richText/>
              </w:sdtPr>
              <w:sdtContent>
                <w:p>
                  <w:pPr>
                    <w:jc w:val="center"/>
                    <w:rPr>
                      <w:szCs w:val="24"/>
                    </w:rPr>
                  </w:pPr>
                  <w:r>
                    <w:rPr>
                      <w:szCs w:val="24"/>
                    </w:rPr>
                    <w:t xml:space="preserve">2025 m.                     d.  Nr. T-</w:t>
                  </w:r>
                </w:p>
              </w:sdtContent>
            </w:sdt>
            <w:sdt>
              <w:sdtPr>
                <w:alias w:val="pastraipa"/>
                <w:tag w:val="part_23fd490e64a84e928d6f154b7db16bbd"/>
                <w:lock w:val="sdtLocked"/>
                <w:richText/>
              </w:sdtPr>
              <w:sdtContent>
                <w:p>
                  <w:pPr>
                    <w:jc w:val="center"/>
                    <w:rPr>
                      <w:szCs w:val="24"/>
                    </w:rPr>
                  </w:pPr>
                  <w:r>
                    <w:rPr>
                      <w:szCs w:val="24"/>
                    </w:rPr>
                    <w:t>Radviliškis</w:t>
                  </w:r>
                </w:p>
                <w:p>
                  <w:pPr>
                    <w:jc w:val="both"/>
                    <w:rPr>
                      <w:szCs w:val="24"/>
                    </w:rPr>
                  </w:pPr>
                </w:p>
              </w:sdtContent>
            </w:sdt>
            <w:sdt>
              <w:sdtPr>
                <w:alias w:val="pastraipa"/>
                <w:tag w:val="part_a4139c9d14be490e900e6154fc097074"/>
                <w:lock w:val="sdtLocked"/>
                <w:richText/>
              </w:sdtPr>
              <w:sdtContent>
                <w:p>
                  <w:pPr>
                    <w:ind w:firstLine="720"/>
                    <w:jc w:val="both"/>
                    <w:rPr>
                      <w:spacing w:val="50"/>
                      <w:szCs w:val="24"/>
                    </w:rPr>
                  </w:pPr>
                  <w:r>
                    <w:rPr>
                      <w:szCs w:val="24"/>
                    </w:rPr>
                    <w:t xml:space="preserve">Vadovaudamasi Lietuvos Respublikos vietos savivaldos įstatymo 6 straipsnio 32 punktu, 15 straipsnio 4 dalimi, Lietuvos Respublikos kelių priežiūros ir plėtros programos finansavimo įstatymo 9 straipsnio 2 ir 8 dalimis, akcinės bendrovės „Via Lietuva“ direktoriaus 2025 m. kovo 24 d. įsakymu Nr. VE-25-39 „Dėl Kelių priežiūros ir plėtros programos finansavimo lėšų savivaldybių institucijų valdomiems vietinės reikšmės keliams paskirstymo 2025 metais“, įgyvendindama Radviliškio rajono savivaldybės tarybos 2025 m. vasario 13 d. sprendimą Nr. T-586 „Dėl Radviliškio rajono savivaldybės susisiekimo komunikacijų  2025–2027 m. prioritetinių objektų sąrašų patvirtinimo“, Radviliškio rajono savivaldybės taryba </w:t>
                  </w:r>
                  <w:r>
                    <w:rPr>
                      <w:spacing w:val="50"/>
                      <w:szCs w:val="24"/>
                    </w:rPr>
                    <w:t>nusprendžia:</w:t>
                  </w:r>
                </w:p>
              </w:sdtContent>
            </w:sdt>
            <w:sdt>
              <w:sdtPr>
                <w:alias w:val="1 p."/>
                <w:tag w:val="part_06411e1901af43b491042315ddc5b62b"/>
                <w:lock w:val="sdtLocked"/>
                <w:richText/>
              </w:sdtPr>
              <w:sdtContent>
                <w:p>
                  <w:pPr>
                    <w:tabs>
                      <w:tab w:val="left" w:pos="993"/>
                    </w:tabs>
                    <w:ind w:firstLine="720"/>
                    <w:jc w:val="both"/>
                    <w:rPr>
                      <w:szCs w:val="24"/>
                    </w:rPr>
                  </w:pPr>
                  <w:sdt>
                    <w:sdtPr>
                      <w:alias w:val="Numeris"/>
                      <w:tag w:val="nr_06411e1901af43b491042315ddc5b62b"/>
                      <w:lock w:val="sdtLocked"/>
                      <w:richText/>
                    </w:sdtPr>
                    <w:sdtContent>
                      <w:r>
                        <w:rPr>
                          <w:szCs w:val="24"/>
                        </w:rPr>
                        <w:t>1</w:t>
                      </w:r>
                    </w:sdtContent>
                  </w:sdt>
                  <w:r>
                    <w:rPr>
                      <w:szCs w:val="24"/>
                    </w:rPr>
                    <w:t>.</w:t>
                    <w:tab/>
                    <w:t>Paskirstyti Kelių priežiūros ir plėtros programos finansavimo lėšas vietinės reikšmės keliams tiesti, taisyti (remontuoti), rekonstruoti, prižiūrėti, saugaus eismo priemonėms ir darnaus judumo priemonėms finansuoti 2025 metais – iš viso 2 766 800 Eur, iš jų:</w:t>
                  </w:r>
                </w:p>
                <w:sdt>
                  <w:sdtPr>
                    <w:alias w:val="1.1 pp."/>
                    <w:tag w:val="part_8ba8507c91bc49fb8594a9ac865c1cf2"/>
                    <w:lock w:val="sdtLocked"/>
                    <w:richText/>
                  </w:sdtPr>
                  <w:sdtContent>
                    <w:p>
                      <w:pPr>
                        <w:ind w:firstLine="709"/>
                        <w:jc w:val="both"/>
                        <w:rPr>
                          <w:szCs w:val="24"/>
                        </w:rPr>
                      </w:pPr>
                      <w:sdt>
                        <w:sdtPr>
                          <w:alias w:val="Numeris"/>
                          <w:tag w:val="nr_8ba8507c91bc49fb8594a9ac865c1cf2"/>
                          <w:lock w:val="sdtLocked"/>
                          <w:richText/>
                        </w:sdtPr>
                        <w:sdtContent>
                          <w:r>
                            <w:rPr>
                              <w:szCs w:val="24"/>
                            </w:rPr>
                            <w:t>1.1</w:t>
                          </w:r>
                        </w:sdtContent>
                      </w:sdt>
                      <w:r>
                        <w:rPr>
                          <w:szCs w:val="24"/>
                        </w:rPr>
                        <w:t xml:space="preserve">.  2 010 000 Eur – Kelių priežiūros ir plėtros programos finansavimo lėšos esminiam turto pagerinimui: Radviliškio rajono  savivaldybės vietinės reikšmės keliams tiesti, rekonstruoti ir kapitališkai remontuoti 2025 metais (1 priedas);</w:t>
                      </w:r>
                    </w:p>
                  </w:sdtContent>
                </w:sdt>
                <w:sdt>
                  <w:sdtPr>
                    <w:alias w:val="1.2 pp."/>
                    <w:tag w:val="part_6cadd24105df4535a54a5067cb7cdbb8"/>
                    <w:lock w:val="sdtLocked"/>
                    <w:richText/>
                  </w:sdtPr>
                  <w:sdtContent>
                    <w:p>
                      <w:pPr>
                        <w:tabs>
                          <w:tab w:val="left" w:pos="709"/>
                          <w:tab w:val="left" w:pos="851"/>
                        </w:tabs>
                        <w:ind w:firstLine="720"/>
                        <w:jc w:val="both"/>
                        <w:rPr>
                          <w:szCs w:val="24"/>
                        </w:rPr>
                      </w:pPr>
                      <w:sdt>
                        <w:sdtPr>
                          <w:alias w:val="Numeris"/>
                          <w:tag w:val="nr_6cadd24105df4535a54a5067cb7cdbb8"/>
                          <w:lock w:val="sdtLocked"/>
                          <w:richText/>
                        </w:sdtPr>
                        <w:sdtContent>
                          <w:r>
                            <w:rPr>
                              <w:szCs w:val="24"/>
                            </w:rPr>
                            <w:t>1.2</w:t>
                          </w:r>
                        </w:sdtContent>
                      </w:sdt>
                      <w:r>
                        <w:rPr>
                          <w:szCs w:val="24"/>
                        </w:rPr>
                        <w:t>. 756 800 Eur – Kelių priežiūros ir plėtros programos finansavimo lėšos Radviliškio rajono savivaldybės administracijos seniūnijoms einamiesiems tikslams: vietinės reikšmės kelių priežiūrai ir paprastajam remontui atlikti, saugaus eismo priemonėms ir darnaus judumo priemonėms finansuoti 2025 metais (2 priedas).</w:t>
                      </w:r>
                    </w:p>
                  </w:sdtContent>
                </w:sdt>
              </w:sdtContent>
            </w:sdt>
            <w:sdt>
              <w:sdtPr>
                <w:alias w:val="2 p."/>
                <w:tag w:val="part_a83aa3988cb94ac39d0df7a1be88c7f9"/>
                <w:lock w:val="sdtLocked"/>
                <w:richText/>
              </w:sdtPr>
              <w:sdtContent>
                <w:p>
                  <w:pPr>
                    <w:tabs>
                      <w:tab w:val="left" w:pos="709"/>
                      <w:tab w:val="left" w:pos="851"/>
                    </w:tabs>
                    <w:ind w:firstLine="720"/>
                    <w:jc w:val="both"/>
                    <w:rPr>
                      <w:szCs w:val="24"/>
                    </w:rPr>
                  </w:pPr>
                  <w:sdt>
                    <w:sdtPr>
                      <w:alias w:val="Numeris"/>
                      <w:tag w:val="nr_a83aa3988cb94ac39d0df7a1be88c7f9"/>
                      <w:lock w:val="sdtLocked"/>
                      <w:richText/>
                    </w:sdtPr>
                    <w:sdtContent>
                      <w:r>
                        <w:rPr>
                          <w:szCs w:val="24"/>
                        </w:rPr>
                        <w:t>2</w:t>
                      </w:r>
                    </w:sdtContent>
                  </w:sdt>
                  <w:r>
                    <w:rPr>
                      <w:szCs w:val="24"/>
                    </w:rPr>
                    <w:t>. Pavesti</w:t>
                  </w:r>
                  <w:r>
                    <w:rPr>
                      <w:spacing w:val="50"/>
                      <w:szCs w:val="24"/>
                    </w:rPr>
                    <w:t xml:space="preserve"> </w:t>
                  </w:r>
                  <w:r>
                    <w:rPr>
                      <w:szCs w:val="24"/>
                    </w:rPr>
                    <w:t>Savivaldybės administracijos direktoriui:</w:t>
                  </w:r>
                </w:p>
                <w:sdt>
                  <w:sdtPr>
                    <w:alias w:val="2.1 pp."/>
                    <w:tag w:val="part_aa241669c43a4fdca364bbf26ba9b699"/>
                    <w:lock w:val="sdtLocked"/>
                    <w:richText/>
                  </w:sdtPr>
                  <w:sdtContent>
                    <w:p>
                      <w:pPr>
                        <w:tabs>
                          <w:tab w:val="left" w:pos="709"/>
                          <w:tab w:val="left" w:pos="851"/>
                        </w:tabs>
                        <w:ind w:firstLine="720"/>
                        <w:jc w:val="both"/>
                        <w:rPr>
                          <w:spacing w:val="50"/>
                          <w:szCs w:val="24"/>
                        </w:rPr>
                      </w:pPr>
                      <w:sdt>
                        <w:sdtPr>
                          <w:alias w:val="Numeris"/>
                          <w:tag w:val="nr_aa241669c43a4fdca364bbf26ba9b699"/>
                          <w:lock w:val="sdtLocked"/>
                          <w:richText/>
                        </w:sdtPr>
                        <w:sdtContent>
                          <w:r>
                            <w:rPr>
                              <w:szCs w:val="24"/>
                            </w:rPr>
                            <w:t>2.1</w:t>
                          </w:r>
                        </w:sdtContent>
                      </w:sdt>
                      <w:r>
                        <w:rPr>
                          <w:szCs w:val="24"/>
                        </w:rPr>
                        <w:t>. pasirašyti Radviliškio rajono savivaldybės administracijos vardu finansavimo sutartį (jos pakeitimus) su akcine bendrove „Via Lietuva“;</w:t>
                      </w:r>
                    </w:p>
                  </w:sdtContent>
                </w:sdt>
                <w:sdt>
                  <w:sdtPr>
                    <w:alias w:val="2.2 pp."/>
                    <w:tag w:val="part_a559f54a6f384d97b2b2248995cd09d3"/>
                    <w:lock w:val="sdtLocked"/>
                    <w:richText/>
                  </w:sdtPr>
                  <w:sdtContent>
                    <w:p>
                      <w:pPr>
                        <w:tabs>
                          <w:tab w:val="left" w:pos="1134"/>
                        </w:tabs>
                        <w:ind w:firstLine="720"/>
                        <w:jc w:val="both"/>
                        <w:rPr>
                          <w:szCs w:val="24"/>
                        </w:rPr>
                      </w:pPr>
                      <w:sdt>
                        <w:sdtPr>
                          <w:alias w:val="Numeris"/>
                          <w:tag w:val="nr_a559f54a6f384d97b2b2248995cd09d3"/>
                          <w:lock w:val="sdtLocked"/>
                          <w:richText/>
                        </w:sdtPr>
                        <w:sdtContent>
                          <w:r>
                            <w:rPr>
                              <w:szCs w:val="24"/>
                            </w:rPr>
                            <w:t>2.2</w:t>
                          </w:r>
                        </w:sdtContent>
                      </w:sdt>
                      <w:r>
                        <w:rPr>
                          <w:szCs w:val="24"/>
                        </w:rPr>
                        <w:t>. tvirtinti (tikslinti) Radviliškio rajono savivaldybės objektų, 2025 metais finansuojamų Kelių priežiūros ir plėtros programos lėšomis vietinės reikšmės kelių tiesimui, taisymui (remontui), rekonstravimui, priežiūrai, saugaus eismo priemonių ir darnaus judumo priemonių užtikrinimui (ne mažiau kaip 10 % programos lėšų), nekeičiant nustatytos lėšų proporcijos tarp 1.1 ir 1.2 papunkčių, sąrašą;</w:t>
                      </w:r>
                    </w:p>
                  </w:sdtContent>
                </w:sdt>
                <w:sdt>
                  <w:sdtPr>
                    <w:alias w:val="2.3 pp."/>
                    <w:tag w:val="part_e055ef10df93438eb5fee28a5a78bd9a"/>
                    <w:lock w:val="sdtLocked"/>
                    <w:richText/>
                  </w:sdtPr>
                  <w:sdtContent>
                    <w:p>
                      <w:pPr>
                        <w:tabs>
                          <w:tab w:val="left" w:pos="1134"/>
                        </w:tabs>
                        <w:ind w:firstLine="720"/>
                        <w:jc w:val="both"/>
                        <w:rPr>
                          <w:szCs w:val="24"/>
                        </w:rPr>
                      </w:pPr>
                      <w:sdt>
                        <w:sdtPr>
                          <w:alias w:val="Numeris"/>
                          <w:tag w:val="nr_e055ef10df93438eb5fee28a5a78bd9a"/>
                          <w:lock w:val="sdtLocked"/>
                          <w:richText/>
                        </w:sdtPr>
                        <w:sdtContent>
                          <w:r>
                            <w:rPr>
                              <w:szCs w:val="24"/>
                            </w:rPr>
                            <w:t>2.3</w:t>
                          </w:r>
                        </w:sdtContent>
                      </w:sdt>
                      <w:r>
                        <w:rPr>
                          <w:szCs w:val="24"/>
                        </w:rPr>
                        <w:t>. atlikti darbų, paslaugų užsakovo funkcijas, susijusias Radviliškio rajono savivaldybės vietinės reikšmės kelių tiesimu, taisymu (remontu), rekonstravimu, priežiūra, saugaus eismo priemonių ir darnaus judumo priemonių užtikrinimu.</w:t>
                      </w:r>
                    </w:p>
                    <w:p>
                      <w:pPr>
                        <w:tabs>
                          <w:tab w:val="left" w:pos="1134"/>
                        </w:tabs>
                        <w:ind w:firstLine="720"/>
                        <w:jc w:val="both"/>
                        <w:rPr>
                          <w:szCs w:val="24"/>
                        </w:rPr>
                      </w:pPr>
                    </w:p>
                    <w:p>
                      <w:pPr>
                        <w:tabs>
                          <w:tab w:val="left" w:pos="1134"/>
                        </w:tabs>
                        <w:ind w:firstLine="720"/>
                        <w:jc w:val="both"/>
                        <w:rPr>
                          <w:szCs w:val="24"/>
                        </w:rPr>
                      </w:pPr>
                    </w:p>
                    <w:p>
                      <w:pPr>
                        <w:tabs>
                          <w:tab w:val="left" w:pos="1134"/>
                        </w:tabs>
                        <w:ind w:firstLine="720"/>
                        <w:jc w:val="both"/>
                        <w:rPr>
                          <w:szCs w:val="24"/>
                        </w:rPr>
                      </w:pPr>
                    </w:p>
                    <w:p>
                      <w:pPr>
                        <w:tabs>
                          <w:tab w:val="left" w:pos="7380"/>
                        </w:tabs>
                        <w:jc w:val="both"/>
                        <w:rPr>
                          <w:szCs w:val="24"/>
                        </w:rPr>
                      </w:pPr>
                      <w:r>
                        <w:rPr>
                          <w:szCs w:val="24"/>
                        </w:rPr>
                        <w:t xml:space="preserve">Savivaldybės meras                                                                                                   </w:t>
                      </w:r>
                    </w:p>
                    <w:p>
                      <w:pPr>
                        <w:jc w:val="center"/>
                        <w:rPr>
                          <w:b/>
                          <w:szCs w:val="24"/>
                        </w:rPr>
                      </w:pPr>
                    </w:p>
                    <w:p>
                      <w:pPr>
                        <w:jc w:val="center"/>
                        <w:rPr>
                          <w:b/>
                          <w:szCs w:val="24"/>
                        </w:rPr>
                        <w:sectPr>
                          <w:headerReference w:type="default" r:id="rId7"/>
                          <w:pgSz w:w="11906" w:h="16838"/>
                          <w:pgMar w:top="426" w:right="567" w:bottom="1134" w:left="1361" w:header="567" w:footer="567" w:gutter="0"/>
                          <w:cols w:space="1296"/>
                          <w:docGrid w:linePitch="360"/>
                        </w:sectPr>
                      </w:pPr>
                    </w:p>
                    <w:p>
                      <w:pPr>
                        <w:rPr>
                          <w:szCs w:val="24"/>
                        </w:rPr>
                      </w:pPr>
                    </w:p>
                    <w:tbl>
                      <w:tblPr>
                        <w:tblW w:w="0" w:type="auto"/>
                        <w:tblLook w:val="04A0" w:firstRow="1" w:lastRow="0" w:firstColumn="1" w:lastColumn="0" w:noHBand="0" w:noVBand="1"/>
                      </w:tblPr>
                      <w:tblGrid>
                        <w:gridCol w:w="3640"/>
                        <w:gridCol w:w="3640"/>
                        <w:gridCol w:w="3640"/>
                        <w:gridCol w:w="3640"/>
                      </w:tblGrid>
                      <w:tr>
                        <w:tc>
                          <w:tcPr>
                            <w:tcW w:w="3640" w:type="dxa"/>
                          </w:tcPr>
                          <w:p>
                            <w:pPr>
                              <w:tabs>
                                <w:tab w:val="left" w:pos="7380"/>
                              </w:tabs>
                              <w:jc w:val="center"/>
                              <w:rPr>
                                <w:szCs w:val="24"/>
                              </w:rPr>
                            </w:pPr>
                          </w:p>
                        </w:tc>
                        <w:tc>
                          <w:tcPr>
                            <w:tcW w:w="3640" w:type="dxa"/>
                          </w:tcPr>
                          <w:p>
                            <w:pPr>
                              <w:tabs>
                                <w:tab w:val="left" w:pos="7380"/>
                              </w:tabs>
                              <w:jc w:val="center"/>
                              <w:rPr>
                                <w:szCs w:val="24"/>
                              </w:rPr>
                            </w:pPr>
                          </w:p>
                        </w:tc>
                        <w:tc>
                          <w:tcPr>
                            <w:tcW w:w="3640" w:type="dxa"/>
                          </w:tcPr>
                          <w:p>
                            <w:pPr>
                              <w:tabs>
                                <w:tab w:val="left" w:pos="7380"/>
                              </w:tabs>
                              <w:jc w:val="center"/>
                              <w:rPr>
                                <w:szCs w:val="24"/>
                              </w:rPr>
                            </w:pPr>
                          </w:p>
                        </w:tc>
                        <w:tc>
                          <w:tcPr>
                            <w:tcW w:w="3640" w:type="dxa"/>
                          </w:tcPr>
                          <w:p>
                            <w:pPr>
                              <w:rPr>
                                <w:szCs w:val="24"/>
                              </w:rPr>
                            </w:pPr>
                            <w:r>
                              <w:rPr>
                                <w:szCs w:val="24"/>
                              </w:rPr>
                              <w:t>Radviliškio rajono savivaldybės</w:t>
                            </w:r>
                          </w:p>
                          <w:p>
                            <w:pPr>
                              <w:rPr>
                                <w:szCs w:val="24"/>
                              </w:rPr>
                            </w:pPr>
                            <w:r>
                              <w:rPr>
                                <w:szCs w:val="24"/>
                              </w:rPr>
                              <w:t xml:space="preserve">tarybos 2025  m.                     d.</w:t>
                            </w:r>
                          </w:p>
                          <w:p>
                            <w:pPr>
                              <w:rPr>
                                <w:szCs w:val="24"/>
                              </w:rPr>
                            </w:pPr>
                            <w:r>
                              <w:rPr>
                                <w:szCs w:val="24"/>
                              </w:rPr>
                              <w:t xml:space="preserve">sprendimo  Nr. T-</w:t>
                            </w:r>
                          </w:p>
                          <w:p>
                            <w:pPr>
                              <w:tabs>
                                <w:tab w:val="left" w:pos="7380"/>
                              </w:tabs>
                              <w:rPr>
                                <w:szCs w:val="24"/>
                              </w:rPr>
                            </w:pPr>
                            <w:r>
                              <w:rPr>
                                <w:szCs w:val="24"/>
                              </w:rPr>
                              <w:t>1 priedas</w:t>
                            </w:r>
                          </w:p>
                        </w:tc>
                      </w:tr>
                    </w:tbl>
                    <w:p>
                      <w:pPr>
                        <w:jc w:val="center"/>
                        <w:rPr>
                          <w:b/>
                          <w:szCs w:val="24"/>
                        </w:rPr>
                      </w:pPr>
                    </w:p>
                    <w:sdt>
                      <w:sdtPr>
                        <w:alias w:val="lentele"/>
                        <w:tag w:val="part_35ece92336014649b7876b6441e6d0fd"/>
                        <w:lock w:val="sdtLocked"/>
                        <w:richText/>
                      </w:sdtPr>
                      <w:sdtContent>
                        <w:sdt>
                          <w:sdtPr>
                            <w:alias w:val="Pavadinimas"/>
                            <w:tag w:val="title_35ece92336014649b7876b6441e6d0fd"/>
                            <w:lock w:val="sdtLocked"/>
                            <w:richText/>
                          </w:sdtPr>
                          <w:sdtContent>
                            <w:p>
                              <w:pPr>
                                <w:jc w:val="center"/>
                                <w:rPr>
                                  <w:b/>
                                  <w:szCs w:val="24"/>
                                </w:rPr>
                              </w:pPr>
                              <w:r>
                                <w:rPr>
                                  <w:b/>
                                  <w:szCs w:val="24"/>
                                </w:rPr>
                                <w:t>KELIŲ PRIEŽIŪROS IR PLĖTROS PROGRAMOS FINANSAVIMO LĖŠOS ESMINIAM TURTO PAGERINIMUI:</w:t>
                              </w:r>
                            </w:p>
                            <w:p>
                              <w:pPr>
                                <w:jc w:val="center"/>
                                <w:rPr>
                                  <w:b/>
                                  <w:szCs w:val="24"/>
                                </w:rPr>
                              </w:pPr>
                              <w:r>
                                <w:rPr>
                                  <w:b/>
                                  <w:szCs w:val="24"/>
                                </w:rPr>
                                <w:t xml:space="preserve">RADVILIŠKIO RAJONO  SAVIVALDYBĖS VIETINĖS REIKŠMĖS KELIAMS TIESTI, REKONSTRUOTI IR KAPITALIŠKAI REMONTUOTI  2025 METAIS</w:t>
                              </w:r>
                            </w:p>
                          </w:sdtContent>
                        </w:sdt>
                        <w:p>
                          <w:pPr>
                            <w:rPr>
                              <w:b/>
                              <w:sz w:val="22"/>
                              <w:szCs w:val="22"/>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9243"/>
                            <w:gridCol w:w="2127"/>
                            <w:gridCol w:w="2692"/>
                          </w:tblGrid>
                          <w:tr>
                            <w:tc>
                              <w:tcPr>
                                <w:tcW w:w="675" w:type="dxa"/>
                                <w:shd w:val="clear" w:color="auto" w:fill="auto"/>
                              </w:tcPr>
                              <w:p>
                                <w:pPr>
                                  <w:jc w:val="center"/>
                                  <w:rPr>
                                    <w:szCs w:val="24"/>
                                  </w:rPr>
                                </w:pPr>
                                <w:r>
                                  <w:rPr>
                                    <w:szCs w:val="24"/>
                                  </w:rPr>
                                  <w:t xml:space="preserve">Eil. Nr. </w:t>
                                </w:r>
                              </w:p>
                            </w:tc>
                            <w:tc>
                              <w:tcPr>
                                <w:tcW w:w="9243" w:type="dxa"/>
                                <w:shd w:val="clear" w:color="auto" w:fill="auto"/>
                              </w:tcPr>
                              <w:p>
                                <w:pPr>
                                  <w:jc w:val="center"/>
                                  <w:rPr>
                                    <w:b/>
                                    <w:bCs/>
                                    <w:szCs w:val="24"/>
                                  </w:rPr>
                                </w:pPr>
                                <w:r>
                                  <w:rPr>
                                    <w:b/>
                                    <w:bCs/>
                                    <w:szCs w:val="24"/>
                                  </w:rPr>
                                  <w:t>Objekto pavadinimas (vietinės reikšmės kelio Nr.), darbų rūšis</w:t>
                                </w:r>
                              </w:p>
                            </w:tc>
                            <w:tc>
                              <w:tcPr>
                                <w:tcW w:w="2127" w:type="dxa"/>
                                <w:shd w:val="clear" w:color="auto" w:fill="auto"/>
                              </w:tcPr>
                              <w:p>
                                <w:pPr>
                                  <w:jc w:val="center"/>
                                  <w:rPr>
                                    <w:b/>
                                    <w:bCs/>
                                    <w:szCs w:val="24"/>
                                  </w:rPr>
                                </w:pPr>
                                <w:r>
                                  <w:rPr>
                                    <w:b/>
                                    <w:bCs/>
                                    <w:szCs w:val="24"/>
                                  </w:rPr>
                                  <w:t xml:space="preserve">Skiriama lėšų </w:t>
                                </w:r>
                              </w:p>
                              <w:p>
                                <w:pPr>
                                  <w:jc w:val="center"/>
                                  <w:rPr>
                                    <w:b/>
                                    <w:bCs/>
                                    <w:szCs w:val="24"/>
                                  </w:rPr>
                                </w:pPr>
                                <w:r>
                                  <w:rPr>
                                    <w:b/>
                                    <w:bCs/>
                                    <w:szCs w:val="24"/>
                                  </w:rPr>
                                  <w:t>2025 m. tūkst. Eur</w:t>
                                </w:r>
                              </w:p>
                            </w:tc>
                            <w:tc>
                              <w:tcPr>
                                <w:tcW w:w="2692" w:type="dxa"/>
                                <w:shd w:val="clear" w:color="auto" w:fill="auto"/>
                              </w:tcPr>
                              <w:p>
                                <w:pPr>
                                  <w:jc w:val="center"/>
                                  <w:rPr>
                                    <w:b/>
                                    <w:bCs/>
                                    <w:szCs w:val="24"/>
                                  </w:rPr>
                                </w:pPr>
                                <w:r>
                                  <w:rPr>
                                    <w:b/>
                                    <w:bCs/>
                                    <w:szCs w:val="24"/>
                                  </w:rPr>
                                  <w:t>Pastabos</w:t>
                                </w:r>
                              </w:p>
                            </w:tc>
                          </w:tr>
                          <w:tr>
                            <w:tc>
                              <w:tcPr>
                                <w:tcW w:w="675" w:type="dxa"/>
                                <w:shd w:val="clear" w:color="auto" w:fill="auto"/>
                              </w:tcPr>
                              <w:p>
                                <w:pPr>
                                  <w:rPr>
                                    <w:szCs w:val="24"/>
                                  </w:rPr>
                                </w:pPr>
                                <w:r>
                                  <w:rPr>
                                    <w:szCs w:val="24"/>
                                  </w:rPr>
                                  <w:t>1.</w:t>
                                </w:r>
                              </w:p>
                            </w:tc>
                            <w:tc>
                              <w:tcPr>
                                <w:tcW w:w="9243" w:type="dxa"/>
                                <w:shd w:val="clear" w:color="auto" w:fill="auto"/>
                                <w:vAlign w:val="bottom"/>
                              </w:tcPr>
                              <w:p>
                                <w:pPr>
                                  <w:rPr>
                                    <w:szCs w:val="24"/>
                                  </w:rPr>
                                </w:pPr>
                                <w:r>
                                  <w:rPr>
                                    <w:color w:val="000000"/>
                                    <w:szCs w:val="24"/>
                                  </w:rPr>
                                  <w:t>Radviliškio m. dalies Skirjočių g. RD8144 ir privažiavimo prie SB „Pušelė“ nuo Skirjočių g. RD8358 rekonstravimas</w:t>
                                </w:r>
                              </w:p>
                            </w:tc>
                            <w:tc>
                              <w:tcPr>
                                <w:tcW w:w="2127" w:type="dxa"/>
                                <w:shd w:val="clear" w:color="auto" w:fill="auto"/>
                              </w:tcPr>
                              <w:p>
                                <w:pPr>
                                  <w:jc w:val="center"/>
                                  <w:rPr>
                                    <w:szCs w:val="24"/>
                                  </w:rPr>
                                </w:pPr>
                                <w:r>
                                  <w:rPr>
                                    <w:szCs w:val="24"/>
                                  </w:rPr>
                                  <w:t>160,0</w:t>
                                </w:r>
                              </w:p>
                            </w:tc>
                            <w:tc>
                              <w:tcPr>
                                <w:tcW w:w="2692" w:type="dxa"/>
                                <w:shd w:val="clear" w:color="auto" w:fill="auto"/>
                              </w:tcPr>
                              <w:p>
                                <w:pPr>
                                  <w:jc w:val="center"/>
                                  <w:rPr>
                                    <w:szCs w:val="24"/>
                                  </w:rPr>
                                </w:pPr>
                              </w:p>
                            </w:tc>
                          </w:tr>
                          <w:tr>
                            <w:tc>
                              <w:tcPr>
                                <w:tcW w:w="675" w:type="dxa"/>
                                <w:shd w:val="clear" w:color="auto" w:fill="auto"/>
                              </w:tcPr>
                              <w:p>
                                <w:pPr>
                                  <w:rPr>
                                    <w:szCs w:val="24"/>
                                  </w:rPr>
                                </w:pPr>
                                <w:r>
                                  <w:rPr>
                                    <w:szCs w:val="24"/>
                                  </w:rPr>
                                  <w:t>2.</w:t>
                                </w:r>
                              </w:p>
                            </w:tc>
                            <w:tc>
                              <w:tcPr>
                                <w:tcW w:w="9243" w:type="dxa"/>
                                <w:shd w:val="clear" w:color="auto" w:fill="auto"/>
                                <w:vAlign w:val="bottom"/>
                              </w:tcPr>
                              <w:p>
                                <w:pPr>
                                  <w:rPr>
                                    <w:szCs w:val="24"/>
                                  </w:rPr>
                                </w:pPr>
                                <w:r>
                                  <w:rPr>
                                    <w:szCs w:val="24"/>
                                  </w:rPr>
                                  <w:t>Radviliškio m. Kovo 11-sios g. statyba</w:t>
                                </w:r>
                              </w:p>
                            </w:tc>
                            <w:tc>
                              <w:tcPr>
                                <w:tcW w:w="2127" w:type="dxa"/>
                                <w:shd w:val="clear" w:color="auto" w:fill="auto"/>
                              </w:tcPr>
                              <w:p>
                                <w:pPr>
                                  <w:jc w:val="center"/>
                                  <w:rPr>
                                    <w:szCs w:val="24"/>
                                  </w:rPr>
                                </w:pPr>
                                <w:r>
                                  <w:rPr>
                                    <w:szCs w:val="24"/>
                                  </w:rPr>
                                  <w:t>150,0</w:t>
                                </w:r>
                              </w:p>
                            </w:tc>
                            <w:tc>
                              <w:tcPr>
                                <w:tcW w:w="2692" w:type="dxa"/>
                                <w:shd w:val="clear" w:color="auto" w:fill="auto"/>
                              </w:tcPr>
                              <w:p>
                                <w:pPr>
                                  <w:jc w:val="center"/>
                                  <w:rPr>
                                    <w:szCs w:val="24"/>
                                  </w:rPr>
                                </w:pPr>
                              </w:p>
                            </w:tc>
                          </w:tr>
                          <w:tr>
                            <w:tc>
                              <w:tcPr>
                                <w:tcW w:w="675" w:type="dxa"/>
                                <w:shd w:val="clear" w:color="auto" w:fill="auto"/>
                              </w:tcPr>
                              <w:p>
                                <w:pPr>
                                  <w:rPr>
                                    <w:szCs w:val="24"/>
                                  </w:rPr>
                                </w:pPr>
                                <w:r>
                                  <w:rPr>
                                    <w:szCs w:val="24"/>
                                  </w:rPr>
                                  <w:t>3.</w:t>
                                </w:r>
                              </w:p>
                            </w:tc>
                            <w:tc>
                              <w:tcPr>
                                <w:tcW w:w="9243" w:type="dxa"/>
                                <w:shd w:val="clear" w:color="auto" w:fill="auto"/>
                                <w:vAlign w:val="bottom"/>
                              </w:tcPr>
                              <w:p>
                                <w:pPr>
                                  <w:rPr>
                                    <w:szCs w:val="24"/>
                                  </w:rPr>
                                </w:pPr>
                                <w:r>
                                  <w:rPr>
                                    <w:color w:val="000000"/>
                                    <w:szCs w:val="24"/>
                                  </w:rPr>
                                  <w:t>Radviliškio m. Strazdelio g. RD8052, Kapų g. RD8053, M. Valančiaus g. RD8054, Trakų g. RD8055 kapitalinis remontas</w:t>
                                </w:r>
                              </w:p>
                            </w:tc>
                            <w:tc>
                              <w:tcPr>
                                <w:tcW w:w="2127" w:type="dxa"/>
                                <w:shd w:val="clear" w:color="auto" w:fill="auto"/>
                              </w:tcPr>
                              <w:p>
                                <w:pPr>
                                  <w:jc w:val="center"/>
                                  <w:rPr>
                                    <w:szCs w:val="24"/>
                                  </w:rPr>
                                </w:pPr>
                                <w:r>
                                  <w:rPr>
                                    <w:szCs w:val="24"/>
                                  </w:rPr>
                                  <w:t>600,0</w:t>
                                </w:r>
                              </w:p>
                            </w:tc>
                            <w:tc>
                              <w:tcPr>
                                <w:tcW w:w="2692" w:type="dxa"/>
                                <w:shd w:val="clear" w:color="auto" w:fill="auto"/>
                              </w:tcPr>
                              <w:p>
                                <w:pPr>
                                  <w:jc w:val="center"/>
                                  <w:rPr>
                                    <w:szCs w:val="24"/>
                                  </w:rPr>
                                </w:pPr>
                              </w:p>
                            </w:tc>
                          </w:tr>
                          <w:tr>
                            <w:tc>
                              <w:tcPr>
                                <w:tcW w:w="675" w:type="dxa"/>
                                <w:shd w:val="clear" w:color="auto" w:fill="auto"/>
                              </w:tcPr>
                              <w:p>
                                <w:pPr>
                                  <w:rPr>
                                    <w:szCs w:val="24"/>
                                  </w:rPr>
                                </w:pPr>
                                <w:r>
                                  <w:rPr>
                                    <w:szCs w:val="24"/>
                                  </w:rPr>
                                  <w:t>4.</w:t>
                                </w:r>
                              </w:p>
                            </w:tc>
                            <w:tc>
                              <w:tcPr>
                                <w:tcW w:w="9243" w:type="dxa"/>
                                <w:shd w:val="clear" w:color="auto" w:fill="auto"/>
                                <w:vAlign w:val="bottom"/>
                              </w:tcPr>
                              <w:p>
                                <w:pPr>
                                  <w:rPr>
                                    <w:szCs w:val="24"/>
                                  </w:rPr>
                                </w:pPr>
                                <w:r>
                                  <w:rPr>
                                    <w:color w:val="000000"/>
                                    <w:szCs w:val="24"/>
                                  </w:rPr>
                                  <w:t>Vietinės reikšmės kelio RD0380 Skomaičiai–Gražiškiai sutampančio su Tuopų g., Skomaičių k., Skėmių sen., Radviliškio r. sav., kapitalinis remontas</w:t>
                                </w:r>
                              </w:p>
                            </w:tc>
                            <w:tc>
                              <w:tcPr>
                                <w:tcW w:w="2127" w:type="dxa"/>
                                <w:shd w:val="clear" w:color="auto" w:fill="auto"/>
                              </w:tcPr>
                              <w:p>
                                <w:pPr>
                                  <w:jc w:val="center"/>
                                  <w:rPr>
                                    <w:szCs w:val="24"/>
                                  </w:rPr>
                                </w:pPr>
                                <w:r>
                                  <w:rPr>
                                    <w:szCs w:val="24"/>
                                  </w:rPr>
                                  <w:t>300,0</w:t>
                                </w:r>
                              </w:p>
                            </w:tc>
                            <w:tc>
                              <w:tcPr>
                                <w:tcW w:w="2692" w:type="dxa"/>
                                <w:shd w:val="clear" w:color="auto" w:fill="auto"/>
                              </w:tcPr>
                              <w:p>
                                <w:pPr>
                                  <w:jc w:val="center"/>
                                  <w:rPr>
                                    <w:szCs w:val="24"/>
                                  </w:rPr>
                                </w:pPr>
                              </w:p>
                            </w:tc>
                          </w:tr>
                          <w:tr>
                            <w:trPr>
                              <w:trHeight w:val="370"/>
                            </w:trPr>
                            <w:tc>
                              <w:tcPr>
                                <w:tcW w:w="675" w:type="dxa"/>
                                <w:shd w:val="clear" w:color="auto" w:fill="auto"/>
                              </w:tcPr>
                              <w:p>
                                <w:pPr>
                                  <w:rPr>
                                    <w:szCs w:val="24"/>
                                  </w:rPr>
                                </w:pPr>
                                <w:r>
                                  <w:rPr>
                                    <w:szCs w:val="24"/>
                                  </w:rPr>
                                  <w:t>5.</w:t>
                                </w:r>
                              </w:p>
                            </w:tc>
                            <w:tc>
                              <w:tcPr>
                                <w:tcW w:w="9243" w:type="dxa"/>
                                <w:shd w:val="clear" w:color="auto" w:fill="auto"/>
                                <w:vAlign w:val="bottom"/>
                              </w:tcPr>
                              <w:p>
                                <w:pPr>
                                  <w:rPr>
                                    <w:szCs w:val="24"/>
                                  </w:rPr>
                                </w:pPr>
                                <w:r>
                                  <w:rPr>
                                    <w:color w:val="000000"/>
                                    <w:szCs w:val="24"/>
                                  </w:rPr>
                                  <w:t>Radviliškio r. sav. Šeduvos m. sen. Šeduvos m. Žvejų g. RD7652 kapitalinis remontas</w:t>
                                </w:r>
                              </w:p>
                            </w:tc>
                            <w:tc>
                              <w:tcPr>
                                <w:tcW w:w="2127" w:type="dxa"/>
                                <w:shd w:val="clear" w:color="auto" w:fill="auto"/>
                              </w:tcPr>
                              <w:p>
                                <w:pPr>
                                  <w:jc w:val="center"/>
                                  <w:rPr>
                                    <w:szCs w:val="24"/>
                                  </w:rPr>
                                </w:pPr>
                                <w:r>
                                  <w:rPr>
                                    <w:szCs w:val="24"/>
                                  </w:rPr>
                                  <w:t>50,0</w:t>
                                </w:r>
                              </w:p>
                            </w:tc>
                            <w:tc>
                              <w:tcPr>
                                <w:tcW w:w="2692" w:type="dxa"/>
                                <w:shd w:val="clear" w:color="auto" w:fill="auto"/>
                              </w:tcPr>
                              <w:p>
                                <w:pPr>
                                  <w:jc w:val="center"/>
                                  <w:rPr>
                                    <w:szCs w:val="24"/>
                                  </w:rPr>
                                </w:pPr>
                              </w:p>
                            </w:tc>
                          </w:tr>
                          <w:tr>
                            <w:tc>
                              <w:tcPr>
                                <w:tcW w:w="675" w:type="dxa"/>
                                <w:shd w:val="clear" w:color="auto" w:fill="auto"/>
                              </w:tcPr>
                              <w:p>
                                <w:pPr>
                                  <w:rPr>
                                    <w:szCs w:val="24"/>
                                  </w:rPr>
                                </w:pPr>
                                <w:r>
                                  <w:rPr>
                                    <w:szCs w:val="24"/>
                                  </w:rPr>
                                  <w:t>6.</w:t>
                                </w:r>
                              </w:p>
                            </w:tc>
                            <w:tc>
                              <w:tcPr>
                                <w:tcW w:w="9243" w:type="dxa"/>
                                <w:shd w:val="clear" w:color="auto" w:fill="auto"/>
                                <w:vAlign w:val="bottom"/>
                              </w:tcPr>
                              <w:p>
                                <w:pPr>
                                  <w:rPr>
                                    <w:szCs w:val="24"/>
                                  </w:rPr>
                                </w:pPr>
                                <w:r>
                                  <w:rPr>
                                    <w:color w:val="000000"/>
                                    <w:szCs w:val="24"/>
                                  </w:rPr>
                                  <w:t>Vietinės reikšmės kelio RD0357 Juodžiai–Rudžiai–Grinkiškis, sutampančio su Rudžių g., Rudžių k., Grinkiškio sen., Radviliškio r. sav., kapitalinis remontas</w:t>
                                </w:r>
                              </w:p>
                            </w:tc>
                            <w:tc>
                              <w:tcPr>
                                <w:tcW w:w="2127" w:type="dxa"/>
                                <w:shd w:val="clear" w:color="auto" w:fill="auto"/>
                              </w:tcPr>
                              <w:p>
                                <w:pPr>
                                  <w:jc w:val="center"/>
                                  <w:rPr>
                                    <w:szCs w:val="24"/>
                                  </w:rPr>
                                </w:pPr>
                                <w:r>
                                  <w:rPr>
                                    <w:szCs w:val="24"/>
                                  </w:rPr>
                                  <w:t>350,0</w:t>
                                </w:r>
                              </w:p>
                            </w:tc>
                            <w:tc>
                              <w:tcPr>
                                <w:tcW w:w="2692" w:type="dxa"/>
                                <w:shd w:val="clear" w:color="auto" w:fill="auto"/>
                              </w:tcPr>
                              <w:p>
                                <w:pPr>
                                  <w:jc w:val="center"/>
                                  <w:rPr>
                                    <w:szCs w:val="24"/>
                                  </w:rPr>
                                </w:pPr>
                              </w:p>
                            </w:tc>
                          </w:tr>
                          <w:tr>
                            <w:tc>
                              <w:tcPr>
                                <w:tcW w:w="675" w:type="dxa"/>
                                <w:shd w:val="clear" w:color="auto" w:fill="auto"/>
                              </w:tcPr>
                              <w:p>
                                <w:pPr>
                                  <w:rPr>
                                    <w:szCs w:val="24"/>
                                  </w:rPr>
                                </w:pPr>
                                <w:r>
                                  <w:rPr>
                                    <w:szCs w:val="24"/>
                                  </w:rPr>
                                  <w:t>7.</w:t>
                                </w:r>
                              </w:p>
                            </w:tc>
                            <w:tc>
                              <w:tcPr>
                                <w:tcW w:w="9243" w:type="dxa"/>
                                <w:shd w:val="clear" w:color="auto" w:fill="auto"/>
                                <w:vAlign w:val="bottom"/>
                              </w:tcPr>
                              <w:p>
                                <w:pPr>
                                  <w:rPr>
                                    <w:szCs w:val="24"/>
                                  </w:rPr>
                                </w:pPr>
                                <w:r>
                                  <w:rPr>
                                    <w:color w:val="000000"/>
                                    <w:szCs w:val="24"/>
                                  </w:rPr>
                                  <w:t>Pakalniškių sen. Veliakiemių k. vietinės reikšmės kelio RD0245 Veliakiemiai–Vaižgai kapitalinis remontas</w:t>
                                </w:r>
                              </w:p>
                            </w:tc>
                            <w:tc>
                              <w:tcPr>
                                <w:tcW w:w="2127" w:type="dxa"/>
                                <w:shd w:val="clear" w:color="auto" w:fill="auto"/>
                              </w:tcPr>
                              <w:p>
                                <w:pPr>
                                  <w:jc w:val="center"/>
                                  <w:rPr>
                                    <w:szCs w:val="24"/>
                                  </w:rPr>
                                </w:pPr>
                                <w:r>
                                  <w:rPr>
                                    <w:szCs w:val="24"/>
                                  </w:rPr>
                                  <w:t>350,0</w:t>
                                </w:r>
                              </w:p>
                            </w:tc>
                            <w:tc>
                              <w:tcPr>
                                <w:tcW w:w="2692" w:type="dxa"/>
                                <w:shd w:val="clear" w:color="auto" w:fill="auto"/>
                              </w:tcPr>
                              <w:p>
                                <w:pPr>
                                  <w:jc w:val="center"/>
                                  <w:rPr>
                                    <w:szCs w:val="24"/>
                                  </w:rPr>
                                </w:pPr>
                              </w:p>
                            </w:tc>
                          </w:tr>
                          <w:tr>
                            <w:tc>
                              <w:tcPr>
                                <w:tcW w:w="675" w:type="dxa"/>
                                <w:shd w:val="clear" w:color="auto" w:fill="auto"/>
                              </w:tcPr>
                              <w:p>
                                <w:pPr>
                                  <w:rPr>
                                    <w:szCs w:val="24"/>
                                  </w:rPr>
                                </w:pPr>
                                <w:r>
                                  <w:rPr>
                                    <w:szCs w:val="24"/>
                                  </w:rPr>
                                  <w:t>8.</w:t>
                                </w:r>
                              </w:p>
                            </w:tc>
                            <w:tc>
                              <w:tcPr>
                                <w:tcW w:w="9243" w:type="dxa"/>
                                <w:shd w:val="clear" w:color="auto" w:fill="auto"/>
                                <w:vAlign w:val="bottom"/>
                              </w:tcPr>
                              <w:p>
                                <w:pPr>
                                  <w:rPr>
                                    <w:szCs w:val="24"/>
                                  </w:rPr>
                                </w:pPr>
                                <w:r>
                                  <w:rPr>
                                    <w:color w:val="000000"/>
                                    <w:szCs w:val="24"/>
                                  </w:rPr>
                                  <w:t xml:space="preserve">Vietinės reikšmės kelio RD0021 privažiavimas prie kareivinių nuo kelio A9, sutampančio su Linkaičių g. Karčemų k. Radviliškio r. sav., ruožo nuo 0,0 km iki 1,16 km kapitalinis  remontas </w:t>
                                </w:r>
                              </w:p>
                            </w:tc>
                            <w:tc>
                              <w:tcPr>
                                <w:tcW w:w="2127" w:type="dxa"/>
                                <w:shd w:val="clear" w:color="auto" w:fill="auto"/>
                              </w:tcPr>
                              <w:p>
                                <w:pPr>
                                  <w:jc w:val="center"/>
                                  <w:rPr>
                                    <w:szCs w:val="24"/>
                                  </w:rPr>
                                </w:pPr>
                                <w:r>
                                  <w:rPr>
                                    <w:szCs w:val="24"/>
                                  </w:rPr>
                                  <w:t>50,0</w:t>
                                </w:r>
                              </w:p>
                            </w:tc>
                            <w:tc>
                              <w:tcPr>
                                <w:tcW w:w="2692" w:type="dxa"/>
                                <w:shd w:val="clear" w:color="auto" w:fill="auto"/>
                              </w:tcPr>
                              <w:p>
                                <w:pPr>
                                  <w:jc w:val="center"/>
                                  <w:rPr>
                                    <w:szCs w:val="24"/>
                                  </w:rPr>
                                </w:pPr>
                              </w:p>
                            </w:tc>
                          </w:tr>
                          <w:tr>
                            <w:tc>
                              <w:tcPr>
                                <w:tcW w:w="675" w:type="dxa"/>
                                <w:shd w:val="clear" w:color="auto" w:fill="auto"/>
                              </w:tcPr>
                              <w:p>
                                <w:pPr>
                                  <w:rPr>
                                    <w:szCs w:val="24"/>
                                  </w:rPr>
                                </w:pPr>
                              </w:p>
                            </w:tc>
                            <w:tc>
                              <w:tcPr>
                                <w:tcW w:w="9243" w:type="dxa"/>
                                <w:shd w:val="clear" w:color="auto" w:fill="auto"/>
                              </w:tcPr>
                              <w:p>
                                <w:pPr>
                                  <w:jc w:val="right"/>
                                  <w:rPr>
                                    <w:b/>
                                    <w:bCs/>
                                    <w:szCs w:val="24"/>
                                  </w:rPr>
                                </w:pPr>
                                <w:r>
                                  <w:rPr>
                                    <w:b/>
                                    <w:bCs/>
                                    <w:szCs w:val="24"/>
                                  </w:rPr>
                                  <w:t>IŠ VISO</w:t>
                                </w:r>
                              </w:p>
                            </w:tc>
                            <w:tc>
                              <w:tcPr>
                                <w:tcW w:w="2127" w:type="dxa"/>
                                <w:shd w:val="clear" w:color="auto" w:fill="auto"/>
                              </w:tcPr>
                              <w:p>
                                <w:pPr>
                                  <w:jc w:val="center"/>
                                  <w:rPr>
                                    <w:b/>
                                    <w:szCs w:val="24"/>
                                  </w:rPr>
                                </w:pPr>
                                <w:r>
                                  <w:rPr>
                                    <w:b/>
                                    <w:szCs w:val="24"/>
                                  </w:rPr>
                                  <w:t>2 010,0</w:t>
                                </w:r>
                              </w:p>
                            </w:tc>
                            <w:tc>
                              <w:tcPr>
                                <w:tcW w:w="2692" w:type="dxa"/>
                                <w:shd w:val="clear" w:color="auto" w:fill="auto"/>
                              </w:tcPr>
                              <w:p>
                                <w:pPr>
                                  <w:jc w:val="center"/>
                                  <w:rPr>
                                    <w:b/>
                                    <w:szCs w:val="24"/>
                                  </w:rPr>
                                </w:pPr>
                              </w:p>
                            </w:tc>
                          </w:tr>
                        </w:tbl>
                        <w:p>
                          <w:pPr>
                            <w:rPr>
                              <w:b/>
                              <w:szCs w:val="24"/>
                            </w:rPr>
                          </w:pPr>
                        </w:p>
                      </w:sdtContent>
                    </w:sdt>
                    <w:sdt>
                      <w:sdtPr>
                        <w:alias w:val="lentele"/>
                        <w:tag w:val="part_a02cf08a8b454c5b8b4dfce4d07aafaf"/>
                        <w:lock w:val="sdtLocked"/>
                        <w:richText/>
                      </w:sdtPr>
                      <w:sdtContent>
                        <w:p>
                          <w:pPr>
                            <w:jc w:val="center"/>
                            <w:rPr>
                              <w:b/>
                              <w:szCs w:val="24"/>
                            </w:rPr>
                          </w:pPr>
                          <w:sdt>
                            <w:sdtPr>
                              <w:alias w:val="Pavadinimas"/>
                              <w:tag w:val="title_a02cf08a8b454c5b8b4dfce4d07aafaf"/>
                              <w:lock w:val="sdtLocked"/>
                              <w:richText/>
                            </w:sdtPr>
                            <w:sdtContent>
                              <w:r>
                                <w:rPr>
                                  <w:b/>
                                  <w:szCs w:val="24"/>
                                </w:rPr>
                                <w:t>_________________________</w:t>
                              </w:r>
                            </w:sdtContent>
                          </w:sdt>
                        </w:p>
                        <w:tbl>
                          <w:tblPr>
                            <w:tblW w:w="0" w:type="auto"/>
                            <w:tblLook w:val="04A0" w:firstRow="1" w:lastRow="0" w:firstColumn="1" w:lastColumn="0" w:noHBand="0" w:noVBand="1"/>
                          </w:tblPr>
                          <w:tblGrid>
                            <w:gridCol w:w="4927"/>
                            <w:gridCol w:w="9488"/>
                          </w:tblGrid>
                          <w:tr>
                            <w:tc>
                              <w:tcPr>
                                <w:tcW w:w="4927" w:type="dxa"/>
                                <w:shd w:val="clear" w:color="auto" w:fill="auto"/>
                              </w:tcPr>
                              <w:p>
                                <w:pPr>
                                  <w:jc w:val="center"/>
                                  <w:rPr>
                                    <w:b/>
                                    <w:szCs w:val="24"/>
                                  </w:rPr>
                                </w:pPr>
                              </w:p>
                            </w:tc>
                            <w:tc>
                              <w:tcPr>
                                <w:tcW w:w="9488" w:type="dxa"/>
                                <w:shd w:val="clear" w:color="auto" w:fill="auto"/>
                              </w:tcPr>
                              <w:tbl>
                                <w:tblPr>
                                  <w:tblW w:w="9272" w:type="dxa"/>
                                  <w:tblLook w:val="04A0" w:firstRow="1" w:lastRow="0" w:firstColumn="1" w:lastColumn="0" w:noHBand="0" w:noVBand="1"/>
                                </w:tblPr>
                                <w:tblGrid>
                                  <w:gridCol w:w="1567"/>
                                  <w:gridCol w:w="3453"/>
                                  <w:gridCol w:w="4252"/>
                                </w:tblGrid>
                                <w:tr>
                                  <w:tc>
                                    <w:tcPr>
                                      <w:tcW w:w="1567" w:type="dxa"/>
                                    </w:tcPr>
                                    <w:p>
                                      <w:pPr>
                                        <w:ind w:firstLine="57"/>
                                        <w:jc w:val="center"/>
                                        <w:rPr>
                                          <w:b/>
                                          <w:szCs w:val="24"/>
                                        </w:rPr>
                                      </w:pPr>
                                    </w:p>
                                  </w:tc>
                                  <w:tc>
                                    <w:tcPr>
                                      <w:tcW w:w="3453" w:type="dxa"/>
                                    </w:tcPr>
                                    <w:p>
                                      <w:pPr>
                                        <w:jc w:val="center"/>
                                        <w:rPr>
                                          <w:b/>
                                          <w:szCs w:val="24"/>
                                        </w:rPr>
                                      </w:pPr>
                                    </w:p>
                                  </w:tc>
                                  <w:tc>
                                    <w:tcPr>
                                      <w:tcW w:w="4252" w:type="dxa"/>
                                    </w:tcPr>
                                    <w:p>
                                      <w:pPr>
                                        <w:rPr>
                                          <w:sz w:val="22"/>
                                          <w:szCs w:val="22"/>
                                        </w:rPr>
                                      </w:pPr>
                                    </w:p>
                                    <w:p>
                                      <w:pPr>
                                        <w:rPr>
                                          <w:sz w:val="22"/>
                                          <w:szCs w:val="22"/>
                                        </w:rPr>
                                      </w:pPr>
                                    </w:p>
                                    <w:p>
                                      <w:pPr>
                                        <w:rPr>
                                          <w:sz w:val="22"/>
                                          <w:szCs w:val="22"/>
                                        </w:rPr>
                                      </w:pPr>
                                    </w:p>
                                    <w:p>
                                      <w:pPr>
                                        <w:rPr>
                                          <w:sz w:val="22"/>
                                          <w:szCs w:val="22"/>
                                        </w:rPr>
                                      </w:pPr>
                                    </w:p>
                                    <w:p>
                                      <w:pPr>
                                        <w:rPr>
                                          <w:sz w:val="22"/>
                                          <w:szCs w:val="22"/>
                                        </w:rPr>
                                      </w:pPr>
                                    </w:p>
                                    <w:p>
                                      <w:pPr>
                                        <w:rPr>
                                          <w:szCs w:val="24"/>
                                        </w:rPr>
                                      </w:pPr>
                                    </w:p>
                                    <w:p>
                                      <w:pPr>
                                        <w:rPr>
                                          <w:szCs w:val="24"/>
                                        </w:rPr>
                                      </w:pPr>
                                    </w:p>
                                    <w:p>
                                      <w:pPr>
                                        <w:rPr>
                                          <w:szCs w:val="24"/>
                                        </w:rPr>
                                      </w:pPr>
                                    </w:p>
                                    <w:p>
                                      <w:pPr>
                                        <w:rPr>
                                          <w:szCs w:val="24"/>
                                        </w:rPr>
                                      </w:pPr>
                                      <w:r>
                                        <w:rPr>
                                          <w:szCs w:val="24"/>
                                        </w:rPr>
                                        <w:t>Radviliškio rajono savivaldybės</w:t>
                                      </w:r>
                                    </w:p>
                                    <w:p>
                                      <w:pPr>
                                        <w:rPr>
                                          <w:szCs w:val="24"/>
                                        </w:rPr>
                                      </w:pPr>
                                      <w:r>
                                        <w:rPr>
                                          <w:szCs w:val="24"/>
                                        </w:rPr>
                                        <w:t xml:space="preserve">tarybos 2025  m.                      d.</w:t>
                                      </w:r>
                                    </w:p>
                                    <w:p>
                                      <w:pPr>
                                        <w:rPr>
                                          <w:szCs w:val="24"/>
                                        </w:rPr>
                                      </w:pPr>
                                      <w:r>
                                        <w:rPr>
                                          <w:szCs w:val="24"/>
                                        </w:rPr>
                                        <w:t xml:space="preserve">sprendimo  Nr. T-         </w:t>
                                      </w:r>
                                    </w:p>
                                    <w:p>
                                      <w:pPr>
                                        <w:rPr>
                                          <w:szCs w:val="24"/>
                                        </w:rPr>
                                      </w:pPr>
                                      <w:r>
                                        <w:rPr>
                                          <w:szCs w:val="24"/>
                                        </w:rPr>
                                        <w:t>2 priedas</w:t>
                                      </w:r>
                                    </w:p>
                                    <w:p>
                                      <w:pPr>
                                        <w:rPr>
                                          <w:b/>
                                          <w:szCs w:val="24"/>
                                        </w:rPr>
                                      </w:pPr>
                                    </w:p>
                                  </w:tc>
                                </w:tr>
                              </w:tbl>
                              <w:p>
                                <w:pPr>
                                  <w:jc w:val="center"/>
                                  <w:rPr>
                                    <w:b/>
                                    <w:szCs w:val="24"/>
                                  </w:rPr>
                                </w:pPr>
                              </w:p>
                            </w:tc>
                          </w:tr>
                        </w:tbl>
                        <w:p/>
                      </w:sdtContent>
                    </w:sdt>
                    <w:sdt>
                      <w:sdtPr>
                        <w:alias w:val="lentele"/>
                        <w:tag w:val="part_612ff030458648f09a6beacdc8a81d4c"/>
                        <w:lock w:val="sdtLocked"/>
                        <w:richText/>
                      </w:sdtPr>
                      <w:sdtContent>
                        <w:p>
                          <w:pPr>
                            <w:jc w:val="center"/>
                            <w:rPr>
                              <w:b/>
                              <w:szCs w:val="24"/>
                            </w:rPr>
                          </w:pPr>
                          <w:sdt>
                            <w:sdtPr>
                              <w:alias w:val="Pavadinimas"/>
                              <w:tag w:val="title_612ff030458648f09a6beacdc8a81d4c"/>
                              <w:lock w:val="sdtLocked"/>
                              <w:richText/>
                            </w:sdtPr>
                            <w:sdtContent>
                              <w:r>
                                <w:rPr>
                                  <w:b/>
                                  <w:szCs w:val="24"/>
                                </w:rPr>
                                <w:t>KELIŲ PRIEŽIŪROS IR PLĖTROS PROGRAMOS FINANSAVIMO LĖŠOS RADVILIŠKIO RAJONO SAVIVALDYBĖS ADMINISTRACIJOS SENIŪNIJOMS EINAMIESIEMS TIKSLAMS VIETINĖS REIKŠMĖS KELIŲ PRIEŽIŪRAI IR PAPRASTAJAM REMONTUI ATLIKTI, SAUGAUS EISMO PRIEMONĖMS IR DARNAUS JUDUMO PRIEMONĖMS FINANSUOTI 2025 METAIS</w:t>
                              </w:r>
                            </w:sdtContent>
                          </w:sdt>
                        </w:p>
                        <w:p>
                          <w:pPr>
                            <w:jc w:val="center"/>
                            <w:rPr>
                              <w:b/>
                              <w:szCs w:val="24"/>
                            </w:rPr>
                          </w:pPr>
                        </w:p>
                        <w:tbl>
                          <w:tblPr>
                            <w:tblW w:w="1544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65"/>
                            <w:gridCol w:w="1206"/>
                            <w:gridCol w:w="1348"/>
                            <w:gridCol w:w="1134"/>
                            <w:gridCol w:w="1134"/>
                            <w:gridCol w:w="1134"/>
                            <w:gridCol w:w="6101"/>
                            <w:gridCol w:w="1267"/>
                          </w:tblGrid>
                          <w:tr>
                            <w:trPr>
                              <w:trHeight w:val="386"/>
                            </w:trPr>
                            <w:tc>
                              <w:tcPr>
                                <w:tcW w:w="659" w:type="dxa"/>
                                <w:vMerge w:val="restart"/>
                                <w:shd w:val="clear" w:color="auto" w:fill="auto"/>
                                <w:vAlign w:val="center"/>
                                <w:hideMark/>
                              </w:tcPr>
                              <w:p>
                                <w:pPr>
                                  <w:ind w:firstLine="57"/>
                                  <w:jc w:val="center"/>
                                  <w:rPr>
                                    <w:b/>
                                    <w:bCs/>
                                    <w:color w:val="000000"/>
                                    <w:sz w:val="22"/>
                                    <w:szCs w:val="22"/>
                                  </w:rPr>
                                </w:pPr>
                              </w:p>
                              <w:p>
                                <w:pPr>
                                  <w:jc w:val="center"/>
                                  <w:rPr>
                                    <w:b/>
                                    <w:bCs/>
                                    <w:color w:val="000000"/>
                                    <w:sz w:val="22"/>
                                    <w:szCs w:val="22"/>
                                  </w:rPr>
                                </w:pPr>
                                <w:r>
                                  <w:rPr>
                                    <w:b/>
                                    <w:bCs/>
                                    <w:color w:val="000000"/>
                                    <w:sz w:val="22"/>
                                    <w:szCs w:val="22"/>
                                  </w:rPr>
                                  <w:t>Eil.</w:t>
                                </w:r>
                              </w:p>
                              <w:p>
                                <w:pPr>
                                  <w:jc w:val="center"/>
                                  <w:rPr>
                                    <w:b/>
                                    <w:bCs/>
                                    <w:color w:val="000000"/>
                                    <w:sz w:val="22"/>
                                    <w:szCs w:val="22"/>
                                  </w:rPr>
                                </w:pPr>
                                <w:r>
                                  <w:rPr>
                                    <w:b/>
                                    <w:bCs/>
                                    <w:color w:val="000000"/>
                                    <w:sz w:val="22"/>
                                    <w:szCs w:val="22"/>
                                  </w:rPr>
                                  <w:t>Nr. </w:t>
                                </w:r>
                              </w:p>
                            </w:tc>
                            <w:tc>
                              <w:tcPr>
                                <w:tcW w:w="1465" w:type="dxa"/>
                                <w:vMerge w:val="restart"/>
                                <w:shd w:val="clear" w:color="auto" w:fill="auto"/>
                                <w:vAlign w:val="center"/>
                                <w:hideMark/>
                              </w:tcPr>
                              <w:p>
                                <w:pPr>
                                  <w:jc w:val="center"/>
                                  <w:rPr>
                                    <w:b/>
                                    <w:bCs/>
                                    <w:color w:val="000000"/>
                                    <w:sz w:val="22"/>
                                    <w:szCs w:val="22"/>
                                  </w:rPr>
                                </w:pPr>
                              </w:p>
                              <w:p>
                                <w:pPr>
                                  <w:jc w:val="center"/>
                                  <w:rPr>
                                    <w:b/>
                                    <w:bCs/>
                                    <w:color w:val="000000"/>
                                    <w:sz w:val="22"/>
                                    <w:szCs w:val="22"/>
                                  </w:rPr>
                                </w:pPr>
                                <w:r>
                                  <w:rPr>
                                    <w:b/>
                                    <w:bCs/>
                                    <w:color w:val="000000"/>
                                    <w:sz w:val="22"/>
                                    <w:szCs w:val="22"/>
                                  </w:rPr>
                                  <w:t>Seniūnija</w:t>
                                </w:r>
                              </w:p>
                              <w:p>
                                <w:pPr>
                                  <w:jc w:val="center"/>
                                  <w:rPr>
                                    <w:b/>
                                    <w:bCs/>
                                    <w:color w:val="000000"/>
                                    <w:sz w:val="22"/>
                                    <w:szCs w:val="22"/>
                                  </w:rPr>
                                </w:pPr>
                              </w:p>
                              <w:p>
                                <w:pPr>
                                  <w:ind w:firstLine="57"/>
                                  <w:rPr>
                                    <w:b/>
                                    <w:bCs/>
                                    <w:color w:val="000000"/>
                                    <w:sz w:val="22"/>
                                    <w:szCs w:val="22"/>
                                  </w:rPr>
                                </w:pPr>
                              </w:p>
                            </w:tc>
                            <w:tc>
                              <w:tcPr>
                                <w:tcW w:w="2554" w:type="dxa"/>
                                <w:gridSpan w:val="2"/>
                                <w:vMerge w:val="restart"/>
                                <w:shd w:val="clear" w:color="auto" w:fill="auto"/>
                                <w:vAlign w:val="center"/>
                                <w:hideMark/>
                              </w:tcPr>
                              <w:p>
                                <w:pPr>
                                  <w:jc w:val="center"/>
                                  <w:rPr>
                                    <w:b/>
                                    <w:bCs/>
                                    <w:color w:val="000000"/>
                                    <w:sz w:val="22"/>
                                    <w:szCs w:val="22"/>
                                  </w:rPr>
                                </w:pPr>
                                <w:r>
                                  <w:rPr>
                                    <w:b/>
                                    <w:bCs/>
                                    <w:color w:val="000000"/>
                                    <w:sz w:val="22"/>
                                    <w:szCs w:val="22"/>
                                  </w:rPr>
                                  <w:t>Pagal gyventojų skaičių (2025-03-02), 40 %</w:t>
                                </w:r>
                              </w:p>
                            </w:tc>
                            <w:tc>
                              <w:tcPr>
                                <w:tcW w:w="2268" w:type="dxa"/>
                                <w:gridSpan w:val="2"/>
                                <w:vMerge w:val="restart"/>
                                <w:shd w:val="clear" w:color="auto" w:fill="auto"/>
                                <w:vAlign w:val="center"/>
                                <w:hideMark/>
                              </w:tcPr>
                              <w:p>
                                <w:pPr>
                                  <w:jc w:val="center"/>
                                  <w:rPr>
                                    <w:b/>
                                    <w:bCs/>
                                    <w:color w:val="000000"/>
                                    <w:sz w:val="22"/>
                                    <w:szCs w:val="22"/>
                                  </w:rPr>
                                </w:pPr>
                                <w:r>
                                  <w:rPr>
                                    <w:b/>
                                    <w:bCs/>
                                    <w:color w:val="000000"/>
                                    <w:sz w:val="22"/>
                                    <w:szCs w:val="22"/>
                                  </w:rPr>
                                  <w:t>Pagal kelių ir gatvių ilgį, 60 %</w:t>
                                </w:r>
                              </w:p>
                            </w:tc>
                            <w:tc>
                              <w:tcPr>
                                <w:tcW w:w="1134" w:type="dxa"/>
                                <w:vMerge w:val="restart"/>
                                <w:shd w:val="clear" w:color="auto" w:fill="auto"/>
                                <w:vAlign w:val="center"/>
                                <w:hideMark/>
                              </w:tcPr>
                              <w:p>
                                <w:pPr>
                                  <w:jc w:val="center"/>
                                  <w:rPr>
                                    <w:b/>
                                    <w:bCs/>
                                    <w:color w:val="000000"/>
                                    <w:sz w:val="22"/>
                                    <w:szCs w:val="22"/>
                                  </w:rPr>
                                </w:pPr>
                                <w:r>
                                  <w:rPr>
                                    <w:b/>
                                    <w:bCs/>
                                    <w:color w:val="000000"/>
                                    <w:sz w:val="22"/>
                                    <w:szCs w:val="22"/>
                                  </w:rPr>
                                  <w:t>Viso,</w:t>
                                </w:r>
                              </w:p>
                              <w:p>
                                <w:pPr>
                                  <w:jc w:val="center"/>
                                  <w:rPr>
                                    <w:color w:val="000000"/>
                                    <w:sz w:val="22"/>
                                    <w:szCs w:val="22"/>
                                  </w:rPr>
                                </w:pPr>
                                <w:r>
                                  <w:rPr>
                                    <w:b/>
                                    <w:bCs/>
                                    <w:color w:val="000000"/>
                                    <w:sz w:val="22"/>
                                    <w:szCs w:val="22"/>
                                  </w:rPr>
                                  <w:t>Eur</w:t>
                                </w:r>
                              </w:p>
                            </w:tc>
                            <w:tc>
                              <w:tcPr>
                                <w:tcW w:w="7368" w:type="dxa"/>
                                <w:gridSpan w:val="2"/>
                              </w:tcPr>
                              <w:p>
                                <w:pPr>
                                  <w:jc w:val="center"/>
                                  <w:rPr>
                                    <w:b/>
                                    <w:bCs/>
                                    <w:color w:val="000000"/>
                                    <w:sz w:val="22"/>
                                    <w:szCs w:val="22"/>
                                  </w:rPr>
                                </w:pPr>
                                <w:r>
                                  <w:rPr>
                                    <w:b/>
                                    <w:bCs/>
                                    <w:color w:val="000000"/>
                                    <w:sz w:val="22"/>
                                    <w:szCs w:val="22"/>
                                  </w:rPr>
                                  <w:t>Iš jų:</w:t>
                                </w:r>
                              </w:p>
                            </w:tc>
                          </w:tr>
                          <w:tr>
                            <w:trPr>
                              <w:trHeight w:val="276"/>
                            </w:trPr>
                            <w:tc>
                              <w:tcPr>
                                <w:tcW w:w="659" w:type="dxa"/>
                                <w:vMerge/>
                                <w:shd w:val="clear" w:color="auto" w:fill="auto"/>
                                <w:vAlign w:val="center"/>
                                <w:hideMark/>
                              </w:tcPr>
                              <w:p>
                                <w:pPr>
                                  <w:rPr>
                                    <w:b/>
                                    <w:bCs/>
                                    <w:color w:val="000000"/>
                                    <w:sz w:val="22"/>
                                    <w:szCs w:val="22"/>
                                  </w:rPr>
                                </w:pPr>
                              </w:p>
                            </w:tc>
                            <w:tc>
                              <w:tcPr>
                                <w:tcW w:w="1465" w:type="dxa"/>
                                <w:vMerge/>
                                <w:shd w:val="clear" w:color="auto" w:fill="auto"/>
                                <w:vAlign w:val="center"/>
                                <w:hideMark/>
                              </w:tcPr>
                              <w:p>
                                <w:pPr>
                                  <w:rPr>
                                    <w:b/>
                                    <w:bCs/>
                                    <w:color w:val="000000"/>
                                    <w:sz w:val="22"/>
                                    <w:szCs w:val="22"/>
                                  </w:rPr>
                                </w:pPr>
                              </w:p>
                            </w:tc>
                            <w:tc>
                              <w:tcPr>
                                <w:tcW w:w="2554" w:type="dxa"/>
                                <w:gridSpan w:val="2"/>
                                <w:vMerge/>
                                <w:vAlign w:val="center"/>
                                <w:hideMark/>
                              </w:tcPr>
                              <w:p>
                                <w:pPr>
                                  <w:rPr>
                                    <w:b/>
                                    <w:bCs/>
                                    <w:color w:val="000000"/>
                                    <w:sz w:val="22"/>
                                    <w:szCs w:val="22"/>
                                  </w:rPr>
                                </w:pPr>
                              </w:p>
                            </w:tc>
                            <w:tc>
                              <w:tcPr>
                                <w:tcW w:w="2268" w:type="dxa"/>
                                <w:gridSpan w:val="2"/>
                                <w:vMerge/>
                                <w:vAlign w:val="center"/>
                                <w:hideMark/>
                              </w:tcPr>
                              <w:p>
                                <w:pPr>
                                  <w:rPr>
                                    <w:b/>
                                    <w:bCs/>
                                    <w:color w:val="000000"/>
                                    <w:sz w:val="22"/>
                                    <w:szCs w:val="22"/>
                                  </w:rPr>
                                </w:pPr>
                              </w:p>
                            </w:tc>
                            <w:tc>
                              <w:tcPr>
                                <w:tcW w:w="1134" w:type="dxa"/>
                                <w:vMerge/>
                                <w:vAlign w:val="center"/>
                                <w:hideMark/>
                              </w:tcPr>
                              <w:p>
                                <w:pPr>
                                  <w:rPr>
                                    <w:color w:val="000000"/>
                                    <w:sz w:val="22"/>
                                    <w:szCs w:val="22"/>
                                  </w:rPr>
                                </w:pPr>
                              </w:p>
                            </w:tc>
                            <w:tc>
                              <w:tcPr>
                                <w:tcW w:w="6101" w:type="dxa"/>
                                <w:vMerge w:val="restart"/>
                              </w:tcPr>
                              <w:p>
                                <w:pPr>
                                  <w:ind w:left="-137"/>
                                  <w:jc w:val="center"/>
                                  <w:rPr>
                                    <w:b/>
                                    <w:bCs/>
                                    <w:color w:val="000000"/>
                                    <w:sz w:val="22"/>
                                    <w:szCs w:val="22"/>
                                  </w:rPr>
                                </w:pPr>
                                <w:r>
                                  <w:rPr>
                                    <w:b/>
                                    <w:bCs/>
                                    <w:color w:val="000000"/>
                                    <w:sz w:val="22"/>
                                    <w:szCs w:val="22"/>
                                  </w:rPr>
                                  <w:t xml:space="preserve">Paprastojo remonto darbų objekto pavadinimas, </w:t>
                                </w:r>
                              </w:p>
                              <w:p>
                                <w:pPr>
                                  <w:ind w:left="-137"/>
                                  <w:jc w:val="center"/>
                                  <w:rPr>
                                    <w:b/>
                                    <w:bCs/>
                                    <w:color w:val="000000"/>
                                    <w:sz w:val="22"/>
                                    <w:szCs w:val="22"/>
                                  </w:rPr>
                                </w:pPr>
                                <w:r>
                                  <w:rPr>
                                    <w:b/>
                                    <w:bCs/>
                                    <w:color w:val="000000"/>
                                    <w:sz w:val="22"/>
                                    <w:szCs w:val="22"/>
                                  </w:rPr>
                                  <w:t xml:space="preserve">kai darbai atliekami didesniame </w:t>
                                </w:r>
                              </w:p>
                              <w:p>
                                <w:pPr>
                                  <w:ind w:left="-137"/>
                                  <w:jc w:val="center"/>
                                  <w:rPr>
                                    <w:b/>
                                    <w:bCs/>
                                    <w:color w:val="000000"/>
                                    <w:sz w:val="22"/>
                                    <w:szCs w:val="22"/>
                                  </w:rPr>
                                </w:pPr>
                                <w:r>
                                  <w:rPr>
                                    <w:b/>
                                    <w:bCs/>
                                    <w:color w:val="000000"/>
                                    <w:sz w:val="22"/>
                                    <w:szCs w:val="22"/>
                                  </w:rPr>
                                  <w:t>kaip 1000 m</w:t>
                                </w:r>
                                <w:r>
                                  <w:rPr>
                                    <w:b/>
                                    <w:bCs/>
                                    <w:color w:val="000000"/>
                                    <w:sz w:val="22"/>
                                    <w:szCs w:val="22"/>
                                    <w:vertAlign w:val="superscript"/>
                                  </w:rPr>
                                  <w:t>2</w:t>
                                </w:r>
                                <w:r>
                                  <w:rPr>
                                    <w:b/>
                                    <w:bCs/>
                                    <w:color w:val="000000"/>
                                    <w:sz w:val="22"/>
                                    <w:szCs w:val="22"/>
                                  </w:rPr>
                                  <w:t xml:space="preserve"> plote</w:t>
                                </w:r>
                              </w:p>
                            </w:tc>
                            <w:tc>
                              <w:tcPr>
                                <w:tcW w:w="1267" w:type="dxa"/>
                                <w:vMerge w:val="restart"/>
                              </w:tcPr>
                              <w:p>
                                <w:pPr>
                                  <w:jc w:val="center"/>
                                  <w:rPr>
                                    <w:b/>
                                    <w:bCs/>
                                    <w:color w:val="000000"/>
                                    <w:sz w:val="22"/>
                                    <w:szCs w:val="22"/>
                                  </w:rPr>
                                </w:pPr>
                              </w:p>
                              <w:p>
                                <w:pPr>
                                  <w:jc w:val="center"/>
                                  <w:rPr>
                                    <w:b/>
                                    <w:bCs/>
                                    <w:color w:val="000000"/>
                                    <w:sz w:val="22"/>
                                    <w:szCs w:val="22"/>
                                  </w:rPr>
                                </w:pPr>
                                <w:r>
                                  <w:rPr>
                                    <w:b/>
                                    <w:bCs/>
                                    <w:color w:val="000000"/>
                                    <w:sz w:val="22"/>
                                    <w:szCs w:val="22"/>
                                  </w:rPr>
                                  <w:t>Darbų vertė, Eur</w:t>
                                </w:r>
                              </w:p>
                            </w:tc>
                          </w:tr>
                          <w:tr>
                            <w:trPr>
                              <w:trHeight w:val="568"/>
                            </w:trPr>
                            <w:tc>
                              <w:tcPr>
                                <w:tcW w:w="659" w:type="dxa"/>
                                <w:vMerge/>
                                <w:shd w:val="clear" w:color="auto" w:fill="auto"/>
                                <w:vAlign w:val="center"/>
                                <w:hideMark/>
                              </w:tcPr>
                              <w:p>
                                <w:pPr>
                                  <w:rPr>
                                    <w:color w:val="000000"/>
                                    <w:sz w:val="22"/>
                                    <w:szCs w:val="22"/>
                                  </w:rPr>
                                </w:pPr>
                              </w:p>
                            </w:tc>
                            <w:tc>
                              <w:tcPr>
                                <w:tcW w:w="1465" w:type="dxa"/>
                                <w:vMerge/>
                                <w:shd w:val="clear" w:color="auto" w:fill="auto"/>
                                <w:vAlign w:val="center"/>
                                <w:hideMark/>
                              </w:tcPr>
                              <w:p>
                                <w:pPr>
                                  <w:rPr>
                                    <w:color w:val="000000"/>
                                    <w:sz w:val="22"/>
                                    <w:szCs w:val="22"/>
                                  </w:rPr>
                                </w:pPr>
                              </w:p>
                            </w:tc>
                            <w:tc>
                              <w:tcPr>
                                <w:tcW w:w="1206" w:type="dxa"/>
                                <w:shd w:val="clear" w:color="auto" w:fill="auto"/>
                                <w:vAlign w:val="center"/>
                                <w:hideMark/>
                              </w:tcPr>
                              <w:p>
                                <w:pPr>
                                  <w:jc w:val="center"/>
                                  <w:rPr>
                                    <w:b/>
                                    <w:bCs/>
                                    <w:color w:val="000000"/>
                                    <w:sz w:val="22"/>
                                    <w:szCs w:val="22"/>
                                  </w:rPr>
                                </w:pPr>
                                <w:r>
                                  <w:rPr>
                                    <w:b/>
                                    <w:bCs/>
                                    <w:color w:val="000000"/>
                                    <w:sz w:val="22"/>
                                    <w:szCs w:val="22"/>
                                  </w:rPr>
                                  <w:t xml:space="preserve">Gyventojų skaičius           </w:t>
                                </w:r>
                              </w:p>
                            </w:tc>
                            <w:tc>
                              <w:tcPr>
                                <w:tcW w:w="1348" w:type="dxa"/>
                                <w:shd w:val="clear" w:color="auto" w:fill="auto"/>
                                <w:vAlign w:val="center"/>
                                <w:hideMark/>
                              </w:tcPr>
                              <w:p>
                                <w:pPr>
                                  <w:jc w:val="center"/>
                                  <w:rPr>
                                    <w:b/>
                                    <w:bCs/>
                                    <w:color w:val="000000"/>
                                    <w:sz w:val="22"/>
                                    <w:szCs w:val="22"/>
                                  </w:rPr>
                                </w:pPr>
                                <w:r>
                                  <w:rPr>
                                    <w:b/>
                                    <w:bCs/>
                                    <w:color w:val="000000"/>
                                    <w:sz w:val="22"/>
                                    <w:szCs w:val="22"/>
                                  </w:rPr>
                                  <w:t>Eur</w:t>
                                </w:r>
                              </w:p>
                            </w:tc>
                            <w:tc>
                              <w:tcPr>
                                <w:tcW w:w="1134" w:type="dxa"/>
                                <w:shd w:val="clear" w:color="auto" w:fill="auto"/>
                                <w:vAlign w:val="center"/>
                                <w:hideMark/>
                              </w:tcPr>
                              <w:p>
                                <w:pPr>
                                  <w:jc w:val="center"/>
                                  <w:rPr>
                                    <w:b/>
                                    <w:bCs/>
                                    <w:color w:val="000000"/>
                                    <w:sz w:val="22"/>
                                    <w:szCs w:val="22"/>
                                  </w:rPr>
                                </w:pPr>
                                <w:r>
                                  <w:rPr>
                                    <w:b/>
                                    <w:bCs/>
                                    <w:color w:val="000000"/>
                                    <w:sz w:val="22"/>
                                    <w:szCs w:val="22"/>
                                  </w:rPr>
                                  <w:t>Ilgis km</w:t>
                                </w:r>
                              </w:p>
                            </w:tc>
                            <w:tc>
                              <w:tcPr>
                                <w:tcW w:w="1134" w:type="dxa"/>
                                <w:shd w:val="clear" w:color="auto" w:fill="auto"/>
                                <w:vAlign w:val="center"/>
                                <w:hideMark/>
                              </w:tcPr>
                              <w:p>
                                <w:pPr>
                                  <w:jc w:val="center"/>
                                  <w:rPr>
                                    <w:b/>
                                    <w:bCs/>
                                    <w:color w:val="000000"/>
                                    <w:sz w:val="22"/>
                                    <w:szCs w:val="22"/>
                                  </w:rPr>
                                </w:pPr>
                                <w:r>
                                  <w:rPr>
                                    <w:b/>
                                    <w:bCs/>
                                    <w:color w:val="000000"/>
                                    <w:sz w:val="22"/>
                                    <w:szCs w:val="22"/>
                                  </w:rPr>
                                  <w:t>Eur</w:t>
                                </w:r>
                              </w:p>
                            </w:tc>
                            <w:tc>
                              <w:tcPr>
                                <w:tcW w:w="1134" w:type="dxa"/>
                                <w:vMerge/>
                                <w:vAlign w:val="center"/>
                                <w:hideMark/>
                              </w:tcPr>
                              <w:p>
                                <w:pPr>
                                  <w:rPr>
                                    <w:color w:val="000000"/>
                                    <w:sz w:val="22"/>
                                    <w:szCs w:val="22"/>
                                  </w:rPr>
                                </w:pPr>
                              </w:p>
                            </w:tc>
                            <w:tc>
                              <w:tcPr>
                                <w:tcW w:w="6101" w:type="dxa"/>
                                <w:vMerge/>
                              </w:tcPr>
                              <w:p>
                                <w:pPr>
                                  <w:rPr>
                                    <w:color w:val="000000"/>
                                    <w:sz w:val="22"/>
                                    <w:szCs w:val="22"/>
                                  </w:rPr>
                                </w:pPr>
                              </w:p>
                            </w:tc>
                            <w:tc>
                              <w:tcPr>
                                <w:tcW w:w="1267" w:type="dxa"/>
                                <w:vMerge/>
                              </w:tcPr>
                              <w:p>
                                <w:pPr>
                                  <w:rPr>
                                    <w:color w:val="000000"/>
                                    <w:sz w:val="22"/>
                                    <w:szCs w:val="22"/>
                                  </w:rPr>
                                </w:pPr>
                              </w:p>
                            </w:tc>
                          </w:tr>
                          <w:tr>
                            <w:trPr>
                              <w:trHeight w:val="645"/>
                            </w:trPr>
                            <w:tc>
                              <w:tcPr>
                                <w:tcW w:w="659" w:type="dxa"/>
                                <w:shd w:val="clear" w:color="auto" w:fill="auto"/>
                                <w:vAlign w:val="center"/>
                                <w:hideMark/>
                              </w:tcPr>
                              <w:p>
                                <w:pPr>
                                  <w:jc w:val="center"/>
                                  <w:rPr>
                                    <w:color w:val="000000"/>
                                    <w:sz w:val="22"/>
                                    <w:szCs w:val="22"/>
                                  </w:rPr>
                                </w:pPr>
                                <w:r>
                                  <w:rPr>
                                    <w:color w:val="000000"/>
                                    <w:sz w:val="22"/>
                                    <w:szCs w:val="22"/>
                                  </w:rPr>
                                  <w:t>1.</w:t>
                                </w:r>
                              </w:p>
                            </w:tc>
                            <w:tc>
                              <w:tcPr>
                                <w:tcW w:w="1465" w:type="dxa"/>
                                <w:shd w:val="clear" w:color="auto" w:fill="auto"/>
                                <w:vAlign w:val="center"/>
                                <w:hideMark/>
                              </w:tcPr>
                              <w:p>
                                <w:pPr>
                                  <w:rPr>
                                    <w:color w:val="000000"/>
                                    <w:sz w:val="22"/>
                                    <w:szCs w:val="22"/>
                                  </w:rPr>
                                </w:pPr>
                                <w:r>
                                  <w:rPr>
                                    <w:color w:val="000000"/>
                                    <w:sz w:val="22"/>
                                    <w:szCs w:val="22"/>
                                  </w:rPr>
                                  <w:t xml:space="preserve">Radviliškio m. </w:t>
                                </w:r>
                              </w:p>
                            </w:tc>
                            <w:tc>
                              <w:tcPr>
                                <w:tcW w:w="1206" w:type="dxa"/>
                                <w:shd w:val="clear" w:color="auto" w:fill="auto"/>
                                <w:vAlign w:val="center"/>
                                <w:hideMark/>
                              </w:tcPr>
                              <w:p>
                                <w:pPr>
                                  <w:jc w:val="center"/>
                                  <w:rPr>
                                    <w:color w:val="000000"/>
                                    <w:sz w:val="22"/>
                                    <w:szCs w:val="22"/>
                                  </w:rPr>
                                </w:pPr>
                                <w:r>
                                  <w:rPr>
                                    <w:color w:val="000000"/>
                                    <w:sz w:val="20"/>
                                    <w:lang w:val="en-GB"/>
                                  </w:rPr>
                                  <w:t>15 611</w:t>
                                </w:r>
                              </w:p>
                            </w:tc>
                            <w:tc>
                              <w:tcPr>
                                <w:tcW w:w="1348" w:type="dxa"/>
                                <w:shd w:val="clear" w:color="auto" w:fill="auto"/>
                                <w:vAlign w:val="center"/>
                                <w:hideMark/>
                              </w:tcPr>
                              <w:p>
                                <w:pPr>
                                  <w:jc w:val="center"/>
                                  <w:rPr>
                                    <w:color w:val="000000"/>
                                    <w:sz w:val="22"/>
                                    <w:szCs w:val="22"/>
                                  </w:rPr>
                                </w:pPr>
                                <w:r>
                                  <w:rPr>
                                    <w:color w:val="000000"/>
                                    <w:sz w:val="22"/>
                                    <w:szCs w:val="22"/>
                                  </w:rPr>
                                  <w:t>133 851</w:t>
                                </w:r>
                              </w:p>
                            </w:tc>
                            <w:tc>
                              <w:tcPr>
                                <w:tcW w:w="1134" w:type="dxa"/>
                                <w:shd w:val="clear" w:color="auto" w:fill="auto"/>
                                <w:vAlign w:val="center"/>
                                <w:hideMark/>
                              </w:tcPr>
                              <w:p>
                                <w:pPr>
                                  <w:jc w:val="center"/>
                                  <w:rPr>
                                    <w:color w:val="000000"/>
                                    <w:sz w:val="22"/>
                                    <w:szCs w:val="22"/>
                                  </w:rPr>
                                </w:pPr>
                                <w:r>
                                  <w:rPr>
                                    <w:color w:val="000000"/>
                                    <w:sz w:val="20"/>
                                    <w:lang w:val="en-GB"/>
                                  </w:rPr>
                                  <w:t>76,75</w:t>
                                </w:r>
                              </w:p>
                            </w:tc>
                            <w:tc>
                              <w:tcPr>
                                <w:tcW w:w="1134" w:type="dxa"/>
                                <w:shd w:val="clear" w:color="auto" w:fill="auto"/>
                                <w:vAlign w:val="center"/>
                                <w:hideMark/>
                              </w:tcPr>
                              <w:p>
                                <w:pPr>
                                  <w:jc w:val="center"/>
                                  <w:rPr>
                                    <w:color w:val="000000"/>
                                    <w:sz w:val="22"/>
                                    <w:szCs w:val="22"/>
                                  </w:rPr>
                                </w:pPr>
                                <w:r>
                                  <w:rPr>
                                    <w:color w:val="000000"/>
                                    <w:sz w:val="22"/>
                                    <w:szCs w:val="22"/>
                                  </w:rPr>
                                  <w:t>25 512</w:t>
                                </w:r>
                              </w:p>
                            </w:tc>
                            <w:tc>
                              <w:tcPr>
                                <w:tcW w:w="1134" w:type="dxa"/>
                                <w:shd w:val="clear" w:color="auto" w:fill="auto"/>
                                <w:vAlign w:val="center"/>
                                <w:hideMark/>
                              </w:tcPr>
                              <w:p>
                                <w:pPr>
                                  <w:jc w:val="center"/>
                                  <w:rPr>
                                    <w:color w:val="000000"/>
                                    <w:sz w:val="22"/>
                                    <w:szCs w:val="22"/>
                                  </w:rPr>
                                </w:pPr>
                                <w:r>
                                  <w:rPr>
                                    <w:color w:val="000000"/>
                                    <w:sz w:val="22"/>
                                    <w:szCs w:val="22"/>
                                  </w:rPr>
                                  <w:t>159 363</w:t>
                                </w:r>
                              </w:p>
                            </w:tc>
                            <w:tc>
                              <w:tcPr>
                                <w:tcW w:w="6101" w:type="dxa"/>
                              </w:tcPr>
                              <w:p>
                                <w:pPr>
                                  <w:rPr>
                                    <w:color w:val="000000"/>
                                    <w:sz w:val="22"/>
                                    <w:szCs w:val="22"/>
                                  </w:rPr>
                                </w:pPr>
                                <w:r>
                                  <w:rPr>
                                    <w:color w:val="000000"/>
                                    <w:sz w:val="22"/>
                                    <w:szCs w:val="22"/>
                                  </w:rPr>
                                  <w:t>Radviliškio m. Maironio g. RD8001</w:t>
                                </w:r>
                              </w:p>
                              <w:p>
                                <w:pPr>
                                  <w:rPr>
                                    <w:sz w:val="22"/>
                                    <w:szCs w:val="22"/>
                                  </w:rPr>
                                </w:pPr>
                                <w:r>
                                  <w:rPr>
                                    <w:sz w:val="22"/>
                                    <w:szCs w:val="22"/>
                                  </w:rPr>
                                  <w:t>Radviliškio m. J. Basanavičiaus g. RD8135</w:t>
                                </w:r>
                              </w:p>
                              <w:p>
                                <w:pPr>
                                  <w:rPr>
                                    <w:color w:val="000000"/>
                                    <w:sz w:val="22"/>
                                    <w:szCs w:val="22"/>
                                  </w:rPr>
                                </w:pPr>
                                <w:r>
                                  <w:rPr>
                                    <w:color w:val="000000"/>
                                    <w:sz w:val="22"/>
                                    <w:szCs w:val="22"/>
                                  </w:rPr>
                                  <w:t>Radviliškio m. Miško a. RD8038, RD8128</w:t>
                                </w:r>
                              </w:p>
                            </w:tc>
                            <w:tc>
                              <w:tcPr>
                                <w:tcW w:w="1267" w:type="dxa"/>
                              </w:tcPr>
                              <w:p>
                                <w:pPr>
                                  <w:jc w:val="center"/>
                                  <w:rPr>
                                    <w:color w:val="000000"/>
                                    <w:sz w:val="22"/>
                                    <w:szCs w:val="22"/>
                                  </w:rPr>
                                </w:pPr>
                                <w:r>
                                  <w:rPr>
                                    <w:color w:val="000000"/>
                                    <w:sz w:val="22"/>
                                    <w:szCs w:val="22"/>
                                  </w:rPr>
                                  <w:t>69 000</w:t>
                                </w:r>
                              </w:p>
                              <w:p>
                                <w:pPr>
                                  <w:jc w:val="center"/>
                                  <w:rPr>
                                    <w:color w:val="000000"/>
                                    <w:sz w:val="22"/>
                                    <w:szCs w:val="22"/>
                                  </w:rPr>
                                </w:pPr>
                                <w:r>
                                  <w:rPr>
                                    <w:color w:val="000000"/>
                                    <w:sz w:val="22"/>
                                    <w:szCs w:val="22"/>
                                  </w:rPr>
                                  <w:t>20 000</w:t>
                                </w:r>
                              </w:p>
                              <w:p>
                                <w:pPr>
                                  <w:jc w:val="center"/>
                                  <w:rPr>
                                    <w:color w:val="000000"/>
                                    <w:sz w:val="22"/>
                                    <w:szCs w:val="22"/>
                                  </w:rPr>
                                </w:pPr>
                                <w:r>
                                  <w:rPr>
                                    <w:color w:val="000000"/>
                                    <w:sz w:val="22"/>
                                    <w:szCs w:val="22"/>
                                  </w:rPr>
                                  <w:t>36 700</w:t>
                                </w:r>
                              </w:p>
                            </w:tc>
                          </w:tr>
                          <w:tr>
                            <w:trPr>
                              <w:trHeight w:val="455"/>
                            </w:trPr>
                            <w:tc>
                              <w:tcPr>
                                <w:tcW w:w="659" w:type="dxa"/>
                                <w:shd w:val="clear" w:color="auto" w:fill="auto"/>
                                <w:vAlign w:val="center"/>
                                <w:hideMark/>
                              </w:tcPr>
                              <w:p>
                                <w:pPr>
                                  <w:jc w:val="center"/>
                                  <w:rPr>
                                    <w:color w:val="000000"/>
                                    <w:sz w:val="22"/>
                                    <w:szCs w:val="22"/>
                                  </w:rPr>
                                </w:pPr>
                                <w:r>
                                  <w:rPr>
                                    <w:color w:val="000000"/>
                                    <w:sz w:val="22"/>
                                    <w:szCs w:val="22"/>
                                  </w:rPr>
                                  <w:t>2.</w:t>
                                </w:r>
                              </w:p>
                            </w:tc>
                            <w:tc>
                              <w:tcPr>
                                <w:tcW w:w="1465" w:type="dxa"/>
                                <w:shd w:val="clear" w:color="auto" w:fill="auto"/>
                                <w:vAlign w:val="center"/>
                                <w:hideMark/>
                              </w:tcPr>
                              <w:p>
                                <w:pPr>
                                  <w:rPr>
                                    <w:color w:val="000000"/>
                                    <w:sz w:val="22"/>
                                    <w:szCs w:val="22"/>
                                  </w:rPr>
                                </w:pPr>
                                <w:r>
                                  <w:rPr>
                                    <w:color w:val="000000"/>
                                    <w:sz w:val="22"/>
                                    <w:szCs w:val="22"/>
                                  </w:rPr>
                                  <w:t>Šeduvos m.</w:t>
                                </w:r>
                              </w:p>
                            </w:tc>
                            <w:tc>
                              <w:tcPr>
                                <w:tcW w:w="1206" w:type="dxa"/>
                                <w:shd w:val="clear" w:color="auto" w:fill="auto"/>
                                <w:vAlign w:val="center"/>
                                <w:hideMark/>
                              </w:tcPr>
                              <w:p>
                                <w:pPr>
                                  <w:jc w:val="center"/>
                                  <w:rPr>
                                    <w:color w:val="000000"/>
                                    <w:sz w:val="22"/>
                                    <w:szCs w:val="22"/>
                                  </w:rPr>
                                </w:pPr>
                                <w:r>
                                  <w:rPr>
                                    <w:color w:val="000000"/>
                                    <w:sz w:val="20"/>
                                    <w:lang w:val="en-GB"/>
                                  </w:rPr>
                                  <w:t>3 941</w:t>
                                </w:r>
                              </w:p>
                            </w:tc>
                            <w:tc>
                              <w:tcPr>
                                <w:tcW w:w="1348" w:type="dxa"/>
                                <w:shd w:val="clear" w:color="auto" w:fill="auto"/>
                                <w:vAlign w:val="center"/>
                                <w:hideMark/>
                              </w:tcPr>
                              <w:p>
                                <w:pPr>
                                  <w:jc w:val="center"/>
                                  <w:rPr>
                                    <w:color w:val="000000"/>
                                    <w:sz w:val="22"/>
                                    <w:szCs w:val="22"/>
                                  </w:rPr>
                                </w:pPr>
                                <w:r>
                                  <w:rPr>
                                    <w:color w:val="000000"/>
                                    <w:sz w:val="22"/>
                                    <w:szCs w:val="22"/>
                                  </w:rPr>
                                  <w:t>33 791</w:t>
                                </w:r>
                              </w:p>
                            </w:tc>
                            <w:tc>
                              <w:tcPr>
                                <w:tcW w:w="1134" w:type="dxa"/>
                                <w:shd w:val="clear" w:color="auto" w:fill="auto"/>
                                <w:vAlign w:val="center"/>
                                <w:hideMark/>
                              </w:tcPr>
                              <w:p>
                                <w:pPr>
                                  <w:jc w:val="center"/>
                                  <w:rPr>
                                    <w:color w:val="000000"/>
                                    <w:sz w:val="22"/>
                                    <w:szCs w:val="22"/>
                                  </w:rPr>
                                </w:pPr>
                                <w:r>
                                  <w:rPr>
                                    <w:color w:val="000000"/>
                                    <w:sz w:val="20"/>
                                    <w:lang w:val="en-GB"/>
                                  </w:rPr>
                                  <w:t>164,43</w:t>
                                </w:r>
                              </w:p>
                            </w:tc>
                            <w:tc>
                              <w:tcPr>
                                <w:tcW w:w="1134" w:type="dxa"/>
                                <w:shd w:val="clear" w:color="auto" w:fill="auto"/>
                                <w:vAlign w:val="center"/>
                                <w:hideMark/>
                              </w:tcPr>
                              <w:p>
                                <w:pPr>
                                  <w:jc w:val="center"/>
                                  <w:rPr>
                                    <w:color w:val="000000"/>
                                    <w:sz w:val="22"/>
                                    <w:szCs w:val="22"/>
                                  </w:rPr>
                                </w:pPr>
                                <w:r>
                                  <w:rPr>
                                    <w:color w:val="000000"/>
                                    <w:sz w:val="22"/>
                                    <w:szCs w:val="22"/>
                                  </w:rPr>
                                  <w:t>54 665</w:t>
                                </w:r>
                              </w:p>
                            </w:tc>
                            <w:tc>
                              <w:tcPr>
                                <w:tcW w:w="1134" w:type="dxa"/>
                                <w:shd w:val="clear" w:color="auto" w:fill="auto"/>
                                <w:vAlign w:val="center"/>
                                <w:hideMark/>
                              </w:tcPr>
                              <w:p>
                                <w:pPr>
                                  <w:jc w:val="center"/>
                                  <w:rPr>
                                    <w:color w:val="000000"/>
                                    <w:sz w:val="22"/>
                                    <w:szCs w:val="22"/>
                                  </w:rPr>
                                </w:pPr>
                                <w:r>
                                  <w:rPr>
                                    <w:color w:val="000000"/>
                                    <w:sz w:val="22"/>
                                    <w:szCs w:val="22"/>
                                  </w:rPr>
                                  <w:t>88 456</w:t>
                                </w:r>
                              </w:p>
                            </w:tc>
                            <w:tc>
                              <w:tcPr>
                                <w:tcW w:w="6101" w:type="dxa"/>
                              </w:tcPr>
                              <w:p>
                                <w:pPr>
                                  <w:rPr>
                                    <w:color w:val="000000"/>
                                    <w:sz w:val="22"/>
                                    <w:szCs w:val="22"/>
                                  </w:rPr>
                                </w:pPr>
                                <w:r>
                                  <w:rPr>
                                    <w:color w:val="000000"/>
                                    <w:sz w:val="22"/>
                                    <w:szCs w:val="22"/>
                                  </w:rPr>
                                  <w:t>Šeduvos m. sen. Butėnų k. Atgimimo g. RD7013</w:t>
                                </w:r>
                              </w:p>
                            </w:tc>
                            <w:tc>
                              <w:tcPr>
                                <w:tcW w:w="1267" w:type="dxa"/>
                              </w:tcPr>
                              <w:p>
                                <w:pPr>
                                  <w:jc w:val="center"/>
                                  <w:rPr>
                                    <w:color w:val="000000"/>
                                    <w:sz w:val="22"/>
                                    <w:szCs w:val="22"/>
                                  </w:rPr>
                                </w:pPr>
                                <w:r>
                                  <w:rPr>
                                    <w:color w:val="000000"/>
                                    <w:sz w:val="22"/>
                                    <w:szCs w:val="22"/>
                                  </w:rPr>
                                  <w:t>14 000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3.</w:t>
                                </w:r>
                              </w:p>
                            </w:tc>
                            <w:tc>
                              <w:tcPr>
                                <w:tcW w:w="1465" w:type="dxa"/>
                                <w:shd w:val="clear" w:color="auto" w:fill="auto"/>
                                <w:vAlign w:val="center"/>
                                <w:hideMark/>
                              </w:tcPr>
                              <w:p>
                                <w:pPr>
                                  <w:rPr>
                                    <w:color w:val="000000"/>
                                    <w:sz w:val="22"/>
                                    <w:szCs w:val="22"/>
                                  </w:rPr>
                                </w:pPr>
                                <w:r>
                                  <w:rPr>
                                    <w:color w:val="000000"/>
                                    <w:sz w:val="22"/>
                                    <w:szCs w:val="22"/>
                                  </w:rPr>
                                  <w:t>Aukštelkų</w:t>
                                </w:r>
                              </w:p>
                            </w:tc>
                            <w:tc>
                              <w:tcPr>
                                <w:tcW w:w="1206" w:type="dxa"/>
                                <w:shd w:val="clear" w:color="auto" w:fill="auto"/>
                                <w:vAlign w:val="center"/>
                                <w:hideMark/>
                              </w:tcPr>
                              <w:p>
                                <w:pPr>
                                  <w:bidi/>
                                  <w:jc w:val="center"/>
                                  <w:rPr>
                                    <w:color w:val="000000"/>
                                    <w:sz w:val="22"/>
                                    <w:szCs w:val="22"/>
                                  </w:rPr>
                                </w:pPr>
                                <w:r>
                                  <w:rPr>
                                    <w:color w:val="000000"/>
                                    <w:sz w:val="20"/>
                                    <w:lang w:val="en-GB"/>
                                  </w:rPr>
                                  <w:t>1 414</w:t>
                                </w:r>
                              </w:p>
                            </w:tc>
                            <w:tc>
                              <w:tcPr>
                                <w:tcW w:w="1348" w:type="dxa"/>
                                <w:shd w:val="clear" w:color="auto" w:fill="auto"/>
                                <w:vAlign w:val="center"/>
                                <w:hideMark/>
                              </w:tcPr>
                              <w:p>
                                <w:pPr>
                                  <w:jc w:val="center"/>
                                  <w:rPr>
                                    <w:color w:val="000000"/>
                                    <w:sz w:val="22"/>
                                    <w:szCs w:val="22"/>
                                  </w:rPr>
                                </w:pPr>
                                <w:r>
                                  <w:rPr>
                                    <w:color w:val="000000"/>
                                    <w:sz w:val="22"/>
                                    <w:szCs w:val="22"/>
                                  </w:rPr>
                                  <w:t>12 124</w:t>
                                </w:r>
                              </w:p>
                            </w:tc>
                            <w:tc>
                              <w:tcPr>
                                <w:tcW w:w="1134" w:type="dxa"/>
                                <w:shd w:val="clear" w:color="auto" w:fill="auto"/>
                                <w:vAlign w:val="center"/>
                                <w:hideMark/>
                              </w:tcPr>
                              <w:p>
                                <w:pPr>
                                  <w:jc w:val="center"/>
                                  <w:rPr>
                                    <w:color w:val="000000"/>
                                    <w:sz w:val="22"/>
                                    <w:szCs w:val="22"/>
                                  </w:rPr>
                                </w:pPr>
                                <w:r>
                                  <w:rPr>
                                    <w:color w:val="000000"/>
                                    <w:sz w:val="20"/>
                                    <w:lang w:val="en-GB"/>
                                  </w:rPr>
                                  <w:t>91,24</w:t>
                                </w:r>
                              </w:p>
                            </w:tc>
                            <w:tc>
                              <w:tcPr>
                                <w:tcW w:w="1134" w:type="dxa"/>
                                <w:shd w:val="clear" w:color="auto" w:fill="auto"/>
                                <w:vAlign w:val="center"/>
                                <w:hideMark/>
                              </w:tcPr>
                              <w:p>
                                <w:pPr>
                                  <w:jc w:val="center"/>
                                  <w:rPr>
                                    <w:color w:val="000000"/>
                                    <w:sz w:val="22"/>
                                    <w:szCs w:val="22"/>
                                  </w:rPr>
                                </w:pPr>
                                <w:r>
                                  <w:rPr>
                                    <w:color w:val="000000"/>
                                    <w:sz w:val="22"/>
                                    <w:szCs w:val="22"/>
                                  </w:rPr>
                                  <w:t>30 333</w:t>
                                </w:r>
                              </w:p>
                            </w:tc>
                            <w:tc>
                              <w:tcPr>
                                <w:tcW w:w="1134" w:type="dxa"/>
                                <w:shd w:val="clear" w:color="auto" w:fill="auto"/>
                                <w:vAlign w:val="center"/>
                                <w:hideMark/>
                              </w:tcPr>
                              <w:p>
                                <w:pPr>
                                  <w:jc w:val="center"/>
                                  <w:rPr>
                                    <w:color w:val="000000"/>
                                    <w:sz w:val="22"/>
                                    <w:szCs w:val="22"/>
                                  </w:rPr>
                                </w:pPr>
                                <w:r>
                                  <w:rPr>
                                    <w:color w:val="000000"/>
                                    <w:sz w:val="22"/>
                                    <w:szCs w:val="22"/>
                                  </w:rPr>
                                  <w:t>42 457</w:t>
                                </w:r>
                              </w:p>
                            </w:tc>
                            <w:tc>
                              <w:tcPr>
                                <w:tcW w:w="6101" w:type="dxa"/>
                              </w:tcPr>
                              <w:p>
                                <w:pPr>
                                  <w:rPr>
                                    <w:color w:val="000000"/>
                                    <w:sz w:val="22"/>
                                    <w:szCs w:val="22"/>
                                  </w:rPr>
                                </w:pPr>
                                <w:r>
                                  <w:rPr>
                                    <w:sz w:val="22"/>
                                    <w:szCs w:val="22"/>
                                  </w:rPr>
                                  <w:t>Aukštelkų sen. Aukštelkų k. Vėzgės g. RD7137</w:t>
                                </w:r>
                              </w:p>
                            </w:tc>
                            <w:tc>
                              <w:tcPr>
                                <w:tcW w:w="1267" w:type="dxa"/>
                              </w:tcPr>
                              <w:p>
                                <w:pPr>
                                  <w:jc w:val="center"/>
                                  <w:rPr>
                                    <w:color w:val="000000"/>
                                    <w:sz w:val="22"/>
                                    <w:szCs w:val="22"/>
                                  </w:rPr>
                                </w:pPr>
                                <w:r>
                                  <w:rPr>
                                    <w:color w:val="000000"/>
                                    <w:sz w:val="22"/>
                                    <w:szCs w:val="22"/>
                                  </w:rPr>
                                  <w:t>21 900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4.</w:t>
                                </w:r>
                              </w:p>
                            </w:tc>
                            <w:tc>
                              <w:tcPr>
                                <w:tcW w:w="1465" w:type="dxa"/>
                                <w:shd w:val="clear" w:color="auto" w:fill="auto"/>
                                <w:vAlign w:val="center"/>
                                <w:hideMark/>
                              </w:tcPr>
                              <w:p>
                                <w:pPr>
                                  <w:rPr>
                                    <w:color w:val="000000"/>
                                    <w:sz w:val="22"/>
                                    <w:szCs w:val="22"/>
                                  </w:rPr>
                                </w:pPr>
                                <w:r>
                                  <w:rPr>
                                    <w:color w:val="000000"/>
                                    <w:sz w:val="22"/>
                                    <w:szCs w:val="22"/>
                                  </w:rPr>
                                  <w:t>Baisogalos</w:t>
                                </w:r>
                              </w:p>
                            </w:tc>
                            <w:tc>
                              <w:tcPr>
                                <w:tcW w:w="1206" w:type="dxa"/>
                                <w:shd w:val="clear" w:color="auto" w:fill="auto"/>
                                <w:vAlign w:val="center"/>
                                <w:hideMark/>
                              </w:tcPr>
                              <w:p>
                                <w:pPr>
                                  <w:jc w:val="center"/>
                                  <w:rPr>
                                    <w:color w:val="000000"/>
                                    <w:sz w:val="22"/>
                                    <w:szCs w:val="22"/>
                                  </w:rPr>
                                </w:pPr>
                                <w:r>
                                  <w:rPr>
                                    <w:color w:val="000000"/>
                                    <w:sz w:val="20"/>
                                    <w:lang w:val="en-GB"/>
                                  </w:rPr>
                                  <w:t>3 282</w:t>
                                </w:r>
                              </w:p>
                            </w:tc>
                            <w:tc>
                              <w:tcPr>
                                <w:tcW w:w="1348" w:type="dxa"/>
                                <w:shd w:val="clear" w:color="auto" w:fill="auto"/>
                                <w:vAlign w:val="center"/>
                                <w:hideMark/>
                              </w:tcPr>
                              <w:p>
                                <w:pPr>
                                  <w:jc w:val="center"/>
                                  <w:rPr>
                                    <w:color w:val="000000"/>
                                    <w:sz w:val="22"/>
                                    <w:szCs w:val="22"/>
                                  </w:rPr>
                                </w:pPr>
                                <w:r>
                                  <w:rPr>
                                    <w:color w:val="000000"/>
                                    <w:sz w:val="22"/>
                                    <w:szCs w:val="22"/>
                                  </w:rPr>
                                  <w:t>28 140</w:t>
                                </w:r>
                              </w:p>
                            </w:tc>
                            <w:tc>
                              <w:tcPr>
                                <w:tcW w:w="1134" w:type="dxa"/>
                                <w:shd w:val="clear" w:color="auto" w:fill="auto"/>
                                <w:vAlign w:val="center"/>
                                <w:hideMark/>
                              </w:tcPr>
                              <w:p>
                                <w:pPr>
                                  <w:jc w:val="center"/>
                                  <w:rPr>
                                    <w:color w:val="000000"/>
                                    <w:sz w:val="22"/>
                                    <w:szCs w:val="22"/>
                                  </w:rPr>
                                </w:pPr>
                                <w:r>
                                  <w:rPr>
                                    <w:color w:val="000000"/>
                                    <w:sz w:val="20"/>
                                    <w:lang w:val="en-GB"/>
                                  </w:rPr>
                                  <w:t>137,01</w:t>
                                </w:r>
                              </w:p>
                            </w:tc>
                            <w:tc>
                              <w:tcPr>
                                <w:tcW w:w="1134" w:type="dxa"/>
                                <w:shd w:val="clear" w:color="auto" w:fill="auto"/>
                                <w:vAlign w:val="center"/>
                                <w:hideMark/>
                              </w:tcPr>
                              <w:p>
                                <w:pPr>
                                  <w:jc w:val="center"/>
                                  <w:rPr>
                                    <w:color w:val="000000"/>
                                    <w:sz w:val="22"/>
                                    <w:szCs w:val="22"/>
                                  </w:rPr>
                                </w:pPr>
                                <w:r>
                                  <w:rPr>
                                    <w:color w:val="000000"/>
                                    <w:sz w:val="22"/>
                                    <w:szCs w:val="22"/>
                                  </w:rPr>
                                  <w:t>45 549</w:t>
                                </w:r>
                              </w:p>
                            </w:tc>
                            <w:tc>
                              <w:tcPr>
                                <w:tcW w:w="1134" w:type="dxa"/>
                                <w:shd w:val="clear" w:color="auto" w:fill="auto"/>
                                <w:vAlign w:val="center"/>
                                <w:hideMark/>
                              </w:tcPr>
                              <w:p>
                                <w:pPr>
                                  <w:jc w:val="center"/>
                                  <w:rPr>
                                    <w:color w:val="000000"/>
                                    <w:sz w:val="22"/>
                                    <w:szCs w:val="22"/>
                                  </w:rPr>
                                </w:pPr>
                                <w:r>
                                  <w:rPr>
                                    <w:color w:val="000000"/>
                                    <w:sz w:val="22"/>
                                    <w:szCs w:val="22"/>
                                  </w:rPr>
                                  <w:t>73 689</w:t>
                                </w:r>
                              </w:p>
                            </w:tc>
                            <w:tc>
                              <w:tcPr>
                                <w:tcW w:w="6101" w:type="dxa"/>
                              </w:tcPr>
                              <w:p>
                                <w:pPr>
                                  <w:rPr>
                                    <w:color w:val="000000"/>
                                    <w:sz w:val="22"/>
                                    <w:szCs w:val="22"/>
                                  </w:rPr>
                                </w:pPr>
                                <w:r>
                                  <w:rPr>
                                    <w:color w:val="000000"/>
                                    <w:sz w:val="22"/>
                                    <w:szCs w:val="22"/>
                                  </w:rPr>
                                  <w:t>Baisogalos mstl. Bažnyčios g. RD8163</w:t>
                                </w:r>
                              </w:p>
                            </w:tc>
                            <w:tc>
                              <w:tcPr>
                                <w:tcW w:w="1267" w:type="dxa"/>
                              </w:tcPr>
                              <w:p>
                                <w:pPr>
                                  <w:jc w:val="center"/>
                                  <w:rPr>
                                    <w:color w:val="000000"/>
                                    <w:sz w:val="22"/>
                                    <w:szCs w:val="22"/>
                                  </w:rPr>
                                </w:pPr>
                                <w:r>
                                  <w:rPr>
                                    <w:color w:val="000000"/>
                                    <w:sz w:val="22"/>
                                    <w:szCs w:val="22"/>
                                  </w:rPr>
                                  <w:t>30 000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5.</w:t>
                                </w:r>
                              </w:p>
                            </w:tc>
                            <w:tc>
                              <w:tcPr>
                                <w:tcW w:w="1465" w:type="dxa"/>
                                <w:shd w:val="clear" w:color="auto" w:fill="auto"/>
                                <w:vAlign w:val="center"/>
                                <w:hideMark/>
                              </w:tcPr>
                              <w:p>
                                <w:pPr>
                                  <w:rPr>
                                    <w:color w:val="000000"/>
                                    <w:sz w:val="22"/>
                                    <w:szCs w:val="22"/>
                                  </w:rPr>
                                </w:pPr>
                                <w:r>
                                  <w:rPr>
                                    <w:color w:val="000000"/>
                                    <w:sz w:val="22"/>
                                    <w:szCs w:val="22"/>
                                  </w:rPr>
                                  <w:t>Grinkiškio</w:t>
                                </w:r>
                              </w:p>
                            </w:tc>
                            <w:tc>
                              <w:tcPr>
                                <w:tcW w:w="1206" w:type="dxa"/>
                                <w:shd w:val="clear" w:color="auto" w:fill="auto"/>
                                <w:vAlign w:val="center"/>
                                <w:hideMark/>
                              </w:tcPr>
                              <w:p>
                                <w:pPr>
                                  <w:jc w:val="center"/>
                                  <w:rPr>
                                    <w:color w:val="000000"/>
                                    <w:sz w:val="22"/>
                                    <w:szCs w:val="22"/>
                                  </w:rPr>
                                </w:pPr>
                                <w:r>
                                  <w:rPr>
                                    <w:color w:val="000000"/>
                                    <w:sz w:val="20"/>
                                    <w:lang w:val="en-GB"/>
                                  </w:rPr>
                                  <w:t>1 747</w:t>
                                </w:r>
                              </w:p>
                            </w:tc>
                            <w:tc>
                              <w:tcPr>
                                <w:tcW w:w="1348" w:type="dxa"/>
                                <w:shd w:val="clear" w:color="auto" w:fill="auto"/>
                                <w:vAlign w:val="center"/>
                                <w:hideMark/>
                              </w:tcPr>
                              <w:p>
                                <w:pPr>
                                  <w:jc w:val="center"/>
                                  <w:rPr>
                                    <w:color w:val="000000"/>
                                    <w:sz w:val="22"/>
                                    <w:szCs w:val="22"/>
                                  </w:rPr>
                                </w:pPr>
                                <w:r>
                                  <w:rPr>
                                    <w:color w:val="000000"/>
                                    <w:sz w:val="22"/>
                                    <w:szCs w:val="22"/>
                                  </w:rPr>
                                  <w:t>14 979</w:t>
                                </w:r>
                              </w:p>
                            </w:tc>
                            <w:tc>
                              <w:tcPr>
                                <w:tcW w:w="1134" w:type="dxa"/>
                                <w:shd w:val="clear" w:color="auto" w:fill="auto"/>
                                <w:vAlign w:val="center"/>
                                <w:hideMark/>
                              </w:tcPr>
                              <w:p>
                                <w:pPr>
                                  <w:jc w:val="center"/>
                                  <w:rPr>
                                    <w:color w:val="000000"/>
                                    <w:sz w:val="22"/>
                                    <w:szCs w:val="22"/>
                                  </w:rPr>
                                </w:pPr>
                                <w:r>
                                  <w:rPr>
                                    <w:color w:val="000000"/>
                                    <w:sz w:val="20"/>
                                    <w:lang w:val="en-GB"/>
                                  </w:rPr>
                                  <w:t>152,91</w:t>
                                </w:r>
                              </w:p>
                            </w:tc>
                            <w:tc>
                              <w:tcPr>
                                <w:tcW w:w="1134" w:type="dxa"/>
                                <w:shd w:val="clear" w:color="auto" w:fill="auto"/>
                                <w:vAlign w:val="center"/>
                                <w:hideMark/>
                              </w:tcPr>
                              <w:p>
                                <w:pPr>
                                  <w:jc w:val="center"/>
                                  <w:rPr>
                                    <w:color w:val="000000"/>
                                    <w:sz w:val="22"/>
                                    <w:szCs w:val="22"/>
                                  </w:rPr>
                                </w:pPr>
                                <w:r>
                                  <w:rPr>
                                    <w:color w:val="000000"/>
                                    <w:sz w:val="22"/>
                                    <w:szCs w:val="22"/>
                                  </w:rPr>
                                  <w:t>50 835</w:t>
                                </w:r>
                              </w:p>
                            </w:tc>
                            <w:tc>
                              <w:tcPr>
                                <w:tcW w:w="1134" w:type="dxa"/>
                                <w:shd w:val="clear" w:color="auto" w:fill="auto"/>
                                <w:vAlign w:val="center"/>
                                <w:hideMark/>
                              </w:tcPr>
                              <w:p>
                                <w:pPr>
                                  <w:jc w:val="center"/>
                                  <w:rPr>
                                    <w:color w:val="000000"/>
                                    <w:sz w:val="22"/>
                                    <w:szCs w:val="22"/>
                                  </w:rPr>
                                </w:pPr>
                                <w:r>
                                  <w:rPr>
                                    <w:color w:val="000000"/>
                                    <w:sz w:val="22"/>
                                    <w:szCs w:val="22"/>
                                  </w:rPr>
                                  <w:t>65 814</w:t>
                                </w:r>
                              </w:p>
                            </w:tc>
                            <w:tc>
                              <w:tcPr>
                                <w:tcW w:w="6101" w:type="dxa"/>
                              </w:tcPr>
                              <w:p>
                                <w:pPr>
                                  <w:rPr>
                                    <w:color w:val="000000"/>
                                    <w:sz w:val="22"/>
                                    <w:szCs w:val="22"/>
                                  </w:rPr>
                                </w:pPr>
                                <w:r>
                                  <w:rPr>
                                    <w:color w:val="000000"/>
                                    <w:sz w:val="22"/>
                                    <w:szCs w:val="22"/>
                                  </w:rPr>
                                  <w:t>Grinkiškio sen. Šašių k. Tiesioji g. sutampanti su vietinės reikšmės keliu RD0379 Šašiai–Gujėnai</w:t>
                                </w:r>
                              </w:p>
                            </w:tc>
                            <w:tc>
                              <w:tcPr>
                                <w:tcW w:w="1267" w:type="dxa"/>
                              </w:tcPr>
                              <w:p>
                                <w:pPr>
                                  <w:jc w:val="center"/>
                                  <w:rPr>
                                    <w:color w:val="000000"/>
                                    <w:sz w:val="22"/>
                                    <w:szCs w:val="22"/>
                                  </w:rPr>
                                </w:pPr>
                                <w:r>
                                  <w:rPr>
                                    <w:color w:val="000000"/>
                                    <w:sz w:val="22"/>
                                    <w:szCs w:val="22"/>
                                  </w:rPr>
                                  <w:t>15 500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6.</w:t>
                                </w:r>
                              </w:p>
                            </w:tc>
                            <w:tc>
                              <w:tcPr>
                                <w:tcW w:w="1465" w:type="dxa"/>
                                <w:shd w:val="clear" w:color="auto" w:fill="auto"/>
                                <w:vAlign w:val="center"/>
                                <w:hideMark/>
                              </w:tcPr>
                              <w:p>
                                <w:pPr>
                                  <w:rPr>
                                    <w:color w:val="000000"/>
                                    <w:sz w:val="22"/>
                                    <w:szCs w:val="22"/>
                                  </w:rPr>
                                </w:pPr>
                                <w:r>
                                  <w:rPr>
                                    <w:color w:val="000000"/>
                                    <w:sz w:val="22"/>
                                    <w:szCs w:val="22"/>
                                  </w:rPr>
                                  <w:t>Pakalniškių</w:t>
                                </w:r>
                              </w:p>
                            </w:tc>
                            <w:tc>
                              <w:tcPr>
                                <w:tcW w:w="1206" w:type="dxa"/>
                                <w:shd w:val="clear" w:color="auto" w:fill="auto"/>
                                <w:vAlign w:val="center"/>
                                <w:hideMark/>
                              </w:tcPr>
                              <w:p>
                                <w:pPr>
                                  <w:jc w:val="center"/>
                                  <w:rPr>
                                    <w:color w:val="000000"/>
                                    <w:sz w:val="22"/>
                                    <w:szCs w:val="22"/>
                                  </w:rPr>
                                </w:pPr>
                                <w:r>
                                  <w:rPr>
                                    <w:color w:val="000000"/>
                                    <w:sz w:val="20"/>
                                    <w:lang w:val="en-GB"/>
                                  </w:rPr>
                                  <w:t>1 888</w:t>
                                </w:r>
                              </w:p>
                            </w:tc>
                            <w:tc>
                              <w:tcPr>
                                <w:tcW w:w="1348" w:type="dxa"/>
                                <w:shd w:val="clear" w:color="auto" w:fill="auto"/>
                                <w:vAlign w:val="center"/>
                                <w:hideMark/>
                              </w:tcPr>
                              <w:p>
                                <w:pPr>
                                  <w:jc w:val="center"/>
                                  <w:rPr>
                                    <w:color w:val="000000"/>
                                    <w:sz w:val="22"/>
                                    <w:szCs w:val="22"/>
                                  </w:rPr>
                                </w:pPr>
                                <w:r>
                                  <w:rPr>
                                    <w:color w:val="000000"/>
                                    <w:sz w:val="22"/>
                                    <w:szCs w:val="22"/>
                                  </w:rPr>
                                  <w:t>16 188</w:t>
                                </w:r>
                              </w:p>
                            </w:tc>
                            <w:tc>
                              <w:tcPr>
                                <w:tcW w:w="1134" w:type="dxa"/>
                                <w:shd w:val="clear" w:color="auto" w:fill="auto"/>
                                <w:vAlign w:val="center"/>
                                <w:hideMark/>
                              </w:tcPr>
                              <w:p>
                                <w:pPr>
                                  <w:jc w:val="center"/>
                                  <w:rPr>
                                    <w:color w:val="000000"/>
                                    <w:sz w:val="22"/>
                                    <w:szCs w:val="22"/>
                                  </w:rPr>
                                </w:pPr>
                                <w:r>
                                  <w:rPr>
                                    <w:color w:val="000000"/>
                                    <w:sz w:val="20"/>
                                    <w:lang w:val="en-GB"/>
                                  </w:rPr>
                                  <w:t>140,12</w:t>
                                </w:r>
                              </w:p>
                            </w:tc>
                            <w:tc>
                              <w:tcPr>
                                <w:tcW w:w="1134" w:type="dxa"/>
                                <w:shd w:val="clear" w:color="auto" w:fill="auto"/>
                                <w:vAlign w:val="center"/>
                                <w:hideMark/>
                              </w:tcPr>
                              <w:p>
                                <w:pPr>
                                  <w:jc w:val="center"/>
                                  <w:rPr>
                                    <w:color w:val="000000"/>
                                    <w:sz w:val="22"/>
                                    <w:szCs w:val="22"/>
                                  </w:rPr>
                                </w:pPr>
                                <w:r>
                                  <w:rPr>
                                    <w:color w:val="000000"/>
                                    <w:sz w:val="22"/>
                                    <w:szCs w:val="22"/>
                                  </w:rPr>
                                  <w:t>46 583</w:t>
                                </w:r>
                              </w:p>
                            </w:tc>
                            <w:tc>
                              <w:tcPr>
                                <w:tcW w:w="1134" w:type="dxa"/>
                                <w:shd w:val="clear" w:color="auto" w:fill="auto"/>
                                <w:vAlign w:val="center"/>
                                <w:hideMark/>
                              </w:tcPr>
                              <w:p>
                                <w:pPr>
                                  <w:jc w:val="center"/>
                                  <w:rPr>
                                    <w:color w:val="000000"/>
                                    <w:sz w:val="22"/>
                                    <w:szCs w:val="22"/>
                                  </w:rPr>
                                </w:pPr>
                                <w:r>
                                  <w:rPr>
                                    <w:color w:val="000000"/>
                                    <w:sz w:val="22"/>
                                    <w:szCs w:val="22"/>
                                  </w:rPr>
                                  <w:t>62 771</w:t>
                                </w:r>
                              </w:p>
                            </w:tc>
                            <w:tc>
                              <w:tcPr>
                                <w:tcW w:w="6101" w:type="dxa"/>
                              </w:tcPr>
                              <w:p>
                                <w:pPr>
                                  <w:rPr>
                                    <w:color w:val="000000"/>
                                    <w:sz w:val="22"/>
                                    <w:szCs w:val="22"/>
                                  </w:rPr>
                                </w:pPr>
                                <w:r>
                                  <w:rPr>
                                    <w:color w:val="000000"/>
                                    <w:sz w:val="22"/>
                                    <w:szCs w:val="22"/>
                                  </w:rPr>
                                  <w:t>Pakalniškių sen. Pociūnų k. Sodų g., sutampanti su vietinės reikšmės keliu RD0233 Pociūnai–Rimaičiai</w:t>
                                </w:r>
                              </w:p>
                            </w:tc>
                            <w:tc>
                              <w:tcPr>
                                <w:tcW w:w="1267" w:type="dxa"/>
                              </w:tcPr>
                              <w:p>
                                <w:pPr>
                                  <w:jc w:val="center"/>
                                  <w:rPr>
                                    <w:color w:val="000000"/>
                                    <w:sz w:val="22"/>
                                    <w:szCs w:val="22"/>
                                  </w:rPr>
                                </w:pPr>
                                <w:r>
                                  <w:rPr>
                                    <w:color w:val="000000"/>
                                    <w:sz w:val="22"/>
                                    <w:szCs w:val="22"/>
                                  </w:rPr>
                                  <w:t>33 400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7.</w:t>
                                </w:r>
                              </w:p>
                            </w:tc>
                            <w:tc>
                              <w:tcPr>
                                <w:tcW w:w="1465" w:type="dxa"/>
                                <w:shd w:val="clear" w:color="auto" w:fill="auto"/>
                                <w:vAlign w:val="center"/>
                                <w:hideMark/>
                              </w:tcPr>
                              <w:p>
                                <w:pPr>
                                  <w:rPr>
                                    <w:color w:val="000000"/>
                                    <w:sz w:val="22"/>
                                    <w:szCs w:val="22"/>
                                  </w:rPr>
                                </w:pPr>
                                <w:r>
                                  <w:rPr>
                                    <w:color w:val="000000"/>
                                    <w:sz w:val="22"/>
                                    <w:szCs w:val="22"/>
                                  </w:rPr>
                                  <w:t>Radviliškio</w:t>
                                </w:r>
                              </w:p>
                            </w:tc>
                            <w:tc>
                              <w:tcPr>
                                <w:tcW w:w="1206" w:type="dxa"/>
                                <w:shd w:val="clear" w:color="auto" w:fill="auto"/>
                                <w:vAlign w:val="center"/>
                                <w:hideMark/>
                              </w:tcPr>
                              <w:p>
                                <w:pPr>
                                  <w:jc w:val="center"/>
                                  <w:rPr>
                                    <w:color w:val="000000"/>
                                    <w:sz w:val="22"/>
                                    <w:szCs w:val="22"/>
                                  </w:rPr>
                                </w:pPr>
                                <w:r>
                                  <w:rPr>
                                    <w:color w:val="000000"/>
                                    <w:sz w:val="20"/>
                                    <w:lang w:val="en-GB"/>
                                  </w:rPr>
                                  <w:t>2 583</w:t>
                                </w:r>
                              </w:p>
                            </w:tc>
                            <w:tc>
                              <w:tcPr>
                                <w:tcW w:w="1348" w:type="dxa"/>
                                <w:shd w:val="clear" w:color="auto" w:fill="auto"/>
                                <w:vAlign w:val="center"/>
                                <w:hideMark/>
                              </w:tcPr>
                              <w:p>
                                <w:pPr>
                                  <w:jc w:val="center"/>
                                  <w:rPr>
                                    <w:color w:val="000000"/>
                                    <w:sz w:val="22"/>
                                    <w:szCs w:val="22"/>
                                  </w:rPr>
                                </w:pPr>
                                <w:r>
                                  <w:rPr>
                                    <w:color w:val="000000"/>
                                    <w:sz w:val="22"/>
                                    <w:szCs w:val="22"/>
                                  </w:rPr>
                                  <w:t>22 147</w:t>
                                </w:r>
                              </w:p>
                            </w:tc>
                            <w:tc>
                              <w:tcPr>
                                <w:tcW w:w="1134" w:type="dxa"/>
                                <w:shd w:val="clear" w:color="auto" w:fill="auto"/>
                                <w:vAlign w:val="center"/>
                                <w:hideMark/>
                              </w:tcPr>
                              <w:p>
                                <w:pPr>
                                  <w:jc w:val="center"/>
                                  <w:rPr>
                                    <w:color w:val="000000"/>
                                    <w:sz w:val="22"/>
                                    <w:szCs w:val="22"/>
                                  </w:rPr>
                                </w:pPr>
                                <w:r>
                                  <w:rPr>
                                    <w:color w:val="000000"/>
                                    <w:sz w:val="20"/>
                                    <w:lang w:val="en-GB"/>
                                  </w:rPr>
                                  <w:t>187,97</w:t>
                                </w:r>
                              </w:p>
                            </w:tc>
                            <w:tc>
                              <w:tcPr>
                                <w:tcW w:w="1134" w:type="dxa"/>
                                <w:shd w:val="clear" w:color="auto" w:fill="auto"/>
                                <w:vAlign w:val="center"/>
                                <w:hideMark/>
                              </w:tcPr>
                              <w:p>
                                <w:pPr>
                                  <w:jc w:val="center"/>
                                  <w:rPr>
                                    <w:color w:val="000000"/>
                                    <w:sz w:val="22"/>
                                    <w:szCs w:val="22"/>
                                  </w:rPr>
                                </w:pPr>
                                <w:r>
                                  <w:rPr>
                                    <w:color w:val="000000"/>
                                    <w:sz w:val="22"/>
                                    <w:szCs w:val="22"/>
                                  </w:rPr>
                                  <w:t>46 583</w:t>
                                </w:r>
                              </w:p>
                            </w:tc>
                            <w:tc>
                              <w:tcPr>
                                <w:tcW w:w="1134" w:type="dxa"/>
                                <w:shd w:val="clear" w:color="auto" w:fill="auto"/>
                                <w:vAlign w:val="center"/>
                                <w:hideMark/>
                              </w:tcPr>
                              <w:p>
                                <w:pPr>
                                  <w:jc w:val="center"/>
                                  <w:rPr>
                                    <w:color w:val="000000"/>
                                    <w:sz w:val="22"/>
                                    <w:szCs w:val="22"/>
                                  </w:rPr>
                                </w:pPr>
                                <w:r>
                                  <w:rPr>
                                    <w:color w:val="000000"/>
                                    <w:sz w:val="22"/>
                                    <w:szCs w:val="22"/>
                                  </w:rPr>
                                  <w:t>62 770</w:t>
                                </w:r>
                              </w:p>
                            </w:tc>
                            <w:tc>
                              <w:tcPr>
                                <w:tcW w:w="6101" w:type="dxa"/>
                              </w:tcPr>
                              <w:p>
                                <w:pPr>
                                  <w:rPr>
                                    <w:color w:val="000000"/>
                                    <w:sz w:val="22"/>
                                    <w:szCs w:val="22"/>
                                  </w:rPr>
                                </w:pPr>
                                <w:r>
                                  <w:rPr>
                                    <w:color w:val="000000"/>
                                    <w:sz w:val="22"/>
                                    <w:szCs w:val="22"/>
                                  </w:rPr>
                                  <w:t xml:space="preserve">Radviliškio sen. Kutiškių k.  g. Beržų g. RD7109</w:t>
                                </w:r>
                              </w:p>
                            </w:tc>
                            <w:tc>
                              <w:tcPr>
                                <w:tcW w:w="1267" w:type="dxa"/>
                              </w:tcPr>
                              <w:p>
                                <w:pPr>
                                  <w:jc w:val="center"/>
                                  <w:rPr>
                                    <w:color w:val="000000"/>
                                    <w:sz w:val="22"/>
                                    <w:szCs w:val="22"/>
                                  </w:rPr>
                                </w:pPr>
                                <w:r>
                                  <w:rPr>
                                    <w:color w:val="000000"/>
                                    <w:sz w:val="22"/>
                                    <w:szCs w:val="22"/>
                                  </w:rPr>
                                  <w:t>39 900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8.</w:t>
                                </w:r>
                              </w:p>
                            </w:tc>
                            <w:tc>
                              <w:tcPr>
                                <w:tcW w:w="1465" w:type="dxa"/>
                                <w:shd w:val="clear" w:color="auto" w:fill="auto"/>
                                <w:vAlign w:val="center"/>
                                <w:hideMark/>
                              </w:tcPr>
                              <w:p>
                                <w:pPr>
                                  <w:rPr>
                                    <w:color w:val="000000"/>
                                    <w:sz w:val="22"/>
                                    <w:szCs w:val="22"/>
                                  </w:rPr>
                                </w:pPr>
                                <w:r>
                                  <w:rPr>
                                    <w:color w:val="000000"/>
                                    <w:sz w:val="22"/>
                                    <w:szCs w:val="22"/>
                                  </w:rPr>
                                  <w:t>Sidabravo</w:t>
                                </w:r>
                              </w:p>
                            </w:tc>
                            <w:tc>
                              <w:tcPr>
                                <w:tcW w:w="1206" w:type="dxa"/>
                                <w:shd w:val="clear" w:color="auto" w:fill="auto"/>
                                <w:vAlign w:val="center"/>
                                <w:hideMark/>
                              </w:tcPr>
                              <w:p>
                                <w:pPr>
                                  <w:jc w:val="center"/>
                                  <w:rPr>
                                    <w:color w:val="000000"/>
                                    <w:sz w:val="22"/>
                                    <w:szCs w:val="22"/>
                                  </w:rPr>
                                </w:pPr>
                                <w:r>
                                  <w:rPr>
                                    <w:color w:val="000000"/>
                                    <w:sz w:val="20"/>
                                    <w:lang w:val="en-GB"/>
                                  </w:rPr>
                                  <w:t>1 341</w:t>
                                </w:r>
                              </w:p>
                            </w:tc>
                            <w:tc>
                              <w:tcPr>
                                <w:tcW w:w="1348" w:type="dxa"/>
                                <w:shd w:val="clear" w:color="auto" w:fill="auto"/>
                                <w:vAlign w:val="center"/>
                                <w:hideMark/>
                              </w:tcPr>
                              <w:p>
                                <w:pPr>
                                  <w:jc w:val="center"/>
                                  <w:rPr>
                                    <w:color w:val="000000"/>
                                    <w:sz w:val="22"/>
                                    <w:szCs w:val="22"/>
                                  </w:rPr>
                                </w:pPr>
                                <w:r>
                                  <w:rPr>
                                    <w:color w:val="000000"/>
                                    <w:sz w:val="22"/>
                                    <w:szCs w:val="22"/>
                                  </w:rPr>
                                  <w:t>11 498</w:t>
                                </w:r>
                              </w:p>
                            </w:tc>
                            <w:tc>
                              <w:tcPr>
                                <w:tcW w:w="1134" w:type="dxa"/>
                                <w:shd w:val="clear" w:color="auto" w:fill="auto"/>
                                <w:vAlign w:val="center"/>
                                <w:hideMark/>
                              </w:tcPr>
                              <w:p>
                                <w:pPr>
                                  <w:jc w:val="center"/>
                                  <w:rPr>
                                    <w:color w:val="000000"/>
                                    <w:sz w:val="22"/>
                                    <w:szCs w:val="22"/>
                                  </w:rPr>
                                </w:pPr>
                                <w:r>
                                  <w:rPr>
                                    <w:color w:val="000000"/>
                                    <w:sz w:val="20"/>
                                    <w:lang w:val="en-GB"/>
                                  </w:rPr>
                                  <w:t>86,66</w:t>
                                </w:r>
                              </w:p>
                            </w:tc>
                            <w:tc>
                              <w:tcPr>
                                <w:tcW w:w="1134" w:type="dxa"/>
                                <w:shd w:val="clear" w:color="auto" w:fill="auto"/>
                                <w:vAlign w:val="center"/>
                                <w:hideMark/>
                              </w:tcPr>
                              <w:p>
                                <w:pPr>
                                  <w:jc w:val="center"/>
                                  <w:rPr>
                                    <w:color w:val="000000"/>
                                    <w:sz w:val="22"/>
                                    <w:szCs w:val="22"/>
                                  </w:rPr>
                                </w:pPr>
                                <w:r>
                                  <w:rPr>
                                    <w:color w:val="000000"/>
                                    <w:sz w:val="22"/>
                                    <w:szCs w:val="22"/>
                                  </w:rPr>
                                  <w:t>258 802</w:t>
                                </w:r>
                              </w:p>
                            </w:tc>
                            <w:tc>
                              <w:tcPr>
                                <w:tcW w:w="1134" w:type="dxa"/>
                                <w:shd w:val="clear" w:color="auto" w:fill="auto"/>
                                <w:vAlign w:val="center"/>
                                <w:hideMark/>
                              </w:tcPr>
                              <w:p>
                                <w:pPr>
                                  <w:jc w:val="center"/>
                                  <w:rPr>
                                    <w:color w:val="000000"/>
                                    <w:sz w:val="22"/>
                                    <w:szCs w:val="22"/>
                                  </w:rPr>
                                </w:pPr>
                                <w:r>
                                  <w:rPr>
                                    <w:color w:val="000000"/>
                                    <w:sz w:val="22"/>
                                    <w:szCs w:val="22"/>
                                  </w:rPr>
                                  <w:t>40 300</w:t>
                                </w:r>
                              </w:p>
                            </w:tc>
                            <w:tc>
                              <w:tcPr>
                                <w:tcW w:w="6101" w:type="dxa"/>
                              </w:tcPr>
                              <w:p>
                                <w:pPr>
                                  <w:rPr>
                                    <w:color w:val="000000"/>
                                    <w:sz w:val="22"/>
                                    <w:szCs w:val="22"/>
                                  </w:rPr>
                                </w:pPr>
                                <w:r>
                                  <w:rPr>
                                    <w:sz w:val="22"/>
                                    <w:szCs w:val="22"/>
                                  </w:rPr>
                                  <w:t>Sidabravo sen. Sidabravo mstl. Miškių g. RD7050, Miniotų g. RD7064</w:t>
                                </w:r>
                              </w:p>
                            </w:tc>
                            <w:tc>
                              <w:tcPr>
                                <w:tcW w:w="1267" w:type="dxa"/>
                              </w:tcPr>
                              <w:p>
                                <w:pPr>
                                  <w:jc w:val="center"/>
                                  <w:rPr>
                                    <w:color w:val="000000"/>
                                    <w:sz w:val="22"/>
                                    <w:szCs w:val="22"/>
                                  </w:rPr>
                                </w:pPr>
                                <w:r>
                                  <w:rPr>
                                    <w:color w:val="000000"/>
                                    <w:sz w:val="22"/>
                                    <w:szCs w:val="22"/>
                                  </w:rPr>
                                  <w:t>40 300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9.</w:t>
                                </w:r>
                              </w:p>
                            </w:tc>
                            <w:tc>
                              <w:tcPr>
                                <w:tcW w:w="1465" w:type="dxa"/>
                                <w:shd w:val="clear" w:color="auto" w:fill="auto"/>
                                <w:vAlign w:val="center"/>
                                <w:hideMark/>
                              </w:tcPr>
                              <w:p>
                                <w:pPr>
                                  <w:rPr>
                                    <w:color w:val="000000"/>
                                    <w:sz w:val="22"/>
                                    <w:szCs w:val="22"/>
                                  </w:rPr>
                                </w:pPr>
                                <w:r>
                                  <w:rPr>
                                    <w:color w:val="000000"/>
                                    <w:sz w:val="22"/>
                                    <w:szCs w:val="22"/>
                                  </w:rPr>
                                  <w:t>Skėmių</w:t>
                                </w:r>
                              </w:p>
                            </w:tc>
                            <w:tc>
                              <w:tcPr>
                                <w:tcW w:w="1206" w:type="dxa"/>
                                <w:shd w:val="clear" w:color="auto" w:fill="auto"/>
                                <w:vAlign w:val="center"/>
                                <w:hideMark/>
                              </w:tcPr>
                              <w:p>
                                <w:pPr>
                                  <w:jc w:val="center"/>
                                  <w:rPr>
                                    <w:color w:val="000000"/>
                                    <w:sz w:val="22"/>
                                    <w:szCs w:val="22"/>
                                  </w:rPr>
                                </w:pPr>
                                <w:r>
                                  <w:rPr>
                                    <w:color w:val="000000"/>
                                    <w:sz w:val="20"/>
                                    <w:lang w:val="en-GB"/>
                                  </w:rPr>
                                  <w:t>937</w:t>
                                </w:r>
                              </w:p>
                            </w:tc>
                            <w:tc>
                              <w:tcPr>
                                <w:tcW w:w="1348" w:type="dxa"/>
                                <w:shd w:val="clear" w:color="auto" w:fill="auto"/>
                                <w:vAlign w:val="center"/>
                                <w:hideMark/>
                              </w:tcPr>
                              <w:p>
                                <w:pPr>
                                  <w:jc w:val="center"/>
                                  <w:rPr>
                                    <w:color w:val="000000"/>
                                    <w:sz w:val="22"/>
                                    <w:szCs w:val="22"/>
                                  </w:rPr>
                                </w:pPr>
                                <w:r>
                                  <w:rPr>
                                    <w:color w:val="000000"/>
                                    <w:sz w:val="22"/>
                                    <w:szCs w:val="22"/>
                                  </w:rPr>
                                  <w:t>8 034</w:t>
                                </w:r>
                              </w:p>
                            </w:tc>
                            <w:tc>
                              <w:tcPr>
                                <w:tcW w:w="1134" w:type="dxa"/>
                                <w:shd w:val="clear" w:color="auto" w:fill="auto"/>
                                <w:vAlign w:val="center"/>
                                <w:hideMark/>
                              </w:tcPr>
                              <w:p>
                                <w:pPr>
                                  <w:jc w:val="center"/>
                                  <w:rPr>
                                    <w:color w:val="000000"/>
                                    <w:sz w:val="22"/>
                                    <w:szCs w:val="22"/>
                                  </w:rPr>
                                </w:pPr>
                                <w:r>
                                  <w:rPr>
                                    <w:color w:val="000000"/>
                                    <w:sz w:val="20"/>
                                    <w:lang w:val="en-GB"/>
                                  </w:rPr>
                                  <w:t>74,4</w:t>
                                </w:r>
                              </w:p>
                            </w:tc>
                            <w:tc>
                              <w:tcPr>
                                <w:tcW w:w="1134" w:type="dxa"/>
                                <w:shd w:val="clear" w:color="auto" w:fill="auto"/>
                                <w:vAlign w:val="center"/>
                                <w:hideMark/>
                              </w:tcPr>
                              <w:p>
                                <w:pPr>
                                  <w:jc w:val="center"/>
                                  <w:rPr>
                                    <w:color w:val="000000"/>
                                    <w:sz w:val="22"/>
                                    <w:szCs w:val="22"/>
                                  </w:rPr>
                                </w:pPr>
                                <w:r>
                                  <w:rPr>
                                    <w:color w:val="000000"/>
                                    <w:sz w:val="22"/>
                                    <w:szCs w:val="22"/>
                                  </w:rPr>
                                  <w:t>24 746</w:t>
                                </w:r>
                              </w:p>
                            </w:tc>
                            <w:tc>
                              <w:tcPr>
                                <w:tcW w:w="1134" w:type="dxa"/>
                                <w:shd w:val="clear" w:color="auto" w:fill="auto"/>
                                <w:vAlign w:val="center"/>
                                <w:hideMark/>
                              </w:tcPr>
                              <w:p>
                                <w:pPr>
                                  <w:jc w:val="center"/>
                                  <w:rPr>
                                    <w:color w:val="000000"/>
                                    <w:sz w:val="22"/>
                                    <w:szCs w:val="22"/>
                                  </w:rPr>
                                </w:pPr>
                                <w:r>
                                  <w:rPr>
                                    <w:color w:val="000000"/>
                                    <w:sz w:val="22"/>
                                    <w:szCs w:val="22"/>
                                  </w:rPr>
                                  <w:t>32 800</w:t>
                                </w:r>
                              </w:p>
                            </w:tc>
                            <w:tc>
                              <w:tcPr>
                                <w:tcW w:w="6101" w:type="dxa"/>
                              </w:tcPr>
                              <w:p>
                                <w:pPr>
                                  <w:rPr>
                                    <w:color w:val="000000"/>
                                    <w:sz w:val="22"/>
                                    <w:szCs w:val="22"/>
                                  </w:rPr>
                                </w:pPr>
                                <w:r>
                                  <w:rPr>
                                    <w:sz w:val="22"/>
                                    <w:szCs w:val="22"/>
                                  </w:rPr>
                                  <w:t>Skėmių sen. Pociūnėlių k. Lauko g., sutampanti su keliu RD0087 Pociūnėliai–Valmančiai, privaž. prie Lauko g. gyv. namų</w:t>
                                </w:r>
                              </w:p>
                            </w:tc>
                            <w:tc>
                              <w:tcPr>
                                <w:tcW w:w="1267" w:type="dxa"/>
                              </w:tcPr>
                              <w:p>
                                <w:pPr>
                                  <w:jc w:val="center"/>
                                  <w:rPr>
                                    <w:sz w:val="22"/>
                                    <w:szCs w:val="22"/>
                                  </w:rPr>
                                </w:pPr>
                                <w:r>
                                  <w:rPr>
                                    <w:color w:val="000000"/>
                                    <w:sz w:val="22"/>
                                    <w:szCs w:val="22"/>
                                  </w:rPr>
                                  <w:t>32 800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10.</w:t>
                                </w:r>
                              </w:p>
                            </w:tc>
                            <w:tc>
                              <w:tcPr>
                                <w:tcW w:w="1465" w:type="dxa"/>
                                <w:shd w:val="clear" w:color="auto" w:fill="auto"/>
                                <w:vAlign w:val="center"/>
                                <w:hideMark/>
                              </w:tcPr>
                              <w:p>
                                <w:pPr>
                                  <w:rPr>
                                    <w:color w:val="000000"/>
                                    <w:sz w:val="22"/>
                                    <w:szCs w:val="22"/>
                                  </w:rPr>
                                </w:pPr>
                                <w:r>
                                  <w:rPr>
                                    <w:color w:val="000000"/>
                                    <w:sz w:val="22"/>
                                    <w:szCs w:val="22"/>
                                  </w:rPr>
                                  <w:t>Šaukoto</w:t>
                                </w:r>
                              </w:p>
                            </w:tc>
                            <w:tc>
                              <w:tcPr>
                                <w:tcW w:w="1206" w:type="dxa"/>
                                <w:shd w:val="clear" w:color="auto" w:fill="auto"/>
                                <w:vAlign w:val="center"/>
                                <w:hideMark/>
                              </w:tcPr>
                              <w:p>
                                <w:pPr>
                                  <w:jc w:val="center"/>
                                  <w:rPr>
                                    <w:color w:val="000000"/>
                                    <w:sz w:val="22"/>
                                    <w:szCs w:val="22"/>
                                  </w:rPr>
                                </w:pPr>
                                <w:r>
                                  <w:rPr>
                                    <w:color w:val="000000"/>
                                    <w:sz w:val="20"/>
                                    <w:lang w:val="en-GB"/>
                                  </w:rPr>
                                  <w:t>717</w:t>
                                </w:r>
                              </w:p>
                            </w:tc>
                            <w:tc>
                              <w:tcPr>
                                <w:tcW w:w="1348" w:type="dxa"/>
                                <w:shd w:val="clear" w:color="auto" w:fill="auto"/>
                                <w:vAlign w:val="center"/>
                                <w:hideMark/>
                              </w:tcPr>
                              <w:p>
                                <w:pPr>
                                  <w:jc w:val="center"/>
                                  <w:rPr>
                                    <w:color w:val="000000"/>
                                    <w:sz w:val="22"/>
                                    <w:szCs w:val="22"/>
                                  </w:rPr>
                                </w:pPr>
                                <w:r>
                                  <w:rPr>
                                    <w:color w:val="000000"/>
                                    <w:sz w:val="22"/>
                                    <w:szCs w:val="22"/>
                                  </w:rPr>
                                  <w:t>6 148</w:t>
                                </w:r>
                              </w:p>
                            </w:tc>
                            <w:tc>
                              <w:tcPr>
                                <w:tcW w:w="1134" w:type="dxa"/>
                                <w:shd w:val="clear" w:color="auto" w:fill="auto"/>
                                <w:vAlign w:val="center"/>
                                <w:hideMark/>
                              </w:tcPr>
                              <w:p>
                                <w:pPr>
                                  <w:jc w:val="center"/>
                                  <w:rPr>
                                    <w:color w:val="000000"/>
                                    <w:sz w:val="22"/>
                                    <w:szCs w:val="22"/>
                                  </w:rPr>
                                </w:pPr>
                                <w:r>
                                  <w:rPr>
                                    <w:color w:val="000000"/>
                                    <w:sz w:val="20"/>
                                    <w:lang w:val="en-GB"/>
                                  </w:rPr>
                                  <w:t>119,54</w:t>
                                </w:r>
                              </w:p>
                            </w:tc>
                            <w:tc>
                              <w:tcPr>
                                <w:tcW w:w="1134" w:type="dxa"/>
                                <w:shd w:val="clear" w:color="auto" w:fill="auto"/>
                                <w:vAlign w:val="center"/>
                                <w:hideMark/>
                              </w:tcPr>
                              <w:p>
                                <w:pPr>
                                  <w:jc w:val="center"/>
                                  <w:rPr>
                                    <w:color w:val="000000"/>
                                    <w:sz w:val="22"/>
                                    <w:szCs w:val="22"/>
                                  </w:rPr>
                                </w:pPr>
                                <w:r>
                                  <w:rPr>
                                    <w:color w:val="000000"/>
                                    <w:sz w:val="22"/>
                                    <w:szCs w:val="22"/>
                                  </w:rPr>
                                  <w:t>39 741</w:t>
                                </w:r>
                              </w:p>
                            </w:tc>
                            <w:tc>
                              <w:tcPr>
                                <w:tcW w:w="1134" w:type="dxa"/>
                                <w:shd w:val="clear" w:color="auto" w:fill="auto"/>
                                <w:vAlign w:val="center"/>
                                <w:hideMark/>
                              </w:tcPr>
                              <w:p>
                                <w:pPr>
                                  <w:jc w:val="center"/>
                                  <w:rPr>
                                    <w:color w:val="000000"/>
                                    <w:sz w:val="22"/>
                                    <w:szCs w:val="22"/>
                                  </w:rPr>
                                </w:pPr>
                                <w:r>
                                  <w:rPr>
                                    <w:color w:val="000000"/>
                                    <w:sz w:val="22"/>
                                    <w:szCs w:val="22"/>
                                  </w:rPr>
                                  <w:t>45 889</w:t>
                                </w:r>
                              </w:p>
                            </w:tc>
                            <w:tc>
                              <w:tcPr>
                                <w:tcW w:w="6101" w:type="dxa"/>
                              </w:tcPr>
                              <w:p>
                                <w:pPr>
                                  <w:rPr>
                                    <w:color w:val="000000"/>
                                    <w:sz w:val="22"/>
                                    <w:szCs w:val="22"/>
                                  </w:rPr>
                                </w:pPr>
                                <w:r>
                                  <w:rPr>
                                    <w:sz w:val="22"/>
                                    <w:szCs w:val="22"/>
                                  </w:rPr>
                                  <w:t>Šaukoto mstl. Naujosios g. RD7542</w:t>
                                </w:r>
                              </w:p>
                            </w:tc>
                            <w:tc>
                              <w:tcPr>
                                <w:tcW w:w="1267" w:type="dxa"/>
                              </w:tcPr>
                              <w:p>
                                <w:pPr>
                                  <w:jc w:val="center"/>
                                  <w:rPr>
                                    <w:color w:val="000000"/>
                                    <w:sz w:val="22"/>
                                    <w:szCs w:val="22"/>
                                  </w:rPr>
                                </w:pPr>
                                <w:r>
                                  <w:rPr>
                                    <w:color w:val="000000"/>
                                    <w:sz w:val="22"/>
                                    <w:szCs w:val="22"/>
                                  </w:rPr>
                                  <w:t>23 000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11.</w:t>
                                </w:r>
                              </w:p>
                            </w:tc>
                            <w:tc>
                              <w:tcPr>
                                <w:tcW w:w="1465" w:type="dxa"/>
                                <w:shd w:val="clear" w:color="auto" w:fill="auto"/>
                                <w:vAlign w:val="center"/>
                                <w:hideMark/>
                              </w:tcPr>
                              <w:p>
                                <w:pPr>
                                  <w:rPr>
                                    <w:color w:val="000000"/>
                                    <w:sz w:val="22"/>
                                    <w:szCs w:val="22"/>
                                  </w:rPr>
                                </w:pPr>
                                <w:r>
                                  <w:rPr>
                                    <w:color w:val="000000"/>
                                    <w:sz w:val="22"/>
                                    <w:szCs w:val="22"/>
                                  </w:rPr>
                                  <w:t>Šiaulėnų</w:t>
                                </w:r>
                              </w:p>
                            </w:tc>
                            <w:tc>
                              <w:tcPr>
                                <w:tcW w:w="1206" w:type="dxa"/>
                                <w:shd w:val="clear" w:color="auto" w:fill="auto"/>
                                <w:vAlign w:val="center"/>
                                <w:hideMark/>
                              </w:tcPr>
                              <w:p>
                                <w:pPr>
                                  <w:jc w:val="center"/>
                                  <w:rPr>
                                    <w:color w:val="000000"/>
                                    <w:sz w:val="22"/>
                                    <w:szCs w:val="22"/>
                                  </w:rPr>
                                </w:pPr>
                                <w:r>
                                  <w:rPr>
                                    <w:color w:val="000000"/>
                                    <w:sz w:val="20"/>
                                    <w:lang w:val="en-GB"/>
                                  </w:rPr>
                                  <w:t>1 189</w:t>
                                </w:r>
                              </w:p>
                            </w:tc>
                            <w:tc>
                              <w:tcPr>
                                <w:tcW w:w="1348" w:type="dxa"/>
                                <w:shd w:val="clear" w:color="auto" w:fill="auto"/>
                                <w:vAlign w:val="center"/>
                                <w:hideMark/>
                              </w:tcPr>
                              <w:p>
                                <w:pPr>
                                  <w:jc w:val="center"/>
                                  <w:rPr>
                                    <w:color w:val="000000"/>
                                    <w:sz w:val="22"/>
                                    <w:szCs w:val="22"/>
                                  </w:rPr>
                                </w:pPr>
                                <w:r>
                                  <w:rPr>
                                    <w:color w:val="000000"/>
                                    <w:sz w:val="22"/>
                                    <w:szCs w:val="22"/>
                                  </w:rPr>
                                  <w:t>10 195</w:t>
                                </w:r>
                              </w:p>
                            </w:tc>
                            <w:tc>
                              <w:tcPr>
                                <w:tcW w:w="1134" w:type="dxa"/>
                                <w:shd w:val="clear" w:color="auto" w:fill="auto"/>
                                <w:vAlign w:val="center"/>
                                <w:hideMark/>
                              </w:tcPr>
                              <w:p>
                                <w:pPr>
                                  <w:jc w:val="center"/>
                                  <w:rPr>
                                    <w:color w:val="000000"/>
                                    <w:sz w:val="22"/>
                                    <w:szCs w:val="22"/>
                                  </w:rPr>
                                </w:pPr>
                                <w:r>
                                  <w:rPr>
                                    <w:color w:val="000000"/>
                                    <w:sz w:val="20"/>
                                    <w:lang w:val="en-GB"/>
                                  </w:rPr>
                                  <w:t>88,04</w:t>
                                </w:r>
                              </w:p>
                            </w:tc>
                            <w:tc>
                              <w:tcPr>
                                <w:tcW w:w="1134" w:type="dxa"/>
                                <w:shd w:val="clear" w:color="auto" w:fill="auto"/>
                                <w:vAlign w:val="center"/>
                                <w:hideMark/>
                              </w:tcPr>
                              <w:p>
                                <w:pPr>
                                  <w:jc w:val="center"/>
                                  <w:rPr>
                                    <w:color w:val="000000"/>
                                    <w:sz w:val="22"/>
                                    <w:szCs w:val="22"/>
                                  </w:rPr>
                                </w:pPr>
                                <w:r>
                                  <w:rPr>
                                    <w:color w:val="000000"/>
                                    <w:sz w:val="22"/>
                                    <w:szCs w:val="22"/>
                                  </w:rPr>
                                  <w:t>29 269</w:t>
                                </w:r>
                              </w:p>
                            </w:tc>
                            <w:tc>
                              <w:tcPr>
                                <w:tcW w:w="1134" w:type="dxa"/>
                                <w:shd w:val="clear" w:color="auto" w:fill="auto"/>
                                <w:vAlign w:val="center"/>
                                <w:hideMark/>
                              </w:tcPr>
                              <w:p>
                                <w:pPr>
                                  <w:jc w:val="center"/>
                                  <w:rPr>
                                    <w:color w:val="000000"/>
                                    <w:sz w:val="22"/>
                                    <w:szCs w:val="22"/>
                                  </w:rPr>
                                </w:pPr>
                                <w:r>
                                  <w:rPr>
                                    <w:color w:val="000000"/>
                                    <w:sz w:val="22"/>
                                    <w:szCs w:val="22"/>
                                  </w:rPr>
                                  <w:t>39 464</w:t>
                                </w:r>
                              </w:p>
                            </w:tc>
                            <w:tc>
                              <w:tcPr>
                                <w:tcW w:w="6101" w:type="dxa"/>
                              </w:tcPr>
                              <w:p>
                                <w:pPr>
                                  <w:rPr>
                                    <w:color w:val="000000"/>
                                    <w:sz w:val="22"/>
                                    <w:szCs w:val="22"/>
                                  </w:rPr>
                                </w:pPr>
                                <w:r>
                                  <w:rPr>
                                    <w:sz w:val="22"/>
                                    <w:szCs w:val="22"/>
                                  </w:rPr>
                                  <w:t>Šiaulėnų sen. Jokūbiškių k. Plytinės g. sutampanti su vietinės reikšmės keliu RD0502 Žeimiai–Jokubiškis</w:t>
                                </w:r>
                              </w:p>
                            </w:tc>
                            <w:tc>
                              <w:tcPr>
                                <w:tcW w:w="1267" w:type="dxa"/>
                              </w:tcPr>
                              <w:p>
                                <w:pPr>
                                  <w:jc w:val="center"/>
                                  <w:rPr>
                                    <w:color w:val="000000"/>
                                    <w:sz w:val="22"/>
                                    <w:szCs w:val="22"/>
                                  </w:rPr>
                                </w:pPr>
                                <w:r>
                                  <w:rPr>
                                    <w:color w:val="000000"/>
                                    <w:sz w:val="22"/>
                                    <w:szCs w:val="22"/>
                                  </w:rPr>
                                  <w:t>26 500</w:t>
                                </w:r>
                              </w:p>
                            </w:tc>
                          </w:tr>
                          <w:tr>
                            <w:trPr>
                              <w:trHeight w:val="330"/>
                            </w:trPr>
                            <w:tc>
                              <w:tcPr>
                                <w:tcW w:w="659" w:type="dxa"/>
                                <w:shd w:val="clear" w:color="auto" w:fill="auto"/>
                                <w:vAlign w:val="center"/>
                                <w:hideMark/>
                              </w:tcPr>
                              <w:p>
                                <w:pPr>
                                  <w:jc w:val="center"/>
                                  <w:rPr>
                                    <w:color w:val="000000"/>
                                    <w:sz w:val="22"/>
                                    <w:szCs w:val="22"/>
                                  </w:rPr>
                                </w:pPr>
                                <w:r>
                                  <w:rPr>
                                    <w:color w:val="000000"/>
                                    <w:sz w:val="22"/>
                                    <w:szCs w:val="22"/>
                                  </w:rPr>
                                  <w:t>12.</w:t>
                                </w:r>
                              </w:p>
                            </w:tc>
                            <w:tc>
                              <w:tcPr>
                                <w:tcW w:w="1465" w:type="dxa"/>
                                <w:shd w:val="clear" w:color="auto" w:fill="auto"/>
                                <w:vAlign w:val="center"/>
                                <w:hideMark/>
                              </w:tcPr>
                              <w:p>
                                <w:pPr>
                                  <w:rPr>
                                    <w:color w:val="000000"/>
                                    <w:sz w:val="22"/>
                                    <w:szCs w:val="22"/>
                                  </w:rPr>
                                </w:pPr>
                                <w:r>
                                  <w:rPr>
                                    <w:color w:val="000000"/>
                                    <w:sz w:val="22"/>
                                    <w:szCs w:val="22"/>
                                  </w:rPr>
                                  <w:t>Tyrulių</w:t>
                                </w:r>
                              </w:p>
                            </w:tc>
                            <w:tc>
                              <w:tcPr>
                                <w:tcW w:w="1206" w:type="dxa"/>
                                <w:shd w:val="clear" w:color="auto" w:fill="auto"/>
                                <w:vAlign w:val="center"/>
                                <w:hideMark/>
                              </w:tcPr>
                              <w:p>
                                <w:pPr>
                                  <w:jc w:val="center"/>
                                  <w:rPr>
                                    <w:color w:val="000000"/>
                                    <w:sz w:val="22"/>
                                    <w:szCs w:val="22"/>
                                  </w:rPr>
                                </w:pPr>
                                <w:r>
                                  <w:rPr>
                                    <w:color w:val="000000"/>
                                    <w:sz w:val="20"/>
                                    <w:lang w:val="en-GB"/>
                                  </w:rPr>
                                  <w:t>656</w:t>
                                </w:r>
                              </w:p>
                            </w:tc>
                            <w:tc>
                              <w:tcPr>
                                <w:tcW w:w="1348" w:type="dxa"/>
                                <w:shd w:val="clear" w:color="auto" w:fill="auto"/>
                                <w:vAlign w:val="center"/>
                                <w:hideMark/>
                              </w:tcPr>
                              <w:p>
                                <w:pPr>
                                  <w:jc w:val="center"/>
                                  <w:rPr>
                                    <w:color w:val="000000"/>
                                    <w:sz w:val="22"/>
                                    <w:szCs w:val="22"/>
                                  </w:rPr>
                                </w:pPr>
                                <w:r>
                                  <w:rPr>
                                    <w:color w:val="000000"/>
                                    <w:sz w:val="22"/>
                                    <w:szCs w:val="22"/>
                                  </w:rPr>
                                  <w:t>5 625</w:t>
                                </w:r>
                              </w:p>
                            </w:tc>
                            <w:tc>
                              <w:tcPr>
                                <w:tcW w:w="1134" w:type="dxa"/>
                                <w:shd w:val="clear" w:color="auto" w:fill="auto"/>
                                <w:vAlign w:val="center"/>
                                <w:hideMark/>
                              </w:tcPr>
                              <w:p>
                                <w:pPr>
                                  <w:jc w:val="center"/>
                                  <w:rPr>
                                    <w:color w:val="000000"/>
                                    <w:sz w:val="22"/>
                                    <w:szCs w:val="22"/>
                                  </w:rPr>
                                </w:pPr>
                                <w:r>
                                  <w:rPr>
                                    <w:color w:val="000000"/>
                                    <w:sz w:val="20"/>
                                    <w:lang w:val="en-GB"/>
                                  </w:rPr>
                                  <w:t>46,78</w:t>
                                </w:r>
                              </w:p>
                            </w:tc>
                            <w:tc>
                              <w:tcPr>
                                <w:tcW w:w="1134" w:type="dxa"/>
                                <w:shd w:val="clear" w:color="auto" w:fill="auto"/>
                                <w:vAlign w:val="center"/>
                                <w:hideMark/>
                              </w:tcPr>
                              <w:p>
                                <w:pPr>
                                  <w:jc w:val="center"/>
                                  <w:rPr>
                                    <w:color w:val="000000"/>
                                    <w:sz w:val="22"/>
                                    <w:szCs w:val="22"/>
                                  </w:rPr>
                                </w:pPr>
                                <w:r>
                                  <w:rPr>
                                    <w:color w:val="000000"/>
                                    <w:sz w:val="22"/>
                                    <w:szCs w:val="22"/>
                                  </w:rPr>
                                  <w:t>15 552</w:t>
                                </w:r>
                              </w:p>
                            </w:tc>
                            <w:tc>
                              <w:tcPr>
                                <w:tcW w:w="1134" w:type="dxa"/>
                                <w:shd w:val="clear" w:color="auto" w:fill="auto"/>
                                <w:vAlign w:val="center"/>
                                <w:hideMark/>
                              </w:tcPr>
                              <w:p>
                                <w:pPr>
                                  <w:jc w:val="center"/>
                                  <w:rPr>
                                    <w:color w:val="000000"/>
                                    <w:sz w:val="22"/>
                                    <w:szCs w:val="22"/>
                                  </w:rPr>
                                </w:pPr>
                                <w:r>
                                  <w:rPr>
                                    <w:color w:val="000000"/>
                                    <w:sz w:val="22"/>
                                    <w:szCs w:val="22"/>
                                  </w:rPr>
                                  <w:t>21 177</w:t>
                                </w:r>
                              </w:p>
                            </w:tc>
                            <w:tc>
                              <w:tcPr>
                                <w:tcW w:w="6101" w:type="dxa"/>
                              </w:tcPr>
                              <w:p>
                                <w:pPr>
                                  <w:rPr>
                                    <w:color w:val="000000"/>
                                    <w:sz w:val="22"/>
                                    <w:szCs w:val="22"/>
                                  </w:rPr>
                                </w:pPr>
                                <w:r>
                                  <w:rPr>
                                    <w:color w:val="000000"/>
                                    <w:sz w:val="22"/>
                                    <w:szCs w:val="22"/>
                                  </w:rPr>
                                  <w:t xml:space="preserve">Tyrulių sen. Polekėlės k. Mokyklos g.  RD7563</w:t>
                                </w:r>
                              </w:p>
                            </w:tc>
                            <w:tc>
                              <w:tcPr>
                                <w:tcW w:w="1267" w:type="dxa"/>
                              </w:tcPr>
                              <w:p>
                                <w:pPr>
                                  <w:jc w:val="center"/>
                                  <w:rPr>
                                    <w:color w:val="000000"/>
                                    <w:sz w:val="22"/>
                                    <w:szCs w:val="22"/>
                                  </w:rPr>
                                </w:pPr>
                                <w:r>
                                  <w:rPr>
                                    <w:color w:val="000000"/>
                                    <w:sz w:val="22"/>
                                    <w:szCs w:val="22"/>
                                  </w:rPr>
                                  <w:t>8 000</w:t>
                                </w:r>
                              </w:p>
                            </w:tc>
                          </w:tr>
                          <w:tr>
                            <w:trPr>
                              <w:trHeight w:val="425"/>
                            </w:trPr>
                            <w:tc>
                              <w:tcPr>
                                <w:tcW w:w="2124" w:type="dxa"/>
                                <w:gridSpan w:val="2"/>
                                <w:shd w:val="clear" w:color="auto" w:fill="auto"/>
                                <w:vAlign w:val="center"/>
                                <w:hideMark/>
                              </w:tcPr>
                              <w:p>
                                <w:pPr>
                                  <w:jc w:val="center"/>
                                  <w:rPr>
                                    <w:b/>
                                    <w:bCs/>
                                    <w:color w:val="000000"/>
                                    <w:sz w:val="22"/>
                                    <w:szCs w:val="22"/>
                                  </w:rPr>
                                </w:pPr>
                                <w:r>
                                  <w:rPr>
                                    <w:b/>
                                    <w:bCs/>
                                    <w:color w:val="000000"/>
                                    <w:sz w:val="22"/>
                                    <w:szCs w:val="22"/>
                                  </w:rPr>
                                  <w:t>Iš viso:</w:t>
                                </w:r>
                              </w:p>
                            </w:tc>
                            <w:tc>
                              <w:tcPr>
                                <w:tcW w:w="1206" w:type="dxa"/>
                                <w:shd w:val="clear" w:color="auto" w:fill="auto"/>
                                <w:vAlign w:val="center"/>
                                <w:hideMark/>
                              </w:tcPr>
                              <w:p>
                                <w:pPr>
                                  <w:jc w:val="center"/>
                                  <w:rPr>
                                    <w:b/>
                                    <w:bCs/>
                                    <w:color w:val="000000"/>
                                    <w:sz w:val="22"/>
                                    <w:szCs w:val="22"/>
                                  </w:rPr>
                                </w:pPr>
                                <w:r>
                                  <w:rPr>
                                    <w:b/>
                                    <w:bCs/>
                                    <w:color w:val="000000"/>
                                    <w:sz w:val="22"/>
                                    <w:szCs w:val="22"/>
                                  </w:rPr>
                                  <w:t>35 306</w:t>
                                </w:r>
                              </w:p>
                            </w:tc>
                            <w:tc>
                              <w:tcPr>
                                <w:tcW w:w="1348" w:type="dxa"/>
                                <w:shd w:val="clear" w:color="auto" w:fill="auto"/>
                                <w:vAlign w:val="center"/>
                                <w:hideMark/>
                              </w:tcPr>
                              <w:p>
                                <w:pPr>
                                  <w:jc w:val="center"/>
                                  <w:rPr>
                                    <w:b/>
                                    <w:bCs/>
                                    <w:color w:val="000000"/>
                                    <w:sz w:val="22"/>
                                    <w:szCs w:val="22"/>
                                  </w:rPr>
                                </w:pPr>
                                <w:r>
                                  <w:rPr>
                                    <w:b/>
                                    <w:bCs/>
                                    <w:color w:val="000000"/>
                                    <w:sz w:val="22"/>
                                    <w:szCs w:val="22"/>
                                  </w:rPr>
                                  <w:t>302 720</w:t>
                                </w:r>
                              </w:p>
                            </w:tc>
                            <w:tc>
                              <w:tcPr>
                                <w:tcW w:w="1134" w:type="dxa"/>
                                <w:shd w:val="clear" w:color="auto" w:fill="auto"/>
                                <w:vAlign w:val="center"/>
                                <w:hideMark/>
                              </w:tcPr>
                              <w:p>
                                <w:pPr>
                                  <w:jc w:val="center"/>
                                  <w:rPr>
                                    <w:b/>
                                    <w:bCs/>
                                    <w:color w:val="000000"/>
                                    <w:sz w:val="22"/>
                                    <w:szCs w:val="22"/>
                                  </w:rPr>
                                </w:pPr>
                                <w:r>
                                  <w:rPr>
                                    <w:b/>
                                    <w:bCs/>
                                    <w:color w:val="000000"/>
                                    <w:sz w:val="22"/>
                                    <w:szCs w:val="22"/>
                                  </w:rPr>
                                  <w:t>1 365,85</w:t>
                                </w:r>
                              </w:p>
                            </w:tc>
                            <w:tc>
                              <w:tcPr>
                                <w:tcW w:w="1134" w:type="dxa"/>
                                <w:shd w:val="clear" w:color="auto" w:fill="auto"/>
                                <w:vAlign w:val="center"/>
                                <w:hideMark/>
                              </w:tcPr>
                              <w:p>
                                <w:pPr>
                                  <w:jc w:val="center"/>
                                  <w:rPr>
                                    <w:b/>
                                    <w:bCs/>
                                    <w:color w:val="000000"/>
                                    <w:sz w:val="22"/>
                                    <w:szCs w:val="22"/>
                                  </w:rPr>
                                </w:pPr>
                                <w:r>
                                  <w:rPr>
                                    <w:b/>
                                    <w:bCs/>
                                    <w:color w:val="000000"/>
                                    <w:sz w:val="22"/>
                                    <w:szCs w:val="22"/>
                                  </w:rPr>
                                  <w:t>454 080</w:t>
                                </w:r>
                              </w:p>
                            </w:tc>
                            <w:tc>
                              <w:tcPr>
                                <w:tcW w:w="1134" w:type="dxa"/>
                                <w:shd w:val="clear" w:color="auto" w:fill="auto"/>
                                <w:vAlign w:val="center"/>
                                <w:hideMark/>
                              </w:tcPr>
                              <w:p>
                                <w:pPr>
                                  <w:jc w:val="center"/>
                                  <w:rPr>
                                    <w:b/>
                                    <w:bCs/>
                                    <w:color w:val="000000"/>
                                    <w:sz w:val="22"/>
                                    <w:szCs w:val="22"/>
                                  </w:rPr>
                                </w:pPr>
                                <w:r>
                                  <w:rPr>
                                    <w:b/>
                                    <w:bCs/>
                                    <w:color w:val="000000"/>
                                    <w:sz w:val="22"/>
                                    <w:szCs w:val="22"/>
                                  </w:rPr>
                                  <w:t>756 800</w:t>
                                </w:r>
                              </w:p>
                            </w:tc>
                            <w:tc>
                              <w:tcPr>
                                <w:tcW w:w="6101" w:type="dxa"/>
                              </w:tcPr>
                              <w:p>
                                <w:pPr>
                                  <w:jc w:val="center"/>
                                  <w:rPr>
                                    <w:color w:val="000000"/>
                                    <w:sz w:val="22"/>
                                    <w:szCs w:val="22"/>
                                  </w:rPr>
                                </w:pPr>
                              </w:p>
                            </w:tc>
                            <w:tc>
                              <w:tcPr>
                                <w:tcW w:w="1267" w:type="dxa"/>
                              </w:tcPr>
                              <w:p>
                                <w:pPr>
                                  <w:jc w:val="center"/>
                                  <w:rPr>
                                    <w:b/>
                                    <w:bCs/>
                                    <w:color w:val="000000"/>
                                    <w:sz w:val="22"/>
                                    <w:szCs w:val="22"/>
                                  </w:rPr>
                                </w:pPr>
                                <w:r>
                                  <w:rPr>
                                    <w:b/>
                                    <w:bCs/>
                                    <w:color w:val="000000"/>
                                    <w:sz w:val="22"/>
                                    <w:szCs w:val="22"/>
                                  </w:rPr>
                                  <w:t>411 000</w:t>
                                </w:r>
                              </w:p>
                            </w:tc>
                          </w:tr>
                        </w:tbl>
                        <w:p/>
                      </w:sdtContent>
                    </w:sdt>
                  </w:sdtContent>
                </w:sdt>
              </w:sdtContent>
            </w:sdt>
          </w:sdtContent>
        </w:sdt>
        <w:sdt>
          <w:sdtPr>
            <w:alias w:val="pabaiga"/>
            <w:tag w:val="part_7c68cea021134fa18ed7d54cee4a6b9a"/>
            <w:lock w:val="sdtLocked"/>
            <w:richText/>
          </w:sdtPr>
          <w:sdtContent>
            <w:p>
              <w:pPr>
                <w:jc w:val="center"/>
                <w:rPr>
                  <w:szCs w:val="24"/>
                </w:rPr>
              </w:pPr>
              <w:r>
                <w:rPr>
                  <w:szCs w:val="24"/>
                </w:rPr>
                <w:t>____________________</w:t>
              </w:r>
            </w:p>
            <w:p>
              <w:pPr>
                <w:jc w:val="center"/>
                <w:rPr>
                  <w:szCs w:val="24"/>
                </w:rPr>
              </w:pPr>
            </w:p>
            <w:p>
              <w:pPr>
                <w:jc w:val="center"/>
                <w:rPr>
                  <w:b/>
                  <w:szCs w:val="24"/>
                </w:rPr>
                <w:sectPr>
                  <w:pgSz w:w="16838" w:h="11906" w:orient="landscape"/>
                  <w:pgMar w:top="567" w:right="1134" w:bottom="568" w:left="1134" w:header="567" w:footer="567" w:gutter="0"/>
                  <w:cols w:space="1296"/>
                  <w:docGrid w:linePitch="360"/>
                </w:sectPr>
              </w:pPr>
            </w:p>
          </w:sdtContent>
        </w:sdt>
      </w:sdtContent>
    </w:sdt>
    <w:sdt>
      <w:sdtPr>
        <w:alias w:val="pr."/>
        <w:tag w:val="part_01880c4f610549fe9d2f81b8957b8ccc"/>
        <w:lock w:val="sdtLocked"/>
        <w:richText/>
      </w:sdtPr>
      <w:sdtContent>
        <w:sdt>
          <w:sdtPr>
            <w:alias w:val="Pavadinimas"/>
            <w:tag w:val="title_01880c4f610549fe9d2f81b8957b8ccc"/>
            <w:lock w:val="sdtLocked"/>
            <w:richText/>
          </w:sdtPr>
          <w:sdtContent>
            <w:p>
              <w:pPr>
                <w:jc w:val="center"/>
                <w:rPr>
                  <w:b/>
                  <w:bCs/>
                  <w:szCs w:val="24"/>
                </w:rPr>
              </w:pPr>
              <w:r>
                <w:rPr>
                  <w:b/>
                  <w:bCs/>
                  <w:szCs w:val="24"/>
                </w:rPr>
                <w:t>RADVILIŠKIO RAJONO SAVIVALDYBĖS TARYBOS SPRENDIMO PROJEKTO</w:t>
              </w:r>
            </w:p>
            <w:p>
              <w:pPr>
                <w:spacing w:line="256" w:lineRule="auto"/>
                <w:jc w:val="center"/>
                <w:rPr>
                  <w:b/>
                  <w:bCs/>
                  <w:szCs w:val="24"/>
                </w:rPr>
              </w:pPr>
              <w:r>
                <w:rPr>
                  <w:b/>
                  <w:bCs/>
                  <w:szCs w:val="24"/>
                </w:rPr>
                <w:t xml:space="preserve">„DĖL KELIŲ PRIEŽIŪROS IR PLĖTROS PROGRAMOS FINANSAVIMO LĖŠŲ PASKIRSTYMO 2025 METAIS“  </w:t>
              </w:r>
            </w:p>
            <w:p>
              <w:pPr>
                <w:spacing w:line="256" w:lineRule="auto"/>
                <w:jc w:val="center"/>
                <w:rPr>
                  <w:szCs w:val="24"/>
                </w:rPr>
              </w:pPr>
              <w:r>
                <w:rPr>
                  <w:b/>
                  <w:bCs/>
                  <w:kern w:val="32"/>
                  <w:szCs w:val="24"/>
                </w:rPr>
                <w:t>AIŠKINAMASIS RAŠTAS</w:t>
              </w:r>
            </w:p>
          </w:sdtContent>
        </w:sdt>
        <w:p>
          <w:pPr>
            <w:jc w:val="center"/>
            <w:rPr>
              <w:szCs w:val="24"/>
            </w:rPr>
          </w:pPr>
        </w:p>
        <w:p>
          <w:pPr>
            <w:jc w:val="center"/>
            <w:rPr>
              <w:szCs w:val="24"/>
            </w:rPr>
          </w:pPr>
          <w:r>
            <w:rPr>
              <w:szCs w:val="24"/>
            </w:rPr>
            <w:t>2025 m. kovo 25 d.</w:t>
          </w:r>
        </w:p>
        <w:p>
          <w:pPr>
            <w:jc w:val="center"/>
            <w:rPr>
              <w:szCs w:val="24"/>
            </w:rPr>
          </w:pPr>
          <w:r>
            <w:rPr>
              <w:szCs w:val="24"/>
            </w:rPr>
            <w:t>Radviliškis</w:t>
          </w:r>
        </w:p>
        <w:p>
          <w:pPr>
            <w:widowControl w:val="0"/>
            <w:suppressAutoHyphens/>
            <w:jc w:val="both"/>
            <w:rPr>
              <w:rFonts w:eastAsia="Lucida Sans Unicode"/>
              <w:szCs w:val="24"/>
            </w:rPr>
          </w:pPr>
        </w:p>
        <w:sdt>
          <w:sdtPr>
            <w:alias w:val="pr. 1 p."/>
            <w:tag w:val="part_c9d4230a696445d387d7eab5e340d228"/>
            <w:lock w:val="sdtLocked"/>
            <w:richText/>
          </w:sdtPr>
          <w:sdtContent>
            <w:p>
              <w:pPr>
                <w:tabs>
                  <w:tab w:val="left" w:pos="1134"/>
                </w:tabs>
                <w:ind w:firstLine="709"/>
                <w:jc w:val="both"/>
                <w:rPr>
                  <w:szCs w:val="24"/>
                  <w:lang w:bidi="he-IL"/>
                </w:rPr>
              </w:pPr>
              <w:sdt>
                <w:sdtPr>
                  <w:alias w:val="Numeris"/>
                  <w:tag w:val="nr_c9d4230a696445d387d7eab5e340d228"/>
                  <w:lock w:val="sdtLocked"/>
                  <w:richText/>
                </w:sdtPr>
                <w:sdtContent>
                  <w:r>
                    <w:rPr>
                      <w:b/>
                      <w:szCs w:val="24"/>
                      <w:lang w:bidi="he-IL"/>
                    </w:rPr>
                    <w:t>1</w:t>
                  </w:r>
                </w:sdtContent>
              </w:sdt>
              <w:r>
                <w:rPr>
                  <w:b/>
                  <w:szCs w:val="24"/>
                  <w:lang w:bidi="he-IL"/>
                </w:rPr>
                <w:t>.</w:t>
                <w:tab/>
                <w:t>Projekto rengimą paskatinusios priežastys, parengto projekto tikslai, sprendimo projekto tikslai ir uždaviniai</w:t>
              </w:r>
              <w:r>
                <w:rPr>
                  <w:szCs w:val="24"/>
                  <w:lang w:bidi="he-IL"/>
                </w:rPr>
                <w:t>.</w:t>
              </w:r>
            </w:p>
            <w:p>
              <w:pPr>
                <w:tabs>
                  <w:tab w:val="left" w:pos="709"/>
                  <w:tab w:val="left" w:pos="851"/>
                </w:tabs>
                <w:ind w:firstLine="709"/>
                <w:jc w:val="both"/>
                <w:rPr>
                  <w:szCs w:val="24"/>
                </w:rPr>
              </w:pPr>
              <w:r>
                <w:rPr>
                  <w:szCs w:val="24"/>
                </w:rPr>
                <w:t>Vadovaujantis Vietos savivaldos įstatymo 6 straipsnio 32 punktu s</w:t>
              </w:r>
              <w:r>
                <w:rPr>
                  <w:bCs/>
                  <w:szCs w:val="24"/>
                </w:rPr>
                <w:t>avarankiškosios (Konstitucijos ir įstatymų nustatytos (priskirtos)) savivaldybių</w:t>
              </w:r>
              <w:r>
                <w:rPr>
                  <w:szCs w:val="24"/>
                </w:rPr>
                <w:t xml:space="preserve"> funkcijos yra savivaldybių vietinės reikšmės kelių ir gatvių priežiūra, taisymas, tiesimas ir saugaus eismo organizavimas. Vienas iš finansavimo šaltinių palaikyti kelių ir gatvių gerą techninį stovį yra skiriamos valstybės biudžeto lėšos.</w:t>
              </w:r>
            </w:p>
            <w:p>
              <w:pPr>
                <w:tabs>
                  <w:tab w:val="left" w:pos="709"/>
                  <w:tab w:val="left" w:pos="851"/>
                </w:tabs>
                <w:ind w:firstLine="709"/>
                <w:jc w:val="both"/>
                <w:rPr>
                  <w:rFonts w:eastAsia="Lucida Sans Unicode"/>
                  <w:szCs w:val="24"/>
                </w:rPr>
              </w:pPr>
              <w:r>
                <w:rPr>
                  <w:szCs w:val="24"/>
                </w:rPr>
                <w:t xml:space="preserve">Lietuvos Respublikos Vyriausybė 2025 m. kovo 19 d. nutarimu Nr. 147 „Dėl Kelių  priežiūros  ir  plėtros  programos  finansavimo  lėšų  naudojimo  2025–2027 metų sąmatos patvirtinimo“ patvirtino Kelių priežiūros ir plėtros programos (toliau – Programa) finansavimo lėšų naudojimo 2025 metų sąmatą ir 2026–2027 m. sąmatos (lėšų) perspektyvą. Sąmatoje numatyta 2025 m. vietinės reikšmės kelių tinklui plėsti ir užtikrinti, kad šis tinklas veiktų ne miestų savivaldybėms skirti 119 651 tūkst. Eur (2024 m. buvo skirta šiems keliams 103 908 tūkst. Eur). AB Via Lietuva vadovaudamasi šiuo nutarimu 2025 m. kovo 24 d. įsakymu Nr. VE-25-39 „Dėl Kelių priežiūros ir plėtros programos finansavimo lėšų savivaldybių institucijų valdomiems vietinės reikšmės keliams paskirstymo 2025 metais“ paskirstė šias lėšas savivaldybėms.  Radviliškio r. sav. vietinės reikšmės keliams tvarkyti, remontuoti, prižiūrėti skirta 2 766 800 Eur.  </w:t>
              </w:r>
              <w:r>
                <w:rPr>
                  <w:rFonts w:eastAsia="Lucida Sans Unicode"/>
                  <w:szCs w:val="24"/>
                </w:rPr>
                <w:t xml:space="preserve"> </w:t>
              </w:r>
            </w:p>
          </w:sdtContent>
        </w:sdt>
        <w:sdt>
          <w:sdtPr>
            <w:alias w:val="pr. 2 p."/>
            <w:tag w:val="part_853b7ff04dad4a4086c29658435d488e"/>
            <w:lock w:val="sdtLocked"/>
            <w:richText/>
          </w:sdtPr>
          <w:sdtContent>
            <w:p>
              <w:pPr>
                <w:tabs>
                  <w:tab w:val="left" w:pos="993"/>
                </w:tabs>
                <w:ind w:firstLine="709"/>
                <w:jc w:val="both"/>
                <w:rPr>
                  <w:b/>
                  <w:bCs/>
                  <w:szCs w:val="24"/>
                </w:rPr>
              </w:pPr>
              <w:sdt>
                <w:sdtPr>
                  <w:alias w:val="Numeris"/>
                  <w:tag w:val="nr_853b7ff04dad4a4086c29658435d488e"/>
                  <w:lock w:val="sdtLocked"/>
                  <w:richText/>
                </w:sdtPr>
                <w:sdtContent>
                  <w:r>
                    <w:rPr>
                      <w:b/>
                      <w:bCs/>
                      <w:szCs w:val="24"/>
                    </w:rPr>
                    <w:t>2</w:t>
                  </w:r>
                </w:sdtContent>
              </w:sdt>
              <w:r>
                <w:rPr>
                  <w:b/>
                  <w:bCs/>
                  <w:szCs w:val="24"/>
                </w:rPr>
                <w:t>.</w:t>
                <w:tab/>
                <w:t>Projekto iniciatoriai (institucija, asmenys ar piliečių atstovai) ir rengėjai.</w:t>
              </w:r>
            </w:p>
            <w:p>
              <w:pPr>
                <w:ind w:firstLine="709"/>
                <w:jc w:val="both"/>
                <w:rPr>
                  <w:szCs w:val="24"/>
                </w:rPr>
              </w:pPr>
              <w:r>
                <w:rPr>
                  <w:szCs w:val="24"/>
                </w:rPr>
                <w:t xml:space="preserve">Radviliškio rajono savivaldybės administracijos Statybos ir viešosios tvarkos skyriaus vedėjas Gintautas Vičas. </w:t>
              </w:r>
            </w:p>
          </w:sdtContent>
        </w:sdt>
        <w:sdt>
          <w:sdtPr>
            <w:alias w:val="pr. 3 p."/>
            <w:tag w:val="part_53ed2c4aa06e40f0b8bf4adb1a3612ef"/>
            <w:lock w:val="sdtLocked"/>
            <w:richText/>
          </w:sdtPr>
          <w:sdtContent>
            <w:p>
              <w:pPr>
                <w:tabs>
                  <w:tab w:val="left" w:pos="993"/>
                </w:tabs>
                <w:ind w:firstLine="709"/>
                <w:jc w:val="both"/>
                <w:rPr>
                  <w:b/>
                  <w:szCs w:val="24"/>
                </w:rPr>
              </w:pPr>
              <w:sdt>
                <w:sdtPr>
                  <w:alias w:val="Numeris"/>
                  <w:tag w:val="nr_53ed2c4aa06e40f0b8bf4adb1a3612ef"/>
                  <w:lock w:val="sdtLocked"/>
                  <w:richText/>
                </w:sdtPr>
                <w:sdtContent>
                  <w:r>
                    <w:rPr>
                      <w:b/>
                      <w:szCs w:val="24"/>
                    </w:rPr>
                    <w:t>3</w:t>
                  </w:r>
                </w:sdtContent>
              </w:sdt>
              <w:r>
                <w:rPr>
                  <w:b/>
                  <w:szCs w:val="24"/>
                </w:rPr>
                <w:t>.</w:t>
                <w:tab/>
                <w:t>Kaip šiuo metu yra reguliuojami sprendimo projekte aptarti teisiniai santykiai.</w:t>
              </w:r>
            </w:p>
            <w:p>
              <w:pPr>
                <w:tabs>
                  <w:tab w:val="left" w:pos="993"/>
                </w:tabs>
                <w:ind w:firstLine="709"/>
                <w:jc w:val="both"/>
                <w:rPr>
                  <w:bCs/>
                  <w:szCs w:val="24"/>
                </w:rPr>
              </w:pPr>
              <w:r>
                <w:rPr>
                  <w:bCs/>
                  <w:szCs w:val="24"/>
                </w:rPr>
                <w:t>LR Kelių priežiūros ir plėtros programos finansavimo įstatymo 9 str. 7 p. nustatyta (redakcija nuo 2025-02-01), kad ne mažiau kaip 50 procentų Programos finansavimo lėšų, skirtų savivaldybių institucijų valdomiems vietinės reikšmės keliams, turi būti naudojama vietinės reikšmės keliams tiesti, rekonstruoti ir taisyti (remontuoti); ne mažiau kaip 10 procentų Programos finansavimo lėšų, skirtų savivaldybių institucijų valdomiems vietinės reikšmės keliams, turi būti naudojama saugaus eismo priemonėms ir darnaus judumo priemonėms vietinės reikšmės keliuose finansuoti.</w:t>
              </w:r>
            </w:p>
            <w:p>
              <w:pPr>
                <w:tabs>
                  <w:tab w:val="left" w:pos="709"/>
                  <w:tab w:val="left" w:pos="851"/>
                </w:tabs>
                <w:ind w:firstLine="709"/>
                <w:jc w:val="both"/>
                <w:rPr>
                  <w:szCs w:val="24"/>
                </w:rPr>
              </w:pPr>
              <w:r>
                <w:rPr>
                  <w:szCs w:val="24"/>
                </w:rPr>
                <w:t xml:space="preserve">Šiuo metu Radviliškio rajono savivaldybės taryba 2021 m. vasario 25 d. sprendimu Nr. T-449 „Dėl Kelių priežiūros ir plėtros programos finansavimo lėšų paskirstymo ir naudojimo Radviliškio rajono savivaldybės susisiekimo infrastruktūros objektams finansuoti tvarkos aprašo patvirtinimo“ yra patvirtinusi Kelių priežiūros ir plėtros programos lėšų paskirstymo ir naudojimo Radviliškio rajono savivaldybės susisiekimo infrastruktūros objektams finansuoti tvarkos aprašą, kuriame nustatyta tvarka, kaip tvirtinamos vietinės reikšmės kelių objektų prioritetinės eilės ne trumpesniam kaip trejų metų laikotarpiui. Radviliškio rajono savivaldybės taryba 2025 m. vasario 13 d. sprendimu Nr. T-586 „Dėl Radviliškio rajono savivaldybės susisiekimo komunikacijų  2025–2027 m. prioritetinių objektų sąrašų patvirtinimo“ patvirtino susisiekimo komunikacijų tvarkymo prioritetinėmis eiles 2025–2027 metams. Vadovaujantis šiais patvirtintais prioritetais lėšos paskirstomos objektams 2025 m. finansuoti bei einamiesiems tikslams (paprastajam remontui, priežiūrai vykdyti).</w:t>
              </w:r>
            </w:p>
          </w:sdtContent>
        </w:sdt>
        <w:sdt>
          <w:sdtPr>
            <w:alias w:val="pr. 4 p."/>
            <w:tag w:val="part_8bbf532231e9492c8bed118a24199029"/>
            <w:lock w:val="sdtLocked"/>
            <w:richText/>
          </w:sdtPr>
          <w:sdtContent>
            <w:p>
              <w:pPr>
                <w:tabs>
                  <w:tab w:val="left" w:pos="993"/>
                </w:tabs>
                <w:spacing w:line="259" w:lineRule="auto"/>
                <w:ind w:firstLine="709"/>
                <w:jc w:val="both"/>
                <w:rPr>
                  <w:szCs w:val="24"/>
                  <w:shd w:val="clear" w:color="auto" w:fill="FFFFFF"/>
                </w:rPr>
              </w:pPr>
              <w:sdt>
                <w:sdtPr>
                  <w:alias w:val="Numeris"/>
                  <w:tag w:val="nr_8bbf532231e9492c8bed118a24199029"/>
                  <w:lock w:val="sdtLocked"/>
                  <w:richText/>
                </w:sdtPr>
                <w:sdtContent>
                  <w:r>
                    <w:rPr>
                      <w:b/>
                      <w:szCs w:val="24"/>
                    </w:rPr>
                    <w:t>4</w:t>
                  </w:r>
                </w:sdtContent>
              </w:sdt>
              <w:r>
                <w:rPr>
                  <w:b/>
                  <w:szCs w:val="24"/>
                </w:rPr>
                <w:t>.</w:t>
                <w:tab/>
              </w:r>
              <w:r>
                <w:rPr>
                  <w:b/>
                  <w:bCs/>
                  <w:szCs w:val="24"/>
                </w:rPr>
                <w:t>Kokios siūlomos naujos teisinio reguliavimo nuostatos, kokių teigiamų rezultatų laukiama.</w:t>
              </w:r>
            </w:p>
            <w:p>
              <w:pPr>
                <w:ind w:firstLine="709"/>
                <w:jc w:val="both"/>
                <w:rPr>
                  <w:rFonts w:eastAsia="Lucida Sans Unicode"/>
                  <w:szCs w:val="24"/>
                </w:rPr>
              </w:pPr>
              <w:r>
                <w:rPr>
                  <w:rFonts w:eastAsia="Lucida Sans Unicode"/>
                  <w:szCs w:val="24"/>
                </w:rPr>
                <w:t>Nesiūloma.</w:t>
              </w:r>
            </w:p>
          </w:sdtContent>
        </w:sdt>
        <w:sdt>
          <w:sdtPr>
            <w:alias w:val="pr. 5 p."/>
            <w:tag w:val="part_97306a101813404b82b8f06208b4edb9"/>
            <w:lock w:val="sdtLocked"/>
            <w:richText/>
          </w:sdtPr>
          <w:sdtContent>
            <w:p>
              <w:pPr>
                <w:tabs>
                  <w:tab w:val="left" w:pos="993"/>
                </w:tabs>
                <w:ind w:firstLine="709"/>
                <w:jc w:val="both"/>
                <w:rPr>
                  <w:b/>
                  <w:bCs/>
                  <w:szCs w:val="24"/>
                </w:rPr>
              </w:pPr>
              <w:sdt>
                <w:sdtPr>
                  <w:alias w:val="Numeris"/>
                  <w:tag w:val="nr_97306a101813404b82b8f06208b4edb9"/>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pPr>
                <w:ind w:firstLine="709"/>
                <w:jc w:val="both"/>
                <w:rPr>
                  <w:szCs w:val="24"/>
                </w:rPr>
              </w:pPr>
              <w:r>
                <w:rPr>
                  <w:szCs w:val="24"/>
                </w:rPr>
                <w:t xml:space="preserve">Neigiamų pasekmių nenumatoma. </w:t>
              </w:r>
            </w:p>
          </w:sdtContent>
        </w:sdt>
        <w:sdt>
          <w:sdtPr>
            <w:alias w:val="pr. 6 p."/>
            <w:tag w:val="part_1b667e411d1b4b7ba8cfaf70939b1cc9"/>
            <w:lock w:val="sdtLocked"/>
            <w:richText/>
          </w:sdtPr>
          <w:sdtContent>
            <w:p>
              <w:pPr>
                <w:tabs>
                  <w:tab w:val="left" w:pos="993"/>
                </w:tabs>
                <w:ind w:firstLine="709"/>
                <w:jc w:val="both"/>
                <w:rPr>
                  <w:b/>
                  <w:bCs/>
                  <w:szCs w:val="24"/>
                </w:rPr>
              </w:pPr>
              <w:sdt>
                <w:sdtPr>
                  <w:alias w:val="Numeris"/>
                  <w:tag w:val="nr_1b667e411d1b4b7ba8cfaf70939b1cc9"/>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pPr>
                <w:widowControl w:val="0"/>
                <w:tabs>
                  <w:tab w:val="left" w:pos="993"/>
                </w:tabs>
                <w:ind w:left="709"/>
                <w:jc w:val="both"/>
                <w:rPr>
                  <w:szCs w:val="24"/>
                </w:rPr>
              </w:pPr>
              <w:r>
                <w:rPr>
                  <w:szCs w:val="24"/>
                </w:rPr>
                <w:t>Nėra.</w:t>
              </w:r>
            </w:p>
          </w:sdtContent>
        </w:sdt>
        <w:sdt>
          <w:sdtPr>
            <w:alias w:val="pr. 7 p."/>
            <w:tag w:val="part_c457bf2b539c4ce78da8403393732d82"/>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c457bf2b539c4ce78da8403393732d82"/>
                  <w:lock w:val="sdtLocked"/>
                  <w:richText/>
                </w:sdtPr>
                <w:sdtContent>
                  <w:r>
                    <w:rPr>
                      <w:b/>
                      <w:szCs w:val="24"/>
                    </w:rPr>
                    <w:t>7</w:t>
                  </w:r>
                </w:sdtContent>
              </w:sdt>
              <w:r>
                <w:rPr>
                  <w:b/>
                  <w:szCs w:val="24"/>
                </w:rPr>
                <w:t>.</w:t>
                <w:tab/>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r>
                <w:rPr>
                  <w:bCs/>
                  <w:szCs w:val="24"/>
                </w:rPr>
                <w:t xml:space="preserve">Sprendimui įgyvendinti ir bus naudojamos Kelių priežiūros ir plėtros programos (valstybės biudžeto) lėšos. </w:t>
              </w:r>
            </w:p>
          </w:sdtContent>
        </w:sdt>
        <w:sdt>
          <w:sdtPr>
            <w:alias w:val="pr. 8 p."/>
            <w:tag w:val="part_260f062d1d3e4d15bd55609ea5f0ef70"/>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260f062d1d3e4d15bd55609ea5f0ef70"/>
                  <w:lock w:val="sdtLocked"/>
                  <w:richText/>
                </w:sdtPr>
                <w:sdtContent>
                  <w:r>
                    <w:rPr>
                      <w:b/>
                      <w:szCs w:val="24"/>
                    </w:rPr>
                    <w:t>8</w:t>
                  </w:r>
                </w:sdtContent>
              </w:sdt>
              <w:r>
                <w:rPr>
                  <w:b/>
                  <w:szCs w:val="24"/>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w:t>
              </w:r>
            </w:p>
          </w:sdtContent>
        </w:sdt>
        <w:sdt>
          <w:sdtPr>
            <w:alias w:val="pr. 9 p."/>
            <w:tag w:val="part_f12cc6f46c374d4aba737eaaab391bce"/>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f12cc6f46c374d4aba737eaaab391bce"/>
                  <w:lock w:val="sdtLocked"/>
                  <w:richText/>
                </w:sdtPr>
                <w:sdtContent>
                  <w:r>
                    <w:rPr>
                      <w:b/>
                      <w:szCs w:val="24"/>
                    </w:rPr>
                    <w:t>9</w:t>
                  </w:r>
                </w:sdtContent>
              </w:sdt>
              <w:r>
                <w:rPr>
                  <w:b/>
                  <w:szCs w:val="24"/>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 xml:space="preserve">Rezultatai nenumatomi. </w:t>
              </w:r>
            </w:p>
          </w:sdtContent>
        </w:sdt>
        <w:sdt>
          <w:sdtPr>
            <w:alias w:val="pr. 10 p."/>
            <w:tag w:val="part_f95fd67e80264cdebb78cfce8827e336"/>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f95fd67e80264cdebb78cfce8827e336"/>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tabs>
                  <w:tab w:val="left" w:pos="1134"/>
                </w:tabs>
                <w:ind w:firstLine="709"/>
                <w:rPr>
                  <w:rFonts w:eastAsia="Calibri"/>
                  <w:szCs w:val="24"/>
                </w:rPr>
              </w:pPr>
              <w:r>
                <w:rPr>
                  <w:rFonts w:eastAsia="Calibri"/>
                  <w:szCs w:val="24"/>
                </w:rPr>
                <w:t>Teisės akto projektas antikorupciniam vertinimui neteikiamas.</w:t>
              </w:r>
            </w:p>
          </w:sdtContent>
        </w:sdt>
        <w:sdt>
          <w:sdtPr>
            <w:alias w:val="pr. 11 p."/>
            <w:tag w:val="part_9d5b6b97204846898a816df590bd36ca"/>
            <w:lock w:val="sdtLocked"/>
            <w:richText/>
          </w:sdtPr>
          <w:sdtContent>
            <w:p>
              <w:pPr>
                <w:tabs>
                  <w:tab w:val="left" w:pos="1134"/>
                </w:tabs>
                <w:ind w:firstLine="709"/>
                <w:rPr>
                  <w:rFonts w:eastAsia="Calibri"/>
                  <w:b/>
                  <w:bCs/>
                  <w:szCs w:val="24"/>
                </w:rPr>
              </w:pPr>
              <w:sdt>
                <w:sdtPr>
                  <w:alias w:val="Numeris"/>
                  <w:tag w:val="nr_9d5b6b97204846898a816df590bd36ca"/>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widowControl w:val="0"/>
                <w:spacing w:line="276" w:lineRule="auto"/>
                <w:ind w:firstLine="709"/>
                <w:jc w:val="both"/>
                <w:rPr>
                  <w:szCs w:val="24"/>
                </w:rPr>
              </w:pPr>
              <w:r>
                <w:rPr>
                  <w:szCs w:val="24"/>
                </w:rPr>
                <w:t>Įgyvendinat Lietuvos Respublikos kelių priežiūros ir plėtros programos finansavimo įstatymo 9 straipsnio 7 dalies nuostatas privaloma užtikrinti, kad ne mažiau kaip 50 procentų savivaldybei skirtų Programos finansavimo lėšų naudojama turtui įsigyti – vietinės reikšmės keliams tiesti, rekonstruoti, kapitališkai remontuoti, o ne mažiau kaip 10 procentų – saugaus eismo priemonėms ir darnaus judumo priemonėms vietinės reikšmės keliuose finansuoti.</w:t>
              </w:r>
            </w:p>
          </w:sdtContent>
        </w:sdt>
        <w:sdt>
          <w:sdtPr>
            <w:alias w:val="pr. 12 p."/>
            <w:tag w:val="part_6cafc182d65b49caaf404c87ac0739b5"/>
            <w:lock w:val="sdtLocked"/>
            <w:richText/>
          </w:sdtPr>
          <w:sdtContent>
            <w:p>
              <w:pPr>
                <w:tabs>
                  <w:tab w:val="left" w:pos="1134"/>
                </w:tabs>
                <w:spacing w:line="259" w:lineRule="auto"/>
                <w:ind w:firstLine="709"/>
                <w:rPr>
                  <w:rFonts w:eastAsia="Calibri"/>
                  <w:b/>
                  <w:bCs/>
                  <w:szCs w:val="24"/>
                </w:rPr>
              </w:pPr>
              <w:sdt>
                <w:sdtPr>
                  <w:alias w:val="Numeris"/>
                  <w:tag w:val="nr_6cafc182d65b49caaf404c87ac0739b5"/>
                  <w:lock w:val="sdtLocked"/>
                  <w:richText/>
                </w:sdtPr>
                <w:sdtContent>
                  <w:r>
                    <w:rPr>
                      <w:rFonts w:eastAsia="Calibri"/>
                      <w:b/>
                      <w:bCs/>
                      <w:szCs w:val="24"/>
                    </w:rPr>
                    <w:t>12</w:t>
                  </w:r>
                </w:sdtContent>
              </w:sdt>
              <w:r>
                <w:rPr>
                  <w:rFonts w:eastAsia="Calibri"/>
                  <w:b/>
                  <w:bCs/>
                  <w:szCs w:val="24"/>
                </w:rPr>
                <w:t>.</w:t>
                <w:tab/>
                <w:t xml:space="preserve">Pridedami dokumentai. </w:t>
              </w:r>
            </w:p>
            <w:p>
              <w:pPr>
                <w:ind w:firstLine="709"/>
                <w:jc w:val="both"/>
                <w:rPr>
                  <w:b/>
                  <w:bCs/>
                  <w:szCs w:val="24"/>
                </w:rPr>
              </w:pPr>
              <w:r>
                <w:rPr>
                  <w:szCs w:val="24"/>
                </w:rPr>
                <w:t xml:space="preserve">Pridedamų dokumentų nėra. </w:t>
              </w:r>
            </w:p>
            <w:p>
              <w:pPr>
                <w:jc w:val="both"/>
                <w:rPr>
                  <w:b/>
                  <w:bCs/>
                  <w:szCs w:val="24"/>
                </w:rPr>
              </w:pPr>
            </w:p>
            <w:p>
              <w:pPr>
                <w:spacing w:line="259" w:lineRule="auto"/>
                <w:rPr>
                  <w:szCs w:val="24"/>
                </w:rPr>
              </w:pPr>
            </w:p>
            <w:p>
              <w:pPr>
                <w:rPr>
                  <w:sz w:val="14"/>
                  <w:szCs w:val="14"/>
                </w:rPr>
              </w:pPr>
            </w:p>
            <w:p>
              <w:pPr>
                <w:spacing w:line="259" w:lineRule="auto"/>
                <w:ind w:firstLine="124"/>
                <w:rPr>
                  <w:b/>
                  <w:szCs w:val="24"/>
                </w:rPr>
              </w:pPr>
              <w:r>
                <w:rPr>
                  <w:szCs w:val="24"/>
                </w:rPr>
                <w:t xml:space="preserve">Statybos ir viešosios tvarkos skyriaus vedėjas                                                                  Gintautas Vičas</w:t>
              </w:r>
            </w:p>
          </w:sdtContent>
        </w:sdt>
      </w:sdtContent>
    </w:sdt>
    <w:sectPr>
      <w:pgSz w:w="11906" w:h="16838"/>
      <w:pgMar w:top="1134" w:right="567" w:bottom="1134" w:left="130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pacing w:line="14" w:lineRule="auto"/>
      <w:rPr>
        <w:sz w:val="20"/>
        <w:szCs w:val="24"/>
        <w:lang w:val="en-US"/>
      </w:rPr>
    </w:pPr>
    <w:r>
      <w:rPr>
        <w:szCs w:val="24"/>
        <w:lang w:val="en-US"/>
      </w:rPr>
      <mc:AlternateContent>
        <mc:Choice Requires="wps">
          <w:drawing>
            <wp:anchor distT="0" distB="0" distL="114300" distR="114300" simplePos="0" relativeHeight="251657728" behindDoc="1" locked="0" layoutInCell="1" allowOverlap="1" wp14:anchorId="42D0072F" wp14:editId="41B06520">
              <wp:simplePos x="0" y="0"/>
              <wp:positionH relativeFrom="page">
                <wp:posOffset>4083685</wp:posOffset>
              </wp:positionH>
              <wp:positionV relativeFrom="page">
                <wp:posOffset>361315</wp:posOffset>
              </wp:positionV>
              <wp:extent cx="114300" cy="152400"/>
              <wp:effectExtent l="0" t="0" r="254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spacing w:line="224" w:lineRule="exact"/>
                            <w:ind w:left="40"/>
                            <w:rPr>
                              <w:sz w:val="20"/>
                              <w:szCs w:val="24"/>
                              <w:lang w:val="en-G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D0072F" id="_x0000_t202" coordsize="21600,21600" o:spt="202" path="m,l,21600r21600,l21600,xe">
              <v:stroke joinstyle="miter"/>
              <v:path gradientshapeok="t" o:connecttype="rect"/>
            </v:shapetype>
            <v:shape id="Text Box 1" o:spid="_x0000_s1026" type="#_x0000_t202" style="position:absolute;margin-left:321.55pt;margin-top:28.45pt;width:9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QjYgqAIAAKgFAAAOAAAAZHJzL2Uyb0RvYy54bWysVG1vmzAQ/j5p/8HydwqkJA2opEpCmCZ1 L1K7H+CACdaMzWwn0E377zubkCatJk3b+GCd7fNzz9093O1d33B0oEozKVIcXgUYUVHIkoldir88 5t4cI22IKAmXgqb4iWp8t3j75rZrEzqRteQlVQhAhE66NsW1MW3i+7qoaUP0lWypgMtKqoYY2Kqd XyrSAXrD/UkQzPxOqrJVsqBaw2k2XOKFw68qWphPVaWpQTzFwM24Vbl1a1d/cUuSnSJtzYojDfIX LBrCBAQ9QWXEELRX7BVUwwoltazMVSEbX1YVK6jLAbIJgxfZPNSkpS4XKI5uT2XS/w+2+Hj4rBAr oXcYCdJAix5pb9BK9ii01elanYDTQwtupodj62kz1e29LL5qJOS6JmJHl0rJrqakBHbupX/2dMDR FmTbfZAlhCF7Ix1QX6nGAkIxEKBDl55OnbFUChsyjK4DuCngKpxOIrCBm0+S8XGrtHlHZYOskWIF jXfg5HCvzeA6uthYQuaMc9d8Li4OAHM4gdDw1N5ZEq6XP+Ig3sw388iLJrONFwVZ5i3zdeTN8vBm ml1n63UW/rRxwyipWVlSYcOMugqjP+vbUeGDIk7K0pKz0sJZSlrttmuu0IGArnP3HQty5uZf0nD1 glxepBRCNVeT2Mtn8xsvyqOpF98Ecy8I41U8C6I4yvLLlO6ZoP+eEupSHE8n00FLv80tcN/r3EjS MAOTg7MmxfOTE0msAjeidK01hPHBPiuFpf9cCmj32GinVyvRQaym3/aAYkW8leUTKFdJUBaIEMYd GLVU3zHqYHSkWH/bE0Ux4u8FqN/OmdFQo7EdDSIKeJpig9Fgrs0wj/atYrsakIf/S8gl/CEVc+p9 ZgHU7QbGgUviOLrsvDnfO6/nAbv4BQAA//8DAFBLAwQUAAYACAAAACEAvfmLrt8AAAAJAQAADwAA AGRycy9kb3ducmV2LnhtbEyPy07DMBBF90j8gzVI7KgdHlYT4lQVghUSIg0Llk7sJlbjcYjdNvw9 wwqWM3N059xys/iRnewcXUAF2UoAs9gF47BX8NG83KyBxaTR6DGgVfBtI2yqy4tSFyacsbanXeoZ hWAstIIhpangPHaD9TquwmSRbvswe51onHtuZn2mcD/yWyEk99ohfRj0ZJ8G2x12R69g+4n1s/t6 a9/rfe2aJhf4Kg9KXV8t20dgyS7pD4ZffVKHipzacEQT2ahA3t9lhCp4kDkwAqTMaNEqWIsceFXy /w2qHwAAAP//AwBQSwECLQAUAAYACAAAACEAtoM4kv4AAADhAQAAEwAAAAAAAAAAAAAAAAAAAAAA W0NvbnRlbnRfVHlwZXNdLnhtbFBLAQItABQABgAIAAAAIQA4/SH/1gAAAJQBAAALAAAAAAAAAAAA AAAAAC8BAABfcmVscy8ucmVsc1BLAQItABQABgAIAAAAIQADQjYgqAIAAKgFAAAOAAAAAAAAAAAA AAAAAC4CAABkcnMvZTJvRG9jLnhtbFBLAQItABQABgAIAAAAIQC9+Yuu3wAAAAkBAAAPAAAAAAAA AAAAAAAAAAIFAABkcnMvZG93bnJldi54bWxQSwUGAAAAAAQABADzAAAADgYAAAAA " filled="f" stroked="f">
              <v:textbox inset="0,0,0,0">
                <w:txbxContent>
                  <w:p w14:paraId="2724484E" w14:textId="77777777">
                    <w:pPr>
                      <w:spacing w:line="224" w:lineRule="exact"/>
                      <w:ind w:left="40"/>
                      <w:rPr>
                        <w:rFonts w:ascii="Times New Roman" w:hAnsi="Times New Roman" w:eastAsia="Times New Roman" w:cs="Times New Roman"/>
                        <w:sz w:val="20"/>
                        <w:szCs w:val="24"/>
                        <w:lang w:val="en-GB"/>
                      </w:rPr>
                    </w:pPr>
                  </w:p>
                </w:txbxContent>
              </v:textbox>
              <w10:wrap anchorx="page" anchory="page"/>
            </v:shape>
          </w:pict>
        </mc:Fallback>
      </mc:AlternateConten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43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47F16DC-570D-4BBA-8BA2-A0A9769CDD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695435">
      <w:bodyDiv w:val="1"/>
      <w:marLeft w:val="0"/>
      <w:marRight w:val="0"/>
      <w:marTop w:val="0"/>
      <w:marBottom w:val="0"/>
      <w:divBdr>
        <w:top w:val="none" w:sz="0" w:space="0" w:color="auto"/>
        <w:left w:val="none" w:sz="0" w:space="0" w:color="auto"/>
        <w:bottom w:val="none" w:sz="0" w:space="0" w:color="auto"/>
        <w:right w:val="none" w:sz="0" w:space="0" w:color="auto"/>
      </w:divBdr>
    </w:div>
    <w:div w:id="326177001">
      <w:bodyDiv w:val="1"/>
      <w:marLeft w:val="0"/>
      <w:marRight w:val="0"/>
      <w:marTop w:val="0"/>
      <w:marBottom w:val="0"/>
      <w:divBdr>
        <w:top w:val="none" w:sz="0" w:space="0" w:color="auto"/>
        <w:left w:val="none" w:sz="0" w:space="0" w:color="auto"/>
        <w:bottom w:val="none" w:sz="0" w:space="0" w:color="auto"/>
        <w:right w:val="none" w:sz="0" w:space="0" w:color="auto"/>
      </w:divBdr>
    </w:div>
    <w:div w:id="600995125">
      <w:bodyDiv w:val="1"/>
      <w:marLeft w:val="0"/>
      <w:marRight w:val="0"/>
      <w:marTop w:val="0"/>
      <w:marBottom w:val="0"/>
      <w:divBdr>
        <w:top w:val="none" w:sz="0" w:space="0" w:color="auto"/>
        <w:left w:val="none" w:sz="0" w:space="0" w:color="auto"/>
        <w:bottom w:val="none" w:sz="0" w:space="0" w:color="auto"/>
        <w:right w:val="none" w:sz="0" w:space="0" w:color="auto"/>
      </w:divBdr>
    </w:div>
    <w:div w:id="656501147">
      <w:bodyDiv w:val="1"/>
      <w:marLeft w:val="0"/>
      <w:marRight w:val="0"/>
      <w:marTop w:val="0"/>
      <w:marBottom w:val="0"/>
      <w:divBdr>
        <w:top w:val="none" w:sz="0" w:space="0" w:color="auto"/>
        <w:left w:val="none" w:sz="0" w:space="0" w:color="auto"/>
        <w:bottom w:val="none" w:sz="0" w:space="0" w:color="auto"/>
        <w:right w:val="none" w:sz="0" w:space="0" w:color="auto"/>
      </w:divBdr>
    </w:div>
    <w:div w:id="879509991">
      <w:bodyDiv w:val="1"/>
      <w:marLeft w:val="0"/>
      <w:marRight w:val="0"/>
      <w:marTop w:val="0"/>
      <w:marBottom w:val="0"/>
      <w:divBdr>
        <w:top w:val="none" w:sz="0" w:space="0" w:color="auto"/>
        <w:left w:val="none" w:sz="0" w:space="0" w:color="auto"/>
        <w:bottom w:val="none" w:sz="0" w:space="0" w:color="auto"/>
        <w:right w:val="none" w:sz="0" w:space="0" w:color="auto"/>
      </w:divBdr>
    </w:div>
    <w:div w:id="897592168">
      <w:bodyDiv w:val="1"/>
      <w:marLeft w:val="0"/>
      <w:marRight w:val="0"/>
      <w:marTop w:val="0"/>
      <w:marBottom w:val="0"/>
      <w:divBdr>
        <w:top w:val="none" w:sz="0" w:space="0" w:color="auto"/>
        <w:left w:val="none" w:sz="0" w:space="0" w:color="auto"/>
        <w:bottom w:val="none" w:sz="0" w:space="0" w:color="auto"/>
        <w:right w:val="none" w:sz="0" w:space="0" w:color="auto"/>
      </w:divBdr>
    </w:div>
    <w:div w:id="1087849660">
      <w:bodyDiv w:val="1"/>
      <w:marLeft w:val="0"/>
      <w:marRight w:val="0"/>
      <w:marTop w:val="0"/>
      <w:marBottom w:val="0"/>
      <w:divBdr>
        <w:top w:val="none" w:sz="0" w:space="0" w:color="auto"/>
        <w:left w:val="none" w:sz="0" w:space="0" w:color="auto"/>
        <w:bottom w:val="none" w:sz="0" w:space="0" w:color="auto"/>
        <w:right w:val="none" w:sz="0" w:space="0" w:color="auto"/>
      </w:divBdr>
    </w:div>
    <w:div w:id="1150319927">
      <w:bodyDiv w:val="1"/>
      <w:marLeft w:val="0"/>
      <w:marRight w:val="0"/>
      <w:marTop w:val="0"/>
      <w:marBottom w:val="0"/>
      <w:divBdr>
        <w:top w:val="none" w:sz="0" w:space="0" w:color="auto"/>
        <w:left w:val="none" w:sz="0" w:space="0" w:color="auto"/>
        <w:bottom w:val="none" w:sz="0" w:space="0" w:color="auto"/>
        <w:right w:val="none" w:sz="0" w:space="0" w:color="auto"/>
      </w:divBdr>
    </w:div>
    <w:div w:id="1265841740">
      <w:bodyDiv w:val="1"/>
      <w:marLeft w:val="0"/>
      <w:marRight w:val="0"/>
      <w:marTop w:val="0"/>
      <w:marBottom w:val="0"/>
      <w:divBdr>
        <w:top w:val="none" w:sz="0" w:space="0" w:color="auto"/>
        <w:left w:val="none" w:sz="0" w:space="0" w:color="auto"/>
        <w:bottom w:val="none" w:sz="0" w:space="0" w:color="auto"/>
        <w:right w:val="none" w:sz="0" w:space="0" w:color="auto"/>
      </w:divBdr>
    </w:div>
    <w:div w:id="1462772577">
      <w:bodyDiv w:val="1"/>
      <w:marLeft w:val="0"/>
      <w:marRight w:val="0"/>
      <w:marTop w:val="0"/>
      <w:marBottom w:val="0"/>
      <w:divBdr>
        <w:top w:val="none" w:sz="0" w:space="0" w:color="auto"/>
        <w:left w:val="none" w:sz="0" w:space="0" w:color="auto"/>
        <w:bottom w:val="none" w:sz="0" w:space="0" w:color="auto"/>
        <w:right w:val="none" w:sz="0" w:space="0" w:color="auto"/>
      </w:divBdr>
    </w:div>
    <w:div w:id="1500778002">
      <w:bodyDiv w:val="1"/>
      <w:marLeft w:val="0"/>
      <w:marRight w:val="0"/>
      <w:marTop w:val="0"/>
      <w:marBottom w:val="0"/>
      <w:divBdr>
        <w:top w:val="none" w:sz="0" w:space="0" w:color="auto"/>
        <w:left w:val="none" w:sz="0" w:space="0" w:color="auto"/>
        <w:bottom w:val="none" w:sz="0" w:space="0" w:color="auto"/>
        <w:right w:val="none" w:sz="0" w:space="0" w:color="auto"/>
      </w:divBdr>
    </w:div>
    <w:div w:id="2015840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8c76b3224d14b3db0c2de02b4de7bb7" PartId="77b3d0933c38404e94db77d43919b90c">
    <Part Type="skirsnis" Title="RADVILIŠKIO RAJONO SAVIVALDYBĖS TARYBA" DocPartId="dbfe056612d043cb94838c1d55e24b09" PartId="8c691f9d92b842a992d4dd4b54848cd0">
      <Part Type="lentele" Title="SPRENDIMAS" DocPartId="a81bbf1283b044e49b07310e309e8423" PartId="63cb4a1ca96942438f4e859ea4846b71"/>
      <Part Type="pastraipa" DocPartId="6a928e38776b48a593dedd392810ddef" PartId="be04b003b02e46cebc2fdffd68437ffe"/>
      <Part Type="pastraipa" DocPartId="c747a185b8d34e2da31bb0ba48425cc7" PartId="23fd490e64a84e928d6f154b7db16bbd"/>
      <Part Type="pastraipa" DocPartId="9b62062dc63d48a09a6c0d9c9024e048" PartId="a4139c9d14be490e900e6154fc097074"/>
      <Part Type="punktas" Nr="1" Abbr="1 p." DocPartId="545d2ede34b5403e9de2a17eee6947b4" PartId="06411e1901af43b491042315ddc5b62b">
        <Part Type="papunktis" Nr="1.1" Abbr="1.1 pp." DocPartId="315561b63381466e8a10241cbd2a657c" PartId="8ba8507c91bc49fb8594a9ac865c1cf2"/>
        <Part Type="papunktis" Nr="1.2" Abbr="1.2 pp." DocPartId="2c85b17c01834eb5b44c53319f56a3ad" PartId="6cadd24105df4535a54a5067cb7cdbb8"/>
      </Part>
      <Part Type="punktas" Nr="2" Abbr="2 p." DocPartId="f2d4aa0b66f74f518e3fc185ce2f73ab" PartId="a83aa3988cb94ac39d0df7a1be88c7f9">
        <Part Type="papunktis" Nr="2.1" Abbr="2.1 pp." DocPartId="d0bbb10d77cb4284aa4b8bbfb72b13eb" PartId="aa241669c43a4fdca364bbf26ba9b699"/>
        <Part Type="papunktis" Nr="2.2" Abbr="2.2 pp." DocPartId="c9096c6ffaa24d46839581c65514fbd0" PartId="a559f54a6f384d97b2b2248995cd09d3"/>
        <Part Type="papunktis" Nr="2.3" Abbr="2.3 pp." DocPartId="dcfac8e4cd804b8191767eaad8851822" PartId="e055ef10df93438eb5fee28a5a78bd9a">
          <Part Type="lentele" Title="KELIŲ PRIEŽIŪROS IR PLĖTROS PROGRAMOS FINANSAVIMO LĖŠOS ESMINIAM TURTO PAGERINIMUI: RADVILIŠKIO RAJONO SAVIVALDYBĖS VIETINĖS REIKŠMĖS KELIAMS TIESTI, REKONSTRUOTI IR KAPITALIŠKAI REMONTUOTI 2025 METAIS" DocPartId="5e57390e48774ec3bb40e3acaaeb7fe3" PartId="35ece92336014649b7876b6441e6d0fd"/>
          <Part Type="lentele" Title="_________________________" DocPartId="44b42f03189541c4b051af1036911def" PartId="a02cf08a8b454c5b8b4dfce4d07aafaf"/>
          <Part Type="lentele" Title="KELIŲ PRIEŽIŪROS IR PLĖTROS PROGRAMOS FINANSAVIMO LĖŠOS RADVILIŠKIO RAJONO SAVIVALDYBĖS ADMINISTRACIJOS SENIŪNIJOMS EINAMIESIEMS TIKSLAMS VIETINĖS REIKŠMĖS KELIŲ PRIEŽIŪRAI IR PAPRASTAJAM REMONTUI ATLIKTI, SAUGAUS EISMO PRIEMONĖMS IR DARNAUS JUDUMO PRIEMONĖMS FINANSUOTI 2025 METAIS" DocPartId="b50417674e2e463d81ddfa1a372fe27f" PartId="612ff030458648f09a6beacdc8a81d4c"/>
        </Part>
      </Part>
    </Part>
    <Part Type="pabaiga" DocPartId="a24acd3d02a04564af8fae129ffcc3a9" PartId="7c68cea021134fa18ed7d54cee4a6b9a"/>
  </Part>
  <Part Type="priedas" Abbr="pr." Title="RADVILIŠKIO RAJONO SAVIVALDYBĖS TARYBOS SPRENDIMO PROJEKTO „DĖL KELIŲ PRIEŽIŪROS IR PLĖTROS PROGRAMOS FINANSAVIMO LĖŠŲ PASKIRSTYMO 2025 METAIS“ AIŠKINAMASIS RAŠTAS" DocPartId="67122c218a9d4703b93a3060468588e6" PartId="01880c4f610549fe9d2f81b8957b8ccc">
    <Part Type="punktas" Nr="1" Abbr="pr. 1 p." DocPartId="f62ffb39da894694a3a6604d5b2e204a" PartId="c9d4230a696445d387d7eab5e340d228"/>
    <Part Type="punktas" Nr="2" Abbr="pr. 2 p." DocPartId="dae0e4e195ce431a8106518b8480781a" PartId="853b7ff04dad4a4086c29658435d488e"/>
    <Part Type="punktas" Nr="3" Abbr="pr. 3 p." DocPartId="db11e870193f412ba543d86d41130c2a" PartId="53ed2c4aa06e40f0b8bf4adb1a3612ef"/>
    <Part Type="punktas" Nr="4" Abbr="pr. 4 p." DocPartId="fedf0d0c0fe84dddbbd6efe7ceb6786b" PartId="8bbf532231e9492c8bed118a24199029"/>
    <Part Type="punktas" Nr="5" Abbr="pr. 5 p." DocPartId="a3732161e8294e2f9dd0ed8f46c0535d" PartId="97306a101813404b82b8f06208b4edb9"/>
    <Part Type="punktas" Nr="6" Abbr="pr. 6 p." DocPartId="ec896bde1ea342bdb45647d1f6b7e727" PartId="1b667e411d1b4b7ba8cfaf70939b1cc9"/>
    <Part Type="punktas" Nr="7" Abbr="pr. 7 p." DocPartId="9a49185ac5a945338dc3dc0f440c42ca" PartId="c457bf2b539c4ce78da8403393732d82"/>
    <Part Type="punktas" Nr="8" Abbr="pr. 8 p." DocPartId="c199b8b464b249aea3c7e7b956f76a44" PartId="260f062d1d3e4d15bd55609ea5f0ef70"/>
    <Part Type="punktas" Nr="9" Abbr="pr. 9 p." DocPartId="e0fe9bf5c41a46aaafa8fba1d63cc756" PartId="f12cc6f46c374d4aba737eaaab391bce"/>
    <Part Type="punktas" Nr="10" Abbr="pr. 10 p." DocPartId="4460d1407b5b40ad852828229aba6339" PartId="f95fd67e80264cdebb78cfce8827e336"/>
    <Part Type="punktas" Nr="11" Abbr="pr. 11 p." DocPartId="ee6eac227dde4065aad842ccee47a2f4" PartId="9d5b6b97204846898a816df590bd36ca"/>
    <Part Type="punktas" Nr="12" Abbr="pr. 12 p." DocPartId="3a1f933fc3204f0e95e63882f99d344f" PartId="6cafc182d65b49caaf404c87ac0739b5"/>
  </Part>
</Parts>
</file>

<file path=customXml/itemProps1.xml><?xml version="1.0" encoding="utf-8"?>
<ds:datastoreItem xmlns:ds="http://schemas.openxmlformats.org/officeDocument/2006/customXml" ds:itemID="{F8DF4FE0-1A06-4B34-BDF0-36C13BE081DF}">
  <ds:schemaRefs>
    <ds:schemaRef ds:uri="http://schemas.openxmlformats.org/officeDocument/2006/bibliography"/>
  </ds:schemaRefs>
</ds:datastoreItem>
</file>

<file path=customXml/itemProps2.xml><?xml version="1.0" encoding="utf-8"?>
<ds:datastoreItem xmlns:ds="http://schemas.openxmlformats.org/officeDocument/2006/customXml" ds:itemID="{F8BA2548-8C8B-45EF-A1E4-FD0EC922F7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1589</Words>
  <Characters>10138</Characters>
  <Application>Microsoft Office Word</Application>
  <DocSecurity>4</DocSecurity>
  <Lines>389</Lines>
  <Paragraphs>266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11461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2025-03-26T09:21:00Z</dcterms:created>
  <dc:creator>AMD</dc:creator>
  <lastModifiedBy>adlibuser</lastModifiedBy>
  <lastPrinted>2022-03-21T06:46:00Z</lastPrinted>
  <dcterms:modified xsi:type="dcterms:W3CDTF">2025-03-26T09:21:00Z</dcterms:modified>
  <revision>2</revision>
</coreProperties>
</file>