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532d92f038a40b6b588d58835f352cb"/>
        <w:lock w:val="sdtLocked"/>
        <w:richText/>
      </w:sdtPr>
      <w:sdtContent>
        <w:p>
          <w:pPr>
            <w:tabs>
              <w:tab w:val="center" w:pos="4986"/>
              <w:tab w:val="right" w:pos="9972"/>
            </w:tabs>
            <w:suppressAutoHyphens/>
            <w:rPr>
              <w:sz w:val="20"/>
              <w:lang w:val="en-AU" w:eastAsia="lt-LT"/>
            </w:rPr>
          </w:pPr>
        </w:p>
        <w:p>
          <w:pPr>
            <w:tabs>
              <w:tab w:val="center" w:pos="4986"/>
              <w:tab w:val="right" w:pos="8931"/>
            </w:tabs>
            <w:suppressAutoHyphens/>
            <w:rPr>
              <w:b/>
              <w:bCs/>
              <w:szCs w:val="24"/>
            </w:rPr>
          </w:pPr>
          <w:r>
            <w:rPr>
              <w:b/>
              <w:bCs/>
              <w:szCs w:val="24"/>
            </w:rPr>
            <w:tab/>
            <w:tab/>
            <w:t>Projektas</w:t>
          </w:r>
        </w:p>
        <w:p>
          <w:pPr>
            <w:suppressAutoHyphens/>
            <w:ind w:firstLine="7920"/>
            <w:rPr>
              <w:b/>
              <w:bCs/>
              <w:szCs w:val="24"/>
            </w:rPr>
          </w:pPr>
          <w:r>
            <w:rPr>
              <w:szCs w:val="24"/>
            </w:rPr>
            <w:t>Nr. TSP-</w:t>
          </w:r>
        </w:p>
        <w:p>
          <w:pPr>
            <w:suppressAutoHyphens/>
            <w:jc w:val="center"/>
            <w:rPr>
              <w:b/>
              <w:bCs/>
              <w:szCs w:val="24"/>
              <w:lang w:eastAsia="lt-LT"/>
            </w:rPr>
          </w:pPr>
        </w:p>
        <w:p>
          <w:pPr>
            <w:suppressAutoHyphens/>
            <w:jc w:val="center"/>
            <w:rPr>
              <w:b/>
              <w:bCs/>
              <w:szCs w:val="24"/>
              <w:lang w:eastAsia="lt-LT"/>
            </w:rPr>
          </w:pPr>
          <w:r>
            <w:rPr>
              <w:b/>
              <w:bCs/>
              <w:szCs w:val="24"/>
              <w:lang w:eastAsia="lt-LT"/>
            </w:rPr>
            <w:t>RADVILIŠKIO RAJONO SAVIVALDYBĖS TARYBA</w:t>
          </w:r>
        </w:p>
        <w:p>
          <w:pPr>
            <w:suppressAutoHyphens/>
            <w:jc w:val="both"/>
            <w:rPr>
              <w:szCs w:val="24"/>
            </w:rPr>
          </w:pPr>
        </w:p>
        <w:p>
          <w:pPr>
            <w:jc w:val="center"/>
            <w:rPr>
              <w:b/>
              <w:szCs w:val="24"/>
            </w:rPr>
          </w:pPr>
          <w:r>
            <w:rPr>
              <w:b/>
              <w:szCs w:val="24"/>
            </w:rPr>
            <w:t>SPRENDIMAS</w:t>
          </w:r>
        </w:p>
        <w:p>
          <w:pPr>
            <w:jc w:val="center"/>
            <w:rPr>
              <w:b/>
              <w:szCs w:val="24"/>
            </w:rPr>
          </w:pPr>
          <w:r>
            <w:rPr>
              <w:b/>
              <w:szCs w:val="24"/>
            </w:rPr>
            <w:t>DĖL PRITARIMO ĮGYVENDINTI PROJEKTĄ „DIDELIŲ GABARITŲ ATLIEKŲ SURINKIMO AIKŠTELĖS ĮRENGIMAS RADVILIŠKIO RAJONO SAVIVALDYBĖJE“</w:t>
          </w:r>
        </w:p>
        <w:p>
          <w:pPr>
            <w:jc w:val="center"/>
            <w:rPr>
              <w:b/>
              <w:szCs w:val="24"/>
            </w:rPr>
          </w:pPr>
        </w:p>
        <w:p>
          <w:pPr>
            <w:jc w:val="center"/>
            <w:rPr>
              <w:szCs w:val="24"/>
            </w:rPr>
          </w:pPr>
          <w:r>
            <w:rPr>
              <w:szCs w:val="24"/>
            </w:rPr>
            <w:t xml:space="preserve">2025 m.                            d. Nr. T- </w:t>
          </w:r>
        </w:p>
        <w:p>
          <w:pPr>
            <w:jc w:val="center"/>
            <w:rPr>
              <w:szCs w:val="24"/>
            </w:rPr>
          </w:pPr>
          <w:r>
            <w:rPr>
              <w:szCs w:val="24"/>
            </w:rPr>
            <w:t>Radviliškis</w:t>
          </w:r>
        </w:p>
        <w:p>
          <w:pPr>
            <w:rPr>
              <w:szCs w:val="24"/>
            </w:rPr>
          </w:pPr>
        </w:p>
        <w:sdt>
          <w:sdtPr>
            <w:alias w:val="preambule"/>
            <w:tag w:val="part_9aba4971823c4851a5e4abe9a8781296"/>
            <w:lock w:val="sdtLocked"/>
            <w:richText/>
          </w:sdtPr>
          <w:sdtContent>
            <w:p>
              <w:pPr>
                <w:ind w:firstLine="709"/>
                <w:jc w:val="both"/>
                <w:rPr>
                  <w:szCs w:val="24"/>
                  <w:lang w:eastAsia="lt-LT"/>
                </w:rPr>
              </w:pPr>
              <w:r>
                <w:rPr>
                  <w:szCs w:val="24"/>
                  <w:lang w:eastAsia="lt-LT"/>
                </w:rPr>
                <w:t xml:space="preserve">Vadovaudamasi Lietuvos Respublikos vietos savivaldos įstatymo 6 straipsnio 31 punktu, 15 straipsnio 4 dalimi, Projektų administravimo ir finansavimo taisyklėmis, patvirtintomis Lietuvos Respublikos finansų ministro 2022 m. birželio 22 d. įsakymu Nr. 1K-237 „Dėl 2021–2027 metų Europos Sąjungos fondų investicijų programos ir Ekonomikos gaivinimo ir atsparumo didinimo plano „Naujos kartos Lietuva“ įgyvendinimo“, vykdydama Regioninės pažangos priemonės Nr. 02-001-06-10-01(RE) „Skatinti rūšiuojamąjį atliekų surinkimą“ finansavimo gairių, patvirtintų Lietuvos Respublikos aplinkos ministro 2023 m. rugsėjo 22 d. įsakymu Nr. D1-323 „Dėl regioninės pažangos priemonės Nr. 02-001-06-10-01(RE) „Skatinti rūšiuojamąjį atliekų surinkimą“ finansavimo gairių patvirtinimo“, 2.2, 2.9, 2.12 ir 5.6 papunkčiais, Radviliškio rajono savivaldybės taryba </w:t>
              </w:r>
              <w:r>
                <w:rPr>
                  <w:spacing w:val="50"/>
                  <w:szCs w:val="24"/>
                  <w:lang w:eastAsia="lt-LT"/>
                </w:rPr>
                <w:t>nusprendži</w:t>
              </w:r>
              <w:r>
                <w:rPr>
                  <w:szCs w:val="24"/>
                  <w:lang w:eastAsia="lt-LT"/>
                </w:rPr>
                <w:t>a:</w:t>
              </w:r>
            </w:p>
          </w:sdtContent>
        </w:sdt>
        <w:sdt>
          <w:sdtPr>
            <w:alias w:val="1 p."/>
            <w:tag w:val="part_847b38ab2aa44ebe97bd1ae909fcb119"/>
            <w:lock w:val="sdtLocked"/>
            <w:richText/>
          </w:sdtPr>
          <w:sdtContent>
            <w:p>
              <w:pPr>
                <w:ind w:firstLine="709"/>
                <w:jc w:val="both"/>
                <w:rPr>
                  <w:szCs w:val="24"/>
                  <w:lang w:eastAsia="lt-LT"/>
                </w:rPr>
              </w:pPr>
              <w:sdt>
                <w:sdtPr>
                  <w:alias w:val="Numeris"/>
                  <w:tag w:val="nr_847b38ab2aa44ebe97bd1ae909fcb119"/>
                  <w:lock w:val="sdtLocked"/>
                  <w:richText/>
                </w:sdtPr>
                <w:sdtContent>
                  <w:r>
                    <w:rPr>
                      <w:szCs w:val="24"/>
                      <w:lang w:eastAsia="lt-LT"/>
                    </w:rPr>
                    <w:t>1</w:t>
                  </w:r>
                </w:sdtContent>
              </w:sdt>
              <w:r>
                <w:rPr>
                  <w:szCs w:val="24"/>
                  <w:lang w:eastAsia="lt-LT"/>
                </w:rPr>
                <w:t>. Pritarti:</w:t>
              </w:r>
            </w:p>
            <w:sdt>
              <w:sdtPr>
                <w:alias w:val="1.1 pp."/>
                <w:tag w:val="part_e470014354794398b344615245bb23d7"/>
                <w:lock w:val="sdtLocked"/>
                <w:richText/>
              </w:sdtPr>
              <w:sdtContent>
                <w:p>
                  <w:pPr>
                    <w:ind w:firstLine="709"/>
                    <w:jc w:val="both"/>
                    <w:rPr>
                      <w:szCs w:val="24"/>
                      <w:lang w:eastAsia="lt-LT"/>
                    </w:rPr>
                  </w:pPr>
                  <w:sdt>
                    <w:sdtPr>
                      <w:alias w:val="Numeris"/>
                      <w:tag w:val="nr_e470014354794398b344615245bb23d7"/>
                      <w:lock w:val="sdtLocked"/>
                      <w:richText/>
                    </w:sdtPr>
                    <w:sdtContent>
                      <w:r>
                        <w:rPr>
                          <w:szCs w:val="24"/>
                        </w:rPr>
                        <w:t>1.1</w:t>
                      </w:r>
                    </w:sdtContent>
                  </w:sdt>
                  <w:r>
                    <w:rPr>
                      <w:szCs w:val="24"/>
                    </w:rPr>
                    <w:t>. Projekto „</w:t>
                  </w:r>
                  <w:r>
                    <w:rPr>
                      <w:bCs/>
                      <w:szCs w:val="24"/>
                    </w:rPr>
                    <w:t>Didelių gabaritų atliekų surinkimo aikštelės įrengimas Radviliškio rajono savivaldybėje</w:t>
                  </w:r>
                  <w:r>
                    <w:rPr>
                      <w:szCs w:val="24"/>
                    </w:rPr>
                    <w:t>“</w:t>
                  </w:r>
                  <w:r>
                    <w:rPr>
                      <w:szCs w:val="24"/>
                      <w:lang w:eastAsia="lt-LT"/>
                    </w:rPr>
                    <w:t xml:space="preserve"> (toliau – Projektas) įgyvendinimui;</w:t>
                  </w:r>
                </w:p>
              </w:sdtContent>
            </w:sdt>
            <w:sdt>
              <w:sdtPr>
                <w:alias w:val="1.2 pp."/>
                <w:tag w:val="part_c8dbe3cbf8af49528ad4972e4b4cec22"/>
                <w:lock w:val="sdtLocked"/>
                <w:richText/>
              </w:sdtPr>
              <w:sdtContent>
                <w:p>
                  <w:pPr>
                    <w:ind w:firstLine="709"/>
                    <w:jc w:val="both"/>
                    <w:rPr>
                      <w:szCs w:val="24"/>
                      <w:lang w:eastAsia="lt-LT"/>
                    </w:rPr>
                  </w:pPr>
                  <w:sdt>
                    <w:sdtPr>
                      <w:alias w:val="Numeris"/>
                      <w:tag w:val="nr_c8dbe3cbf8af49528ad4972e4b4cec22"/>
                      <w:lock w:val="sdtLocked"/>
                      <w:richText/>
                    </w:sdtPr>
                    <w:sdtContent>
                      <w:r>
                        <w:rPr>
                          <w:szCs w:val="24"/>
                          <w:lang w:eastAsia="lt-LT"/>
                        </w:rPr>
                        <w:t>1.2</w:t>
                      </w:r>
                    </w:sdtContent>
                  </w:sdt>
                  <w:r>
                    <w:rPr>
                      <w:szCs w:val="24"/>
                      <w:lang w:eastAsia="lt-LT"/>
                    </w:rPr>
                    <w:t>. Projekto įgyvendinimo plano Europos Sąjungos fondų lėšoms gauti teikimui;</w:t>
                  </w:r>
                </w:p>
              </w:sdtContent>
            </w:sdt>
            <w:sdt>
              <w:sdtPr>
                <w:alias w:val="1.3 pp."/>
                <w:tag w:val="part_3d281aa802b54797ad22c5646aaf00f1"/>
                <w:lock w:val="sdtLocked"/>
                <w:richText/>
              </w:sdtPr>
              <w:sdtContent>
                <w:p>
                  <w:pPr>
                    <w:ind w:firstLine="709"/>
                    <w:jc w:val="both"/>
                    <w:rPr>
                      <w:szCs w:val="24"/>
                      <w:lang w:eastAsia="lt-LT"/>
                    </w:rPr>
                  </w:pPr>
                  <w:sdt>
                    <w:sdtPr>
                      <w:alias w:val="Numeris"/>
                      <w:tag w:val="nr_3d281aa802b54797ad22c5646aaf00f1"/>
                      <w:lock w:val="sdtLocked"/>
                      <w:richText/>
                    </w:sdtPr>
                    <w:sdtContent>
                      <w:r>
                        <w:rPr>
                          <w:szCs w:val="24"/>
                          <w:lang w:eastAsia="lt-LT"/>
                        </w:rPr>
                        <w:t>1.3</w:t>
                      </w:r>
                    </w:sdtContent>
                  </w:sdt>
                  <w:r>
                    <w:rPr>
                      <w:szCs w:val="24"/>
                      <w:lang w:eastAsia="lt-LT"/>
                    </w:rPr>
                    <w:t>. Jungtinės veiklos (partnerystės) sutarčiai (pridedama);</w:t>
                  </w:r>
                </w:p>
              </w:sdtContent>
            </w:sdt>
            <w:sdt>
              <w:sdtPr>
                <w:alias w:val="1.4 pp."/>
                <w:tag w:val="part_ca899ed66be8499ea725fc608ac7a915"/>
                <w:lock w:val="sdtLocked"/>
                <w:richText/>
              </w:sdtPr>
              <w:sdtContent>
                <w:p>
                  <w:pPr>
                    <w:ind w:firstLine="709"/>
                    <w:jc w:val="both"/>
                    <w:rPr>
                      <w:szCs w:val="24"/>
                      <w:lang w:eastAsia="lt-LT"/>
                    </w:rPr>
                  </w:pPr>
                  <w:sdt>
                    <w:sdtPr>
                      <w:alias w:val="Numeris"/>
                      <w:tag w:val="nr_ca899ed66be8499ea725fc608ac7a915"/>
                      <w:lock w:val="sdtLocked"/>
                      <w:richText/>
                    </w:sdtPr>
                    <w:sdtContent>
                      <w:r>
                        <w:rPr>
                          <w:szCs w:val="24"/>
                          <w:lang w:eastAsia="lt-LT"/>
                        </w:rPr>
                        <w:t>1.4</w:t>
                      </w:r>
                    </w:sdtContent>
                  </w:sdt>
                  <w:r>
                    <w:rPr>
                      <w:szCs w:val="24"/>
                      <w:lang w:eastAsia="lt-LT"/>
                    </w:rPr>
                    <w:t>. Kad VšĮ Šiaulių regiono atliekų tvarkymo centras įgyvendintų Projektą;</w:t>
                  </w:r>
                </w:p>
              </w:sdtContent>
            </w:sdt>
            <w:sdt>
              <w:sdtPr>
                <w:alias w:val="1.5 pp."/>
                <w:tag w:val="part_b324da646568411385d5918cc9f0fce7"/>
                <w:lock w:val="sdtLocked"/>
                <w:richText/>
              </w:sdtPr>
              <w:sdtContent>
                <w:p>
                  <w:pPr>
                    <w:ind w:firstLine="709"/>
                    <w:jc w:val="both"/>
                    <w:rPr>
                      <w:szCs w:val="24"/>
                      <w:lang w:eastAsia="lt-LT"/>
                    </w:rPr>
                  </w:pPr>
                  <w:sdt>
                    <w:sdtPr>
                      <w:alias w:val="Numeris"/>
                      <w:tag w:val="nr_b324da646568411385d5918cc9f0fce7"/>
                      <w:lock w:val="sdtLocked"/>
                      <w:richText/>
                    </w:sdtPr>
                    <w:sdtContent>
                      <w:r>
                        <w:rPr>
                          <w:szCs w:val="24"/>
                          <w:lang w:eastAsia="lt-LT"/>
                        </w:rPr>
                        <w:t>1.5</w:t>
                      </w:r>
                    </w:sdtContent>
                  </w:sdt>
                  <w:r>
                    <w:rPr>
                      <w:szCs w:val="24"/>
                      <w:lang w:eastAsia="lt-LT"/>
                    </w:rPr>
                    <w:t xml:space="preserve">. Kad </w:t>
                  </w:r>
                  <w:r>
                    <w:rPr>
                      <w:szCs w:val="24"/>
                    </w:rPr>
                    <w:t>nuosavybės teisę į Projekto įgyvendinimo metu sukurtą turtą įgytų VšĮ Šiaulių regiono atliekų tvarkymo centras</w:t>
                  </w:r>
                  <w:r>
                    <w:rPr>
                      <w:szCs w:val="24"/>
                      <w:lang w:eastAsia="lt-LT"/>
                    </w:rPr>
                    <w:t>.</w:t>
                  </w:r>
                </w:p>
              </w:sdtContent>
            </w:sdt>
          </w:sdtContent>
        </w:sdt>
        <w:sdt>
          <w:sdtPr>
            <w:alias w:val="2 p."/>
            <w:tag w:val="part_7c1ebc38f2c74054b0f3f0e3b20507d8"/>
            <w:lock w:val="sdtLocked"/>
            <w:richText/>
          </w:sdtPr>
          <w:sdtContent>
            <w:p>
              <w:pPr>
                <w:ind w:firstLine="709"/>
                <w:jc w:val="both"/>
                <w:rPr>
                  <w:szCs w:val="24"/>
                  <w:lang w:eastAsia="lt-LT"/>
                </w:rPr>
              </w:pPr>
              <w:sdt>
                <w:sdtPr>
                  <w:alias w:val="Numeris"/>
                  <w:tag w:val="nr_7c1ebc38f2c74054b0f3f0e3b20507d8"/>
                  <w:lock w:val="sdtLocked"/>
                  <w:richText/>
                </w:sdtPr>
                <w:sdtContent>
                  <w:r>
                    <w:rPr>
                      <w:szCs w:val="24"/>
                      <w:lang w:eastAsia="lt-LT"/>
                    </w:rPr>
                    <w:t>2</w:t>
                  </w:r>
                </w:sdtContent>
              </w:sdt>
              <w:r>
                <w:rPr>
                  <w:szCs w:val="24"/>
                  <w:lang w:eastAsia="lt-LT"/>
                </w:rPr>
                <w:t xml:space="preserve">. Skirti Projektui įgyvendinti ne mažiau kaip 15 procentų </w:t>
              </w:r>
              <w:r>
                <w:rPr>
                  <w:szCs w:val="24"/>
                </w:rPr>
                <w:t>(dotacijomis) tinkamų finansuoti Projekto įgyvendinimo išlaidų</w:t>
              </w:r>
              <w:r>
                <w:rPr>
                  <w:szCs w:val="24"/>
                  <w:lang w:eastAsia="lt-LT"/>
                </w:rPr>
                <w:t xml:space="preserve">. Projekto biudžeto lėšų, nenumatytų ar netinkamų finansuoti, tačiau Projektui įgyvendinti būtinų išlaidų </w:t>
              </w:r>
              <w:r>
                <w:rPr>
                  <w:spacing w:val="2"/>
                  <w:szCs w:val="24"/>
                </w:rPr>
                <w:t xml:space="preserve">papildomas finansavimas gali būti skiriamas tik pasirašius papildomą susitarimą prie sutarties, nurodytos šio sprendimo 4 punkte.  </w:t>
              </w:r>
            </w:p>
          </w:sdtContent>
        </w:sdt>
        <w:sdt>
          <w:sdtPr>
            <w:alias w:val="3 p."/>
            <w:tag w:val="part_dacd4ef2b6084727a94062c514cf3609"/>
            <w:lock w:val="sdtLocked"/>
            <w:richText/>
          </w:sdtPr>
          <w:sdtContent>
            <w:p>
              <w:pPr>
                <w:ind w:firstLine="709"/>
                <w:jc w:val="both"/>
                <w:rPr>
                  <w:szCs w:val="24"/>
                  <w:lang w:eastAsia="lt-LT"/>
                </w:rPr>
              </w:pPr>
              <w:sdt>
                <w:sdtPr>
                  <w:alias w:val="Numeris"/>
                  <w:tag w:val="nr_dacd4ef2b6084727a94062c514cf3609"/>
                  <w:lock w:val="sdtLocked"/>
                  <w:richText/>
                </w:sdtPr>
                <w:sdtContent>
                  <w:r>
                    <w:rPr>
                      <w:szCs w:val="24"/>
                      <w:lang w:eastAsia="lt-LT"/>
                    </w:rPr>
                    <w:t>3</w:t>
                  </w:r>
                </w:sdtContent>
              </w:sdt>
              <w:r>
                <w:rPr>
                  <w:szCs w:val="24"/>
                  <w:lang w:eastAsia="lt-LT"/>
                </w:rPr>
                <w:t>. Pavesti Radviliškio rajono savivaldybės administracijos direktorei su viešąja įstaiga Šiaulių regiono atliekų tvarkymo centru pasirašyti Jungtinės veiklos (partnerystės) sutartį ir Projekte dalyvauti partnerio teisėmis.</w:t>
              </w:r>
            </w:p>
          </w:sdtContent>
        </w:sdt>
        <w:sdt>
          <w:sdtPr>
            <w:alias w:val="4 p."/>
            <w:tag w:val="part_0a811e7e8dd341c0bd258f62ac5fdfc7"/>
            <w:lock w:val="sdtLocked"/>
            <w:richText/>
          </w:sdtPr>
          <w:sdtContent>
            <w:p>
              <w:pPr>
                <w:ind w:firstLine="709"/>
                <w:jc w:val="both"/>
                <w:rPr>
                  <w:szCs w:val="24"/>
                  <w:lang w:eastAsia="lt-LT"/>
                </w:rPr>
              </w:pPr>
              <w:sdt>
                <w:sdtPr>
                  <w:alias w:val="Numeris"/>
                  <w:tag w:val="nr_0a811e7e8dd341c0bd258f62ac5fdfc7"/>
                  <w:lock w:val="sdtLocked"/>
                  <w:richText/>
                </w:sdtPr>
                <w:sdtContent>
                  <w:r>
                    <w:rPr>
                      <w:szCs w:val="24"/>
                      <w:lang w:eastAsia="lt-LT"/>
                    </w:rPr>
                    <w:t>4</w:t>
                  </w:r>
                </w:sdtContent>
              </w:sdt>
              <w:r>
                <w:rPr>
                  <w:szCs w:val="24"/>
                  <w:lang w:eastAsia="lt-LT"/>
                </w:rPr>
                <w:t>. Pasibaigus projekto finansavimui, penkerius metus užtikrinti investicijų tęstinumą laikantis Projektų administravimo ir finansavimo taisyklių 246 punkte nustatytų reikalavimų.</w:t>
              </w:r>
            </w:p>
          </w:sdtContent>
        </w:sdt>
        <w:sdt>
          <w:sdtPr>
            <w:alias w:val="5 p."/>
            <w:tag w:val="part_51be2435795d48dcbc16104cce45783f"/>
            <w:lock w:val="sdtLocked"/>
            <w:richText/>
          </w:sdtPr>
          <w:sdtContent>
            <w:p>
              <w:pPr>
                <w:ind w:firstLine="709"/>
                <w:jc w:val="both"/>
                <w:rPr>
                  <w:szCs w:val="24"/>
                  <w:lang w:eastAsia="lt-LT"/>
                </w:rPr>
              </w:pPr>
              <w:sdt>
                <w:sdtPr>
                  <w:alias w:val="Numeris"/>
                  <w:tag w:val="nr_51be2435795d48dcbc16104cce45783f"/>
                  <w:lock w:val="sdtLocked"/>
                  <w:richText/>
                </w:sdtPr>
                <w:sdtContent>
                  <w:r>
                    <w:rPr>
                      <w:szCs w:val="24"/>
                      <w:lang w:eastAsia="lt-LT"/>
                    </w:rPr>
                    <w:t>5</w:t>
                  </w:r>
                </w:sdtContent>
              </w:sdt>
              <w:r>
                <w:rPr>
                  <w:szCs w:val="24"/>
                  <w:lang w:eastAsia="lt-LT"/>
                </w:rPr>
                <w:t>. Nurodyti, kad šis sprendimas ne vėliau kaip per vieną mėnesį nuo jo priėmimo dienos gali būti skundžiamas paduodant skundą Lietuvos administracinių ginčų komisijos Šiaulių apygardos</w:t>
                <w:br/>
                <w:t>skyriui adresu: Dvaro g. 81, Šiauliai, arba Regionų administraciniam teismui bet kuriuose šio teismo</w:t>
                <w:br/>
                <w:t>rūmuose.</w:t>
              </w:r>
            </w:p>
            <w:p>
              <w:pPr>
                <w:ind w:firstLine="1296"/>
                <w:jc w:val="both"/>
                <w:rPr>
                  <w:szCs w:val="24"/>
                  <w:lang w:eastAsia="lt-LT"/>
                </w:rPr>
              </w:pPr>
            </w:p>
            <w:p>
              <w:pPr>
                <w:ind w:firstLine="1296"/>
                <w:jc w:val="both"/>
                <w:rPr>
                  <w:szCs w:val="24"/>
                  <w:lang w:eastAsia="lt-LT"/>
                </w:rPr>
              </w:pPr>
            </w:p>
            <w:p>
              <w:pPr>
                <w:ind w:firstLine="1296"/>
                <w:jc w:val="both"/>
                <w:rPr>
                  <w:szCs w:val="24"/>
                  <w:lang w:eastAsia="lt-LT"/>
                </w:rPr>
              </w:pPr>
            </w:p>
            <w:p>
              <w:pPr>
                <w:suppressAutoHyphens/>
                <w:jc w:val="both"/>
                <w:rPr>
                  <w:szCs w:val="24"/>
                  <w:lang w:eastAsia="lt-LT"/>
                </w:rPr>
              </w:pPr>
              <w:r>
                <w:rPr>
                  <w:szCs w:val="24"/>
                  <w:lang w:eastAsia="lt-LT"/>
                </w:rPr>
                <w:t xml:space="preserve">Savivaldybės meras                                                                                        </w:t>
                <w:tab/>
              </w:r>
            </w:p>
            <w:p>
              <w:pPr>
                <w:suppressAutoHyphens/>
                <w:jc w:val="both"/>
                <w:rPr>
                  <w:szCs w:val="24"/>
                  <w:lang w:eastAsia="lt-LT"/>
                </w:rPr>
              </w:pPr>
            </w:p>
            <w:p>
              <w:pPr>
                <w:suppressAutoHyphens/>
                <w:jc w:val="both"/>
                <w:rPr>
                  <w:szCs w:val="24"/>
                  <w:lang w:eastAsia="lt-LT"/>
                </w:rPr>
              </w:pPr>
            </w:p>
          </w:sdtContent>
        </w:sdt>
        <w:sdt>
          <w:sdtPr>
            <w:alias w:val="skirsnis"/>
            <w:tag w:val="part_d39664825c0a4fb891598a5821d2846e"/>
            <w:lock w:val="sdtLocked"/>
            <w:richText/>
          </w:sdtPr>
          <w:sdtContent>
            <w:sdt>
              <w:sdtPr>
                <w:alias w:val="Pavadinimas"/>
                <w:tag w:val="title_d39664825c0a4fb891598a5821d2846e"/>
                <w:lock w:val="sdtLocked"/>
                <w:richText/>
              </w:sdtPr>
              <w:sdtContent>
                <w:p>
                  <w:pPr>
                    <w:keepNext/>
                    <w:suppressAutoHyphens/>
                    <w:jc w:val="center"/>
                    <w:outlineLvl w:val="8"/>
                    <w:rPr>
                      <w:b/>
                    </w:rPr>
                  </w:pPr>
                  <w:r>
                    <w:rPr>
                      <w:b/>
                    </w:rPr>
                    <w:t>RADVILIŠKIO RAJONO SAVIVALDYBĖS TARYBOS SPRENDIMO PROJEKTO</w:t>
                  </w:r>
                </w:p>
                <w:p>
                  <w:pPr>
                    <w:keepNext/>
                    <w:suppressAutoHyphens/>
                    <w:jc w:val="center"/>
                    <w:outlineLvl w:val="8"/>
                    <w:rPr>
                      <w:b/>
                    </w:rPr>
                  </w:pPr>
                  <w:r>
                    <w:rPr>
                      <w:b/>
                    </w:rPr>
                    <w:t>„DĖL PRITARIMO ĮGYVENDINTI PROJEKTĄ „DIDELIŲ GABARITŲ ATLIEKŲ SURINKIMO AIKŠTELĖS ĮRENGIMAS RADVILIŠKIO RAJONO SAVIVALDYBĖJE““</w:t>
                  </w:r>
                </w:p>
                <w:p>
                  <w:pPr>
                    <w:keepNext/>
                    <w:suppressAutoHyphens/>
                    <w:jc w:val="center"/>
                    <w:outlineLvl w:val="8"/>
                    <w:rPr>
                      <w:b/>
                    </w:rPr>
                  </w:pPr>
                  <w:r>
                    <w:rPr>
                      <w:b/>
                    </w:rPr>
                    <w:t>AIŠKINAMASIS RAŠTAS</w:t>
                  </w:r>
                </w:p>
              </w:sdtContent>
            </w:sdt>
            <w:p>
              <w:pPr>
                <w:jc w:val="center"/>
                <w:rPr>
                  <w:b/>
                </w:rPr>
              </w:pPr>
            </w:p>
            <w:p>
              <w:pPr>
                <w:jc w:val="center"/>
              </w:pPr>
              <w:r>
                <w:t>2025-05-13</w:t>
              </w:r>
            </w:p>
            <w:p>
              <w:pPr>
                <w:jc w:val="center"/>
              </w:pPr>
              <w:r>
                <w:t>Radviliškis</w:t>
              </w:r>
            </w:p>
            <w:p/>
            <w:sdt>
              <w:sdtPr>
                <w:alias w:val="1 p."/>
                <w:tag w:val="part_90da1718cb8c4f39be90ae8f6baf52bb"/>
                <w:lock w:val="sdtLocked"/>
                <w:richText/>
              </w:sdtPr>
              <w:sdtContent>
                <w:p>
                  <w:pPr>
                    <w:suppressAutoHyphens/>
                    <w:ind w:firstLine="720"/>
                    <w:jc w:val="both"/>
                    <w:rPr>
                      <w:b/>
                      <w:bCs/>
                      <w:szCs w:val="24"/>
                    </w:rPr>
                  </w:pPr>
                  <w:sdt>
                    <w:sdtPr>
                      <w:alias w:val="Numeris"/>
                      <w:tag w:val="nr_90da1718cb8c4f39be90ae8f6baf52bb"/>
                      <w:lock w:val="sdtLocked"/>
                      <w:richText/>
                    </w:sdtPr>
                    <w:sdtContent>
                      <w:r>
                        <w:rPr>
                          <w:b/>
                          <w:bCs/>
                          <w:szCs w:val="24"/>
                        </w:rPr>
                        <w:t>1</w:t>
                      </w:r>
                    </w:sdtContent>
                  </w:sdt>
                  <w:r>
                    <w:rPr>
                      <w:b/>
                      <w:bCs/>
                      <w:szCs w:val="24"/>
                    </w:rPr>
                    <w:t>. Projekto rengimą paskatinusios priežastys, parengto sprendimo projekto tikslai ir uždaviniai.</w:t>
                  </w:r>
                </w:p>
                <w:p>
                  <w:pPr>
                    <w:suppressAutoHyphens/>
                    <w:ind w:firstLine="709"/>
                    <w:jc w:val="both"/>
                    <w:rPr>
                      <w:b/>
                      <w:bCs/>
                      <w:szCs w:val="24"/>
                    </w:rPr>
                  </w:pPr>
                  <w:r>
                    <w:rPr>
                      <w:szCs w:val="24"/>
                    </w:rPr>
                    <w:t>Radviliškio rajono savivaldybės tarybos (toliau – Taryba) sprendimo projekto tikslas – pritarti projekto „Didelių gabaritų atliekų surinkimo aikštelės įrengimas Radviliškio rajono savivaldybėje“ (toliau – Projektas), kurio kvietimas „Rūšiuojamojo atliekų surinkimo skatinimas Radviliškio rajone” paskelbtas (kvietimo numeris 26-209-P) ES investicijų administravimo informacinėje sistemoje, įgyvendinimui.</w:t>
                  </w:r>
                </w:p>
              </w:sdtContent>
            </w:sdt>
            <w:sdt>
              <w:sdtPr>
                <w:alias w:val="2 p."/>
                <w:tag w:val="part_8770f2de41204c11a416abee9fa58cf2"/>
                <w:lock w:val="sdtLocked"/>
                <w:richText/>
              </w:sdtPr>
              <w:sdtContent>
                <w:p>
                  <w:pPr>
                    <w:suppressAutoHyphens/>
                    <w:ind w:firstLine="709"/>
                    <w:jc w:val="both"/>
                    <w:rPr>
                      <w:b/>
                      <w:bCs/>
                      <w:szCs w:val="24"/>
                    </w:rPr>
                  </w:pPr>
                  <w:sdt>
                    <w:sdtPr>
                      <w:alias w:val="Numeris"/>
                      <w:tag w:val="nr_8770f2de41204c11a416abee9fa58cf2"/>
                      <w:lock w:val="sdtLocked"/>
                      <w:richText/>
                    </w:sdtPr>
                    <w:sdtContent>
                      <w:r>
                        <w:rPr>
                          <w:b/>
                          <w:bCs/>
                          <w:szCs w:val="24"/>
                        </w:rPr>
                        <w:t>2</w:t>
                      </w:r>
                    </w:sdtContent>
                  </w:sdt>
                  <w:r>
                    <w:rPr>
                      <w:b/>
                      <w:bCs/>
                      <w:szCs w:val="24"/>
                    </w:rPr>
                    <w:t>. Projekto iniciatoriai (institucija, asmenys ar piliečių atstovai) ir rengėjai.</w:t>
                  </w:r>
                </w:p>
                <w:p>
                  <w:pPr>
                    <w:suppressAutoHyphens/>
                    <w:ind w:firstLine="709"/>
                    <w:jc w:val="both"/>
                    <w:rPr>
                      <w:b/>
                      <w:bCs/>
                      <w:szCs w:val="24"/>
                    </w:rPr>
                  </w:pPr>
                  <w:r>
                    <w:rPr>
                      <w:szCs w:val="24"/>
                    </w:rPr>
                    <w:t>VšĮ Šiaulių regiono atliekų tvarkymo centras, Radviliškio rajono savivaldybės administracijos Statybos ir viešosios tvarkos skyrius.</w:t>
                  </w:r>
                </w:p>
              </w:sdtContent>
            </w:sdt>
            <w:sdt>
              <w:sdtPr>
                <w:alias w:val="3 p."/>
                <w:tag w:val="part_2a46fc66f3bf43e5bca29d515814b03c"/>
                <w:lock w:val="sdtLocked"/>
                <w:richText/>
              </w:sdtPr>
              <w:sdtContent>
                <w:p>
                  <w:pPr>
                    <w:ind w:firstLine="709"/>
                    <w:jc w:val="both"/>
                    <w:rPr>
                      <w:b/>
                      <w:bCs/>
                      <w:szCs w:val="24"/>
                    </w:rPr>
                  </w:pPr>
                  <w:sdt>
                    <w:sdtPr>
                      <w:alias w:val="Numeris"/>
                      <w:tag w:val="nr_2a46fc66f3bf43e5bca29d515814b03c"/>
                      <w:lock w:val="sdtLocked"/>
                      <w:richText/>
                    </w:sdtPr>
                    <w:sdtContent>
                      <w:r>
                        <w:rPr>
                          <w:b/>
                          <w:bCs/>
                          <w:szCs w:val="24"/>
                        </w:rPr>
                        <w:t>3</w:t>
                      </w:r>
                    </w:sdtContent>
                  </w:sdt>
                  <w:r>
                    <w:rPr>
                      <w:b/>
                      <w:bCs/>
                      <w:szCs w:val="24"/>
                    </w:rPr>
                    <w:t>. Kaip šiuo metu yra reguliuojami projekte aptarti teisiniai santykiai.</w:t>
                  </w:r>
                </w:p>
                <w:p>
                  <w:pPr>
                    <w:ind w:firstLine="720"/>
                    <w:jc w:val="both"/>
                    <w:rPr>
                      <w:szCs w:val="24"/>
                      <w:shd w:val="clear" w:color="auto" w:fill="FFFFFF"/>
                    </w:rPr>
                  </w:pPr>
                  <w:r>
                    <w:rPr>
                      <w:szCs w:val="24"/>
                      <w:shd w:val="clear" w:color="auto" w:fill="FFFFFF"/>
                    </w:rPr>
                    <w:t>Tarybos sprendimo projekto parengimą reglamentuoja Lietuvos Respublikos vietos savivaldos įstatymo 6 straipsnio 31 punktas bei Regioninės pažangos priemonės Nr. 02-001-06-10-01(RE) „Skatinti rūšiuojamąjį atliekų surinkimą“ finansavimo gairės, patvirtintos Lietuvos Respublikos aplinkos ministro 2023 m. rugsėjo 22 d. įsakymu Nr. D1-323 „Dėl regioninės pažangos priemonės Nr. 02-001-06-10-01(RE) „Skatinti rūšiuojamąjį atliekų surinkimą“ finansavimo gairių patvirtinimo“, kurios taikomos ir projektui „</w:t>
                  </w:r>
                  <w:r>
                    <w:rPr>
                      <w:szCs w:val="24"/>
                    </w:rPr>
                    <w:t>Didelių gabaritų atliekų surinkimo aikštelės įrengimas Radviliškio rajono savi</w:t>
                  </w:r>
                  <w:r>
                    <w:rPr>
                      <w:szCs w:val="24"/>
                      <w:shd w:val="clear" w:color="auto" w:fill="FFFFFF"/>
                    </w:rPr>
                    <w:t>valdybėje“ (projekto identifikacinis numeris Nr. 02-001-06-10-01-(RE)-26-(LT026-02-02-07)-01-04).</w:t>
                  </w:r>
                </w:p>
                <w:p>
                  <w:pPr>
                    <w:ind w:firstLine="567"/>
                    <w:jc w:val="both"/>
                    <w:rPr>
                      <w:color w:val="000000"/>
                      <w:szCs w:val="24"/>
                      <w:shd w:val="clear" w:color="auto" w:fill="FFFFFF"/>
                    </w:rPr>
                  </w:pPr>
                  <w:r>
                    <w:rPr>
                      <w:color w:val="000000"/>
                      <w:szCs w:val="24"/>
                      <w:shd w:val="clear" w:color="auto" w:fill="FFFFFF"/>
                    </w:rPr>
                    <w:t xml:space="preserve">Radviliškio rajono savivaldybės administracija (toliau – Savivaldybė) yra tiesiogiai susijusi su planuojamo Projekto įgyvendinimu ir atliekų tvarkymo sistemos organizavimu Savivaldybės teritorijoje. Didelių gabaritų atliekų surinkimo aikštelę (toliau – Aikštelė) planuojama įrengti Radviliškio rajono savivaldybės teritorijoje (Aikštelės įrengimo vieta – Radviliškio rajono savivaldybė, Šiaulėnai, Dvaro g. 25B), todėl Savivaldybė yra tiesiogiai suinteresuota Projekto rezultatais ir jų ilgalaikiu išlaikymu. Savivaldybė yra atsakinga už komunalinių atliekų surinkimo organizavimą savo teritorijoje, todėl natūraliai įsitrauks į veiklas, susijusias su atliekų srautų valdymu ir rūšiuojamojo surinkimo sistemos plėtra. Radviliškio rajono savivaldybės administracijos įtraukimas kaip partnerio yra pagrįstas ne tik teritoriniu ir funkciniu ryšiu, bet ir būtinybe užtikrinti Projekto efektyvumą, tinkamą viešųjų paslaugų prieinamumą gyventojams bei Projekto rezultatų tęstinumą po finansavimo laikotarpio. </w:t>
                  </w:r>
                </w:p>
              </w:sdtContent>
            </w:sdt>
            <w:sdt>
              <w:sdtPr>
                <w:alias w:val="4 p."/>
                <w:tag w:val="part_ac2c81012c97439e809444e44434dc9b"/>
                <w:lock w:val="sdtLocked"/>
                <w:richText/>
              </w:sdtPr>
              <w:sdtContent>
                <w:p>
                  <w:pPr>
                    <w:ind w:firstLine="709"/>
                    <w:jc w:val="both"/>
                    <w:rPr>
                      <w:color w:val="000000"/>
                      <w:szCs w:val="24"/>
                      <w:shd w:val="clear" w:color="auto" w:fill="FFFFFF"/>
                    </w:rPr>
                  </w:pPr>
                  <w:sdt>
                    <w:sdtPr>
                      <w:alias w:val="Numeris"/>
                      <w:tag w:val="nr_ac2c81012c97439e809444e44434dc9b"/>
                      <w:lock w:val="sdtLocked"/>
                      <w:richText/>
                    </w:sdtPr>
                    <w:sdtContent>
                      <w:r>
                        <w:rPr>
                          <w:b/>
                          <w:bCs/>
                          <w:color w:val="000000"/>
                          <w:szCs w:val="24"/>
                          <w:shd w:val="clear" w:color="auto" w:fill="FFFFFF"/>
                        </w:rPr>
                        <w:t>4</w:t>
                      </w:r>
                    </w:sdtContent>
                  </w:sdt>
                  <w:r>
                    <w:rPr>
                      <w:b/>
                      <w:bCs/>
                      <w:color w:val="000000"/>
                      <w:szCs w:val="24"/>
                      <w:shd w:val="clear" w:color="auto" w:fill="FFFFFF"/>
                    </w:rPr>
                    <w:t>. Kokios siūlomos naujos teisinio reguliavimo nuostatos, kokių teigiamų rezultatų laukiama.</w:t>
                  </w:r>
                  <w:r>
                    <w:rPr>
                      <w:color w:val="000000"/>
                      <w:szCs w:val="24"/>
                      <w:shd w:val="clear" w:color="auto" w:fill="FFFFFF"/>
                    </w:rPr>
                    <w:t xml:space="preserve"> </w:t>
                  </w:r>
                </w:p>
                <w:p>
                  <w:pPr>
                    <w:ind w:firstLine="709"/>
                    <w:jc w:val="both"/>
                    <w:rPr>
                      <w:color w:val="000000"/>
                      <w:szCs w:val="24"/>
                      <w:shd w:val="clear" w:color="auto" w:fill="FFFFFF"/>
                    </w:rPr>
                  </w:pPr>
                  <w:r>
                    <w:rPr>
                      <w:color w:val="000000"/>
                      <w:szCs w:val="24"/>
                      <w:shd w:val="clear" w:color="auto" w:fill="FFFFFF"/>
                    </w:rPr>
                    <w:t xml:space="preserve">Projektu sprendžiama problema – per retas didelių gabaritų atliekų surinkimo aikštelių tinklas, ribojantis gyventojų galimybes atskirai rūšiuoti didelių gabaritų, statybines, elektros ir elektroninės įrangos ir kt. atliekas. Valstybinio atliekų prevencijos ir tvarkymo 2021–2027 metų plano (toliau – Planas) 261 p. nustato, kad komunalinių atliekų tvarkymas turi būti organizuojamas taip, kad skatintų atliekas tinkamai paruošti pakartotinai naudoti ir perdirbti, t. y. savivaldybės visiems komunalinių atliekų turėtojams turi užtikrinti atliekų surinkimo ir rūšiavimo galimybę, aprūpinti priemonėmis. Remiantis Planu siekdamos, kad būtų sukurta efektyviai veikianti komunalinių atliekų tvarkymo sistema, regionų plėtros tarybos ir savivaldybės turi iki 2027 m. išplėsti didelių gabaritų atliekų surinkimo aikštelių tinklą – kaimo vietovėse įrengti po vieną didelių gabaritų atliekų surinkimo aikštelę ne didesniu kaip 15 km atstumu nuo gyvenamųjų teritorijų, o miestuose – vieną 10 km atstumu tarp tokių aikštelių arba aprūpinančią bent 40 000 gyventojų (Plano 2 priedo 2.2.1 papunktyje nurodyta priemonė). Šiuo metu Radviliškio r. sav. teritorijoje veikia 3 didelių gabaritų atliekų surinkimo aikštelės, kuriose iš gyventojų surenkamos išrūšiuotos didelių gabaritų, statybos, elektros ir elektroninės įrangos atliekos, naudotos padangos, tekstilės atliekos ir kt.: 1) Žironų DGASA – Žironų k. 15, Aukštelkų sen., Radviliškio r.; 2) Baisogalos DGASA – Užupio g. 5, Baisogalos k., Radviliškio r.; 3) Šeduvos DGASA – Šiaulėnų g. 41A, Šeduvos m., Radviliškio r. Šios aikštelės aptarnauja šiaurinės, rytinės ir vakarinės Radviliškio r. sav. teritorijos gyvenviečių (pvz. Šeduvos, Radviliškio, Baisiogalos ir kt.) gyventojus. Esamas DGASA infrastruktūros tinklas savivaldybėje yra per retas ir riboja vakarinėje savivaldybės dalyje esančių gyvenviečių gyventojų prieinamumą prie atliekų tvarkymo infrastruktūros.  Tokios savivaldybės mastu reikšmingos gyvenvietės (gyventojų skaičius ≥ 500 gyventojų) kaip Šiaulėnai nuo esamos atliekų surinkimo infrastruktūros (DGASA) nutolę 29–43 km atstumu. Dėl didelių atstumų iki artimiausių DGASA gyventojams sudaromos nepatogios sąlygos tinkamai rūšiuoti atliekas, ypač didžiųjų, statybinių ar elektronikos atliekų srautą. Trūkstant prieinamos infrastruktūros, šios atliekos dažnai išmetamos kartu su mišriomis komunalinėmis atliekomis, o tai ne tik mažina rūšiavimo efektyvumą, bet ir didina atliekų tvarkymo sistemos apkrovą bei finansines sąnaudas. Projektu siekiama įrengti naują didelių gabaritų atliekų surinkimo aikštelę (DGASA) Radviliškio r. sav. adresu – Šiaulėnai, Dvaro g. 25B ir tokiu būdu: a) pagerinti gyventojų prieinamumo sąlygas prie atliekų tvarkymo infrastruktūros, ypač vakarinėje Radviliškio r. sav. dalyje; b) sudaryti patogesnes sąlygas rūšiuoti atliekas, taip skatinant atsakingą atliekų tvarkymą ir mažinant MKA kiekį; c) mažinti nelegalaus atliekų šalinimo riziką; d) optimizuoti savivaldybės atliekų tvarkymo sistemą, mažinant sąnaudas mechaniniam, biologiniam apdorojimui ar šalinimui sąvartyne.</w:t>
                  </w:r>
                  <w:r>
                    <w:rPr>
                      <w:color w:val="000000"/>
                      <w:szCs w:val="24"/>
                      <w:highlight w:val="cyan"/>
                      <w:shd w:val="clear" w:color="auto" w:fill="FFFFFF"/>
                    </w:rPr>
                    <w:t xml:space="preserve"> </w:t>
                  </w:r>
                </w:p>
                <w:p>
                  <w:pPr>
                    <w:ind w:firstLine="709"/>
                    <w:jc w:val="both"/>
                    <w:rPr>
                      <w:color w:val="000000"/>
                      <w:szCs w:val="24"/>
                      <w:shd w:val="clear" w:color="auto" w:fill="FFFFFF"/>
                    </w:rPr>
                  </w:pPr>
                  <w:r>
                    <w:rPr>
                      <w:color w:val="000000"/>
                      <w:szCs w:val="24"/>
                      <w:shd w:val="clear" w:color="auto" w:fill="FFFFFF"/>
                    </w:rPr>
                    <w:t>Projekto tikslas – įrengiant naują didelių gabaritų atliekų surinkimo aikštelę Šiaulėnuose pagerinti Radviliškio rajono savivaldybės gyventojų prieigą prie atliekų tvarkymo paslaugų, skatinti rūšiuojamąjį atliekų surinkimą ir mažinti mišrių komunalinių atliekų susidarymą.</w:t>
                  </w:r>
                </w:p>
                <w:p>
                  <w:pPr>
                    <w:ind w:firstLine="709"/>
                    <w:jc w:val="both"/>
                    <w:rPr>
                      <w:color w:val="000000"/>
                      <w:szCs w:val="24"/>
                      <w:shd w:val="clear" w:color="auto" w:fill="FFFFFF"/>
                    </w:rPr>
                  </w:pPr>
                  <w:r>
                    <w:rPr>
                      <w:color w:val="000000"/>
                      <w:szCs w:val="24"/>
                      <w:shd w:val="clear" w:color="auto" w:fill="FFFFFF"/>
                    </w:rPr>
                    <w:t xml:space="preserve">Tikslinė grupė – Radviliškio rajono savivaldybės gyventojai, ypač gyvenantys tokiose gyvenvietėse kaip Šiaulėnai ir aplinkiniai kaimai. </w:t>
                  </w:r>
                </w:p>
                <w:p>
                  <w:pPr>
                    <w:ind w:firstLine="709"/>
                    <w:jc w:val="both"/>
                    <w:rPr>
                      <w:color w:val="000000"/>
                      <w:szCs w:val="24"/>
                      <w:shd w:val="clear" w:color="auto" w:fill="FFFFFF"/>
                    </w:rPr>
                  </w:pPr>
                  <w:r>
                    <w:rPr>
                      <w:color w:val="000000"/>
                      <w:szCs w:val="24"/>
                      <w:shd w:val="clear" w:color="auto" w:fill="FFFFFF"/>
                    </w:rPr>
                    <w:t>Projekto veikla – atliekų tvarkymo paslaugų gerinimas Radviliškio rajone. Planuojamos įgyvendinti poveiklės: projektavimo ir projekto vykdymo priežiūros paslaugos; projekto ekspertizė; techninė priežiūra; poveikio aplinkai vertinimas; rangos darbai; konteinerinių pastatų įrengimas; didelių gabaritų atliekų surinkimo konteineriai; viešinimo programos įgyvendinimo paslaugos.</w:t>
                  </w:r>
                </w:p>
              </w:sdtContent>
            </w:sdt>
          </w:sdtContent>
        </w:sdt>
        <w:sdt>
          <w:sdtPr>
            <w:alias w:val="skirsnis"/>
            <w:tag w:val="part_0bcbe63ec2eb4939bfbc6fb2dde33efa"/>
            <w:lock w:val="sdtLocked"/>
            <w:richText/>
          </w:sdtPr>
          <w:sdtContent>
            <w:p>
              <w:pPr>
                <w:ind w:firstLine="709"/>
                <w:jc w:val="both"/>
                <w:rPr>
                  <w:color w:val="000000"/>
                  <w:szCs w:val="24"/>
                  <w:shd w:val="clear" w:color="auto" w:fill="FFFFFF"/>
                </w:rPr>
              </w:pPr>
              <w:sdt>
                <w:sdtPr>
                  <w:alias w:val="Pavadinimas"/>
                  <w:tag w:val="title_0bcbe63ec2eb4939bfbc6fb2dde33efa"/>
                  <w:lock w:val="sdtLocked"/>
                  <w:richText/>
                </w:sdtPr>
                <w:sdtContent>
                  <w:r>
                    <w:rPr>
                      <w:b/>
                      <w:bCs/>
                      <w:color w:val="000000"/>
                      <w:szCs w:val="24"/>
                      <w:shd w:val="clear" w:color="auto" w:fill="FFFFFF"/>
                    </w:rPr>
                    <w:t>Siektini stebėsenos rodikliai:</w:t>
                  </w:r>
                </w:sdtContent>
              </w:sdt>
            </w:p>
            <w:sdt>
              <w:sdtPr>
                <w:alias w:val="1 p."/>
                <w:tag w:val="part_291ca5317721484ba1d44374218007f0"/>
                <w:lock w:val="sdtLocked"/>
                <w:richText/>
              </w:sdtPr>
              <w:sdtContent>
                <w:p>
                  <w:pPr>
                    <w:suppressAutoHyphens/>
                    <w:ind w:left="1080" w:hanging="360"/>
                    <w:jc w:val="both"/>
                    <w:rPr>
                      <w:color w:val="000000"/>
                      <w:szCs w:val="24"/>
                      <w:shd w:val="clear" w:color="auto" w:fill="FFFFFF"/>
                      <w:lang w:eastAsia="lt-LT"/>
                    </w:rPr>
                  </w:pPr>
                  <w:sdt>
                    <w:sdtPr>
                      <w:alias w:val="Numeris"/>
                      <w:tag w:val="nr_291ca5317721484ba1d44374218007f0"/>
                      <w:lock w:val="sdtLocked"/>
                      <w:richText/>
                    </w:sdtPr>
                    <w:sdtContent>
                      <w:r>
                        <w:rPr>
                          <w:color w:val="000000"/>
                          <w:szCs w:val="24"/>
                          <w:lang w:eastAsia="lt-LT"/>
                        </w:rPr>
                        <w:t>1</w:t>
                      </w:r>
                    </w:sdtContent>
                  </w:sdt>
                  <w:r>
                    <w:rPr>
                      <w:color w:val="000000"/>
                      <w:szCs w:val="24"/>
                      <w:lang w:eastAsia="lt-LT"/>
                    </w:rPr>
                    <w:t>.</w:t>
                    <w:tab/>
                  </w:r>
                  <w:r>
                    <w:rPr>
                      <w:color w:val="000000"/>
                      <w:szCs w:val="24"/>
                      <w:shd w:val="clear" w:color="auto" w:fill="FFFFFF"/>
                      <w:lang w:eastAsia="lt-LT"/>
                    </w:rPr>
                    <w:t xml:space="preserve">Produktų stebėsenos rodikliai: 1) </w:t>
                  </w:r>
                  <w:r>
                    <w:rPr>
                      <w:b/>
                      <w:bCs/>
                      <w:color w:val="000000"/>
                      <w:szCs w:val="24"/>
                      <w:shd w:val="clear" w:color="auto" w:fill="FFFFFF"/>
                      <w:lang w:eastAsia="lt-LT"/>
                    </w:rPr>
                    <w:t>investicijos į rūšiuojamojo atliekų surinkimo įrenginius</w:t>
                  </w:r>
                  <w:r>
                    <w:rPr>
                      <w:color w:val="000000"/>
                      <w:szCs w:val="24"/>
                      <w:shd w:val="clear" w:color="auto" w:fill="FFFFFF"/>
                      <w:lang w:eastAsia="lt-LT"/>
                    </w:rPr>
                    <w:t xml:space="preserve"> (kodas P.B.2.0107) – </w:t>
                  </w:r>
                  <w:r>
                    <w:rPr>
                      <w:b/>
                      <w:bCs/>
                      <w:color w:val="000000"/>
                      <w:szCs w:val="24"/>
                      <w:shd w:val="clear" w:color="auto" w:fill="FFFFFF"/>
                      <w:lang w:eastAsia="lt-LT"/>
                    </w:rPr>
                    <w:t>992 117,15 Eur</w:t>
                  </w:r>
                  <w:r>
                    <w:rPr>
                      <w:color w:val="000000"/>
                      <w:szCs w:val="24"/>
                      <w:shd w:val="clear" w:color="auto" w:fill="FFFFFF"/>
                      <w:lang w:eastAsia="lt-LT"/>
                    </w:rPr>
                    <w:t xml:space="preserve">; 2) </w:t>
                  </w:r>
                  <w:r>
                    <w:rPr>
                      <w:b/>
                      <w:bCs/>
                      <w:color w:val="000000"/>
                      <w:szCs w:val="24"/>
                      <w:u w:val="single"/>
                      <w:shd w:val="clear" w:color="auto" w:fill="FFFFFF"/>
                      <w:lang w:eastAsia="ar-SA"/>
                    </w:rPr>
                    <w:t>įgyvendintos viešinimo kampanijos atliekų prevencijos ir tvarkymo temomis</w:t>
                  </w:r>
                  <w:r>
                    <w:rPr>
                      <w:color w:val="000000"/>
                      <w:szCs w:val="24"/>
                      <w:shd w:val="clear" w:color="auto" w:fill="FFFFFF"/>
                      <w:lang w:eastAsia="lt-LT"/>
                    </w:rPr>
                    <w:t xml:space="preserve"> (kodas P.S.2.1015) – </w:t>
                  </w:r>
                  <w:r>
                    <w:rPr>
                      <w:b/>
                      <w:bCs/>
                      <w:color w:val="000000"/>
                      <w:szCs w:val="24"/>
                      <w:shd w:val="clear" w:color="auto" w:fill="FFFFFF"/>
                      <w:lang w:eastAsia="lt-LT"/>
                    </w:rPr>
                    <w:t>1 vnt.</w:t>
                  </w:r>
                  <w:r>
                    <w:rPr>
                      <w:color w:val="000000"/>
                      <w:szCs w:val="24"/>
                      <w:shd w:val="clear" w:color="auto" w:fill="FFFFFF"/>
                      <w:lang w:eastAsia="lt-LT"/>
                    </w:rPr>
                    <w:t>;</w:t>
                  </w:r>
                </w:p>
              </w:sdtContent>
            </w:sdt>
            <w:sdt>
              <w:sdtPr>
                <w:alias w:val="2 p."/>
                <w:tag w:val="part_40beeca332064626aa62621e53460295"/>
                <w:lock w:val="sdtLocked"/>
                <w:richText/>
              </w:sdtPr>
              <w:sdtContent>
                <w:p>
                  <w:pPr>
                    <w:suppressAutoHyphens/>
                    <w:ind w:left="1080" w:hanging="360"/>
                    <w:jc w:val="both"/>
                    <w:rPr>
                      <w:color w:val="000000"/>
                      <w:szCs w:val="24"/>
                      <w:shd w:val="clear" w:color="auto" w:fill="FFFFFF"/>
                      <w:lang w:eastAsia="lt-LT"/>
                    </w:rPr>
                  </w:pPr>
                  <w:sdt>
                    <w:sdtPr>
                      <w:alias w:val="Numeris"/>
                      <w:tag w:val="nr_40beeca332064626aa62621e53460295"/>
                      <w:lock w:val="sdtLocked"/>
                      <w:richText/>
                    </w:sdtPr>
                    <w:sdtContent>
                      <w:r>
                        <w:rPr>
                          <w:color w:val="000000"/>
                          <w:szCs w:val="24"/>
                          <w:lang w:eastAsia="lt-LT"/>
                        </w:rPr>
                        <w:t>2</w:t>
                      </w:r>
                    </w:sdtContent>
                  </w:sdt>
                  <w:r>
                    <w:rPr>
                      <w:color w:val="000000"/>
                      <w:szCs w:val="24"/>
                      <w:lang w:eastAsia="lt-LT"/>
                    </w:rPr>
                    <w:t>.</w:t>
                    <w:tab/>
                  </w:r>
                  <w:r>
                    <w:rPr>
                      <w:color w:val="000000"/>
                      <w:szCs w:val="24"/>
                      <w:shd w:val="clear" w:color="auto" w:fill="FFFFFF"/>
                      <w:lang w:eastAsia="lt-LT"/>
                    </w:rPr>
                    <w:t xml:space="preserve">Rezultato stebėsenos rodiklis (kodas R.B.2.2103): </w:t>
                  </w:r>
                  <w:r>
                    <w:rPr>
                      <w:b/>
                      <w:bCs/>
                      <w:color w:val="000000"/>
                      <w:szCs w:val="24"/>
                      <w:u w:val="single"/>
                      <w:shd w:val="clear" w:color="auto" w:fill="FFFFFF"/>
                      <w:lang w:eastAsia="ar-SA"/>
                    </w:rPr>
                    <w:t>surinktos atskirai išrūšiuotos atliekos</w:t>
                  </w:r>
                  <w:r>
                    <w:rPr>
                      <w:color w:val="000000"/>
                      <w:szCs w:val="24"/>
                      <w:shd w:val="clear" w:color="auto" w:fill="FFFFFF"/>
                      <w:lang w:eastAsia="lt-LT"/>
                    </w:rPr>
                    <w:t xml:space="preserve"> – </w:t>
                  </w:r>
                  <w:r>
                    <w:rPr>
                      <w:b/>
                      <w:bCs/>
                      <w:color w:val="000000"/>
                      <w:szCs w:val="24"/>
                      <w:shd w:val="clear" w:color="auto" w:fill="FFFFFF"/>
                      <w:lang w:eastAsia="lt-LT"/>
                    </w:rPr>
                    <w:t>581,44 tonos / metus</w:t>
                  </w:r>
                  <w:r>
                    <w:rPr>
                      <w:color w:val="000000"/>
                      <w:szCs w:val="24"/>
                      <w:shd w:val="clear" w:color="auto" w:fill="FFFFFF"/>
                      <w:lang w:eastAsia="lt-LT"/>
                    </w:rPr>
                    <w:t xml:space="preserve">. </w:t>
                  </w:r>
                </w:p>
                <w:p>
                  <w:pPr>
                    <w:suppressAutoHyphens/>
                    <w:ind w:firstLine="709"/>
                    <w:jc w:val="both"/>
                    <w:rPr>
                      <w:szCs w:val="24"/>
                      <w:lang w:eastAsia="ar-SA"/>
                    </w:rPr>
                  </w:pPr>
                  <w:r>
                    <w:rPr>
                      <w:szCs w:val="24"/>
                      <w:lang w:eastAsia="ar-SA"/>
                    </w:rPr>
                    <w:t xml:space="preserve">Projekto veiklos turi būti įgyvendintos iki 2028 m. lapkričio 30 d. </w:t>
                  </w:r>
                </w:p>
                <w:p>
                  <w:pPr>
                    <w:suppressAutoHyphens/>
                    <w:ind w:firstLine="709"/>
                    <w:jc w:val="both"/>
                    <w:rPr>
                      <w:szCs w:val="24"/>
                      <w:shd w:val="clear" w:color="auto" w:fill="FFFFFF"/>
                      <w:lang w:val="en-AU" w:eastAsia="ar-SA"/>
                    </w:rPr>
                  </w:pPr>
                  <w:r>
                    <w:rPr>
                      <w:szCs w:val="24"/>
                      <w:shd w:val="clear" w:color="auto" w:fill="FFFFFF"/>
                      <w:lang w:val="en-AU" w:eastAsia="ar-SA"/>
                    </w:rPr>
                    <w:t xml:space="preserve">Sprendimo projekte numatyta, kad Projektui įgyvendinti skiriama ne mažiau kaip 15 procentų visų tinkamų finansuoti Projekto išlaidų ir nenumatytų ar netinkamų finansuoti, tačiau Projektui įgyvendinti būtinų išlaidų. </w:t>
                  </w:r>
                </w:p>
                <w:p>
                  <w:pPr>
                    <w:suppressAutoHyphens/>
                    <w:ind w:firstLine="709"/>
                    <w:jc w:val="both"/>
                    <w:rPr>
                      <w:szCs w:val="24"/>
                      <w:lang w:val="en-AU" w:eastAsia="ar-SA"/>
                    </w:rPr>
                  </w:pPr>
                  <w:r>
                    <w:rPr>
                      <w:spacing w:val="2"/>
                      <w:szCs w:val="24"/>
                      <w:shd w:val="clear" w:color="auto" w:fill="FFFFFF"/>
                      <w:lang w:val="en-AU" w:eastAsia="ar-SA"/>
                    </w:rPr>
                    <w:t>Sprendimo projektu siūloma p</w:t>
                  </w:r>
                  <w:r>
                    <w:rPr>
                      <w:szCs w:val="24"/>
                      <w:lang w:val="en-AU" w:eastAsia="ar-SA"/>
                    </w:rPr>
                    <w:t xml:space="preserve">ritarti, kad VšĮ Šiaulių regiono atliekų tvarkymo centras įgyvendintų Projektą, taip pat siūloma pritarti  Jungtinės  veiklos (partnerystės) sutarties projektui. </w:t>
                  </w:r>
                </w:p>
                <w:p>
                  <w:pPr>
                    <w:suppressAutoHyphens/>
                    <w:ind w:firstLine="709"/>
                    <w:jc w:val="both"/>
                    <w:rPr>
                      <w:szCs w:val="24"/>
                      <w:lang w:val="en-AU" w:eastAsia="ar-SA"/>
                    </w:rPr>
                  </w:pPr>
                  <w:r>
                    <w:rPr>
                      <w:szCs w:val="24"/>
                      <w:lang w:val="en-AU" w:eastAsia="ar-SA"/>
                    </w:rPr>
                    <w:t xml:space="preserve">Sprendimo projektu siūloma pavesti administracijos direktorei pasirašyti minėtą sutartį ir Projekte dalyvauti partnerio teisėmis. Siūloma pritarti, kad nuosavybės teisę į Projekto įgyvendinimo metu sukurtą turtą įgytų VšĮ Šiaulių regiono atliekų tvarkymo centras.  </w:t>
                  </w:r>
                </w:p>
              </w:sdtContent>
            </w:sdt>
            <w:sdt>
              <w:sdtPr>
                <w:alias w:val="5 p."/>
                <w:tag w:val="part_a2de44c58ce04421b1d531118cd39822"/>
                <w:lock w:val="sdtLocked"/>
                <w:richText/>
              </w:sdtPr>
              <w:sdtContent>
                <w:p>
                  <w:pPr>
                    <w:suppressAutoHyphens/>
                    <w:ind w:firstLine="709"/>
                    <w:jc w:val="both"/>
                    <w:rPr>
                      <w:b/>
                      <w:bCs/>
                      <w:color w:val="000000"/>
                      <w:szCs w:val="24"/>
                      <w:shd w:val="clear" w:color="auto" w:fill="FFFFFF"/>
                      <w:lang w:eastAsia="lt-LT"/>
                    </w:rPr>
                  </w:pPr>
                  <w:sdt>
                    <w:sdtPr>
                      <w:alias w:val="Numeris"/>
                      <w:tag w:val="nr_a2de44c58ce04421b1d531118cd39822"/>
                      <w:lock w:val="sdtLocked"/>
                      <w:richText/>
                    </w:sdtPr>
                    <w:sdtContent>
                      <w:r>
                        <w:rPr>
                          <w:rFonts w:eastAsia="Arial Unicode MS"/>
                          <w:b/>
                          <w:bCs/>
                          <w:kern w:val="2"/>
                          <w:szCs w:val="24"/>
                          <w:lang w:val="en-AU"/>
                        </w:rPr>
                        <w:t>5</w:t>
                      </w:r>
                    </w:sdtContent>
                  </w:sdt>
                  <w:r>
                    <w:rPr>
                      <w:rFonts w:eastAsia="Arial Unicode MS"/>
                      <w:b/>
                      <w:bCs/>
                      <w:kern w:val="2"/>
                      <w:szCs w:val="24"/>
                      <w:lang w:val="en-AU"/>
                    </w:rPr>
                    <w:t>.</w:t>
                  </w:r>
                  <w:r>
                    <w:rPr>
                      <w:rFonts w:eastAsia="Arial Unicode MS"/>
                      <w:kern w:val="2"/>
                      <w:szCs w:val="24"/>
                      <w:lang w:val="en-AU"/>
                    </w:rPr>
                    <w:t xml:space="preserve"> </w:t>
                  </w:r>
                  <w:r>
                    <w:rPr>
                      <w:rFonts w:eastAsia="Arial Unicode MS"/>
                      <w:b/>
                      <w:bCs/>
                      <w:kern w:val="2"/>
                      <w:szCs w:val="24"/>
                      <w:lang w:val="en-AU"/>
                    </w:rPr>
                    <w:t xml:space="preserve">Galimos neigiamos priimto sprendimo projekto pasekmės ir kokių priemonių reikėtų imtis, kad tokių pasekmių būtų išvengta. </w:t>
                  </w:r>
                </w:p>
                <w:p>
                  <w:pPr>
                    <w:suppressAutoHyphens/>
                    <w:ind w:left="57" w:firstLine="652"/>
                    <w:jc w:val="both"/>
                    <w:rPr>
                      <w:szCs w:val="24"/>
                      <w:lang w:eastAsia="lt-LT"/>
                    </w:rPr>
                  </w:pPr>
                  <w:r>
                    <w:rPr>
                      <w:rFonts w:eastAsia="Arial Unicode MS"/>
                      <w:bCs/>
                      <w:kern w:val="2"/>
                      <w:szCs w:val="24"/>
                    </w:rPr>
                    <w:t>Priėmus tarybos sprendimą, neigiamų pasekmių nenumatoma.</w:t>
                  </w:r>
                  <w:r>
                    <w:rPr>
                      <w:rFonts w:eastAsia="Arial Unicode MS"/>
                      <w:b/>
                      <w:bCs/>
                      <w:kern w:val="2"/>
                      <w:szCs w:val="24"/>
                    </w:rPr>
                    <w:t xml:space="preserve"> </w:t>
                  </w:r>
                  <w:r>
                    <w:rPr>
                      <w:bCs/>
                      <w:szCs w:val="24"/>
                      <w:lang w:eastAsia="ar-SA"/>
                    </w:rPr>
                    <w:t>Teigiamos pasekmės priėmus Tarybos sprendimą</w:t>
                  </w:r>
                  <w:r>
                    <w:rPr>
                      <w:b/>
                      <w:bCs/>
                      <w:szCs w:val="24"/>
                      <w:lang w:eastAsia="ar-SA"/>
                    </w:rPr>
                    <w:t xml:space="preserve"> – </w:t>
                  </w:r>
                  <w:r>
                    <w:rPr>
                      <w:szCs w:val="24"/>
                      <w:lang w:eastAsia="lt-LT"/>
                    </w:rPr>
                    <w:t xml:space="preserve">tobulinama atliekų tvarkymo sistemos infrastruktūra, gerinama Radviliškio rajono gyventojų prieiga prie atliekų tvarkymo paslaugų, skatinant rūšiuojamąjį atliekų surinkimą, mažinamas mišrių komunalinių atliekų kiekis. </w:t>
                  </w:r>
                </w:p>
              </w:sdtContent>
            </w:sdt>
            <w:sdt>
              <w:sdtPr>
                <w:alias w:val="6 p."/>
                <w:tag w:val="part_f1e36adc26144175a9ad16eb19cf1ebd"/>
                <w:lock w:val="sdtLocked"/>
                <w:richText/>
              </w:sdtPr>
              <w:sdtContent>
                <w:p>
                  <w:pPr>
                    <w:suppressAutoHyphens/>
                    <w:ind w:left="57" w:firstLine="652"/>
                    <w:jc w:val="both"/>
                    <w:rPr>
                      <w:b/>
                      <w:bCs/>
                      <w:szCs w:val="24"/>
                      <w:lang w:eastAsia="lt-LT"/>
                    </w:rPr>
                  </w:pPr>
                  <w:sdt>
                    <w:sdtPr>
                      <w:alias w:val="Numeris"/>
                      <w:tag w:val="nr_f1e36adc26144175a9ad16eb19cf1ebd"/>
                      <w:lock w:val="sdtLocked"/>
                      <w:richText/>
                    </w:sdtPr>
                    <w:sdtContent>
                      <w:r>
                        <w:rPr>
                          <w:b/>
                          <w:bCs/>
                          <w:szCs w:val="24"/>
                          <w:lang w:eastAsia="lt-LT"/>
                        </w:rPr>
                        <w:t>6</w:t>
                      </w:r>
                    </w:sdtContent>
                  </w:sdt>
                  <w:r>
                    <w:rPr>
                      <w:b/>
                      <w:bCs/>
                      <w:szCs w:val="24"/>
                      <w:lang w:eastAsia="lt-LT"/>
                    </w:rPr>
                    <w:t>. Kokius teisės aktus būtina priimti, kokius galiojančius teisės aktus būtina pakeisti ar pripažinti netekusiais galios priėmus sprendimo projektą.</w:t>
                  </w:r>
                </w:p>
                <w:p>
                  <w:pPr>
                    <w:suppressAutoHyphens/>
                    <w:ind w:left="57" w:firstLine="652"/>
                    <w:jc w:val="both"/>
                    <w:rPr>
                      <w:szCs w:val="24"/>
                      <w:lang w:eastAsia="lt-LT"/>
                    </w:rPr>
                  </w:pPr>
                  <w:r>
                    <w:rPr>
                      <w:iCs/>
                      <w:szCs w:val="24"/>
                      <w:lang w:eastAsia="ar-SA"/>
                    </w:rPr>
                    <w:t>Priėmus Tarybos sprendimą, keičiamų ar pripažįstamų negaliojančiais teisės aktų nėra.</w:t>
                  </w:r>
                </w:p>
              </w:sdtContent>
            </w:sdt>
            <w:sdt>
              <w:sdtPr>
                <w:alias w:val="7 p."/>
                <w:tag w:val="part_d4cc8da205224020b29fed4a5d36518c"/>
                <w:lock w:val="sdtLocked"/>
                <w:richText/>
              </w:sdtPr>
              <w:sdtContent>
                <w:p>
                  <w:pPr>
                    <w:widowControl w:val="0"/>
                    <w:spacing w:line="276" w:lineRule="auto"/>
                    <w:ind w:firstLine="709"/>
                    <w:jc w:val="both"/>
                    <w:rPr>
                      <w:rFonts w:eastAsia="Arial Unicode MS"/>
                      <w:b/>
                      <w:bCs/>
                      <w:kern w:val="2"/>
                      <w:szCs w:val="24"/>
                    </w:rPr>
                  </w:pPr>
                  <w:sdt>
                    <w:sdtPr>
                      <w:alias w:val="Numeris"/>
                      <w:tag w:val="nr_d4cc8da205224020b29fed4a5d36518c"/>
                      <w:lock w:val="sdtLocked"/>
                      <w:richText/>
                    </w:sdtPr>
                    <w:sdtContent>
                      <w:r>
                        <w:rPr>
                          <w:rFonts w:eastAsia="Arial Unicode MS"/>
                          <w:b/>
                          <w:bCs/>
                          <w:kern w:val="2"/>
                          <w:szCs w:val="24"/>
                        </w:rPr>
                        <w:t>7</w:t>
                      </w:r>
                    </w:sdtContent>
                  </w:sdt>
                  <w:r>
                    <w:rPr>
                      <w:rFonts w:eastAsia="Arial Unicode MS"/>
                      <w:b/>
                      <w:bCs/>
                      <w:kern w:val="2"/>
                      <w:szCs w:val="24"/>
                    </w:rPr>
                    <w:t xml:space="preserve">. Sprendimo projektui įgyvendinti reikalingos lėšos, finansavimo šaltiniai. </w:t>
                  </w:r>
                </w:p>
                <w:p>
                  <w:pPr>
                    <w:widowControl w:val="0"/>
                    <w:spacing w:line="276" w:lineRule="auto"/>
                    <w:ind w:firstLine="709"/>
                    <w:jc w:val="both"/>
                    <w:rPr>
                      <w:rFonts w:eastAsia="Arial Unicode MS"/>
                      <w:kern w:val="2"/>
                      <w:szCs w:val="24"/>
                    </w:rPr>
                  </w:pPr>
                  <w:r>
                    <w:rPr>
                      <w:rFonts w:eastAsia="Arial Unicode MS"/>
                      <w:kern w:val="2"/>
                      <w:szCs w:val="24"/>
                    </w:rPr>
                    <w:t>Priėmus Tarybos sprendimą, bus reikalingos Savivaldybės biudžeto lėšos 2026–2028 m.</w:t>
                  </w:r>
                  <w:r>
                    <w:t xml:space="preserve"> </w:t>
                  </w:r>
                  <w:r>
                    <w:rPr>
                      <w:rFonts w:eastAsia="Arial Unicode MS"/>
                      <w:kern w:val="2"/>
                      <w:szCs w:val="24"/>
                    </w:rPr>
                    <w:t>Bendra planuojama projekto vertė – 992 117,15 Eur be PVM (prašomas ES finansavimas – 843 299,58 Eur, Partnerio (Radviliškio rajono savivaldybės) lėšos – 148 817,57 Eur.</w:t>
                  </w:r>
                </w:p>
              </w:sdtContent>
            </w:sdt>
            <w:sdt>
              <w:sdtPr>
                <w:alias w:val="8 p."/>
                <w:tag w:val="part_f5f643280d1640a9becc6b8b122437f2"/>
                <w:lock w:val="sdtLocked"/>
                <w:richText/>
              </w:sdtPr>
              <w:sdtContent>
                <w:p>
                  <w:pPr>
                    <w:widowControl w:val="0"/>
                    <w:spacing w:line="276" w:lineRule="auto"/>
                    <w:ind w:firstLine="709"/>
                    <w:jc w:val="both"/>
                    <w:rPr>
                      <w:rFonts w:eastAsia="Arial Unicode MS"/>
                      <w:b/>
                      <w:bCs/>
                      <w:kern w:val="2"/>
                      <w:szCs w:val="24"/>
                    </w:rPr>
                  </w:pPr>
                  <w:sdt>
                    <w:sdtPr>
                      <w:alias w:val="Numeris"/>
                      <w:tag w:val="nr_f5f643280d1640a9becc6b8b122437f2"/>
                      <w:lock w:val="sdtLocked"/>
                      <w:richText/>
                    </w:sdtPr>
                    <w:sdtContent>
                      <w:r>
                        <w:rPr>
                          <w:rFonts w:eastAsia="Arial Unicode MS"/>
                          <w:b/>
                          <w:bCs/>
                          <w:kern w:val="2"/>
                          <w:szCs w:val="24"/>
                        </w:rPr>
                        <w:t>8</w:t>
                      </w:r>
                    </w:sdtContent>
                  </w:sdt>
                  <w:r>
                    <w:rPr>
                      <w:rFonts w:eastAsia="Arial Unicode MS"/>
                      <w:b/>
                      <w:bCs/>
                      <w:kern w:val="2"/>
                      <w:szCs w:val="24"/>
                    </w:rPr>
                    <w:t>. Sprendimo projekto rengimo metu gauti specialistų vertinimai ir išvados.</w:t>
                  </w:r>
                </w:p>
                <w:p>
                  <w:pPr>
                    <w:widowControl w:val="0"/>
                    <w:spacing w:line="276" w:lineRule="auto"/>
                    <w:ind w:firstLine="709"/>
                    <w:jc w:val="both"/>
                    <w:rPr>
                      <w:rFonts w:eastAsia="Arial Unicode MS"/>
                      <w:kern w:val="2"/>
                      <w:szCs w:val="24"/>
                    </w:rPr>
                  </w:pPr>
                  <w:r>
                    <w:rPr>
                      <w:rFonts w:eastAsia="Arial Unicode MS"/>
                      <w:kern w:val="2"/>
                      <w:szCs w:val="24"/>
                    </w:rPr>
                    <w:t>Nėra.</w:t>
                  </w:r>
                </w:p>
              </w:sdtContent>
            </w:sdt>
            <w:sdt>
              <w:sdtPr>
                <w:alias w:val="9 p."/>
                <w:tag w:val="part_59759ab2d60644c7b5700e687c352377"/>
                <w:lock w:val="sdtLocked"/>
                <w:richText/>
              </w:sdtPr>
              <w:sdtContent>
                <w:p>
                  <w:pPr>
                    <w:widowControl w:val="0"/>
                    <w:spacing w:line="276" w:lineRule="auto"/>
                    <w:ind w:firstLine="709"/>
                    <w:jc w:val="both"/>
                    <w:rPr>
                      <w:rFonts w:eastAsia="Arial Unicode MS"/>
                      <w:b/>
                      <w:bCs/>
                      <w:kern w:val="2"/>
                      <w:szCs w:val="24"/>
                    </w:rPr>
                  </w:pPr>
                  <w:sdt>
                    <w:sdtPr>
                      <w:alias w:val="Numeris"/>
                      <w:tag w:val="nr_59759ab2d60644c7b5700e687c352377"/>
                      <w:lock w:val="sdtLocked"/>
                      <w:richText/>
                    </w:sdtPr>
                    <w:sdtContent>
                      <w:r>
                        <w:rPr>
                          <w:rFonts w:eastAsia="Arial Unicode MS"/>
                          <w:b/>
                          <w:bCs/>
                          <w:kern w:val="2"/>
                          <w:szCs w:val="24"/>
                        </w:rPr>
                        <w:t>9</w:t>
                      </w:r>
                    </w:sdtContent>
                  </w:sdt>
                  <w:r>
                    <w:rPr>
                      <w:rFonts w:eastAsia="Arial Unicode MS"/>
                      <w:b/>
                      <w:bCs/>
                      <w:kern w:val="2"/>
                      <w:szCs w:val="24"/>
                    </w:rPr>
                    <w:t>. Numatomo teisinio reguliavimo poveikio vertinimo rezultatai.</w:t>
                  </w:r>
                </w:p>
                <w:p>
                  <w:pPr>
                    <w:widowControl w:val="0"/>
                    <w:spacing w:line="276" w:lineRule="auto"/>
                    <w:ind w:firstLine="709"/>
                    <w:jc w:val="both"/>
                    <w:rPr>
                      <w:rFonts w:eastAsia="Arial Unicode MS"/>
                      <w:kern w:val="2"/>
                      <w:szCs w:val="24"/>
                    </w:rPr>
                  </w:pPr>
                  <w:r>
                    <w:rPr>
                      <w:rFonts w:eastAsia="Arial Unicode MS"/>
                      <w:kern w:val="2"/>
                      <w:szCs w:val="24"/>
                    </w:rPr>
                    <w:t>Vertinimas neatliekamas.</w:t>
                  </w:r>
                </w:p>
              </w:sdtContent>
            </w:sdt>
            <w:sdt>
              <w:sdtPr>
                <w:alias w:val="10 p."/>
                <w:tag w:val="part_680131f23cd440d88c5ec9a30f01160a"/>
                <w:lock w:val="sdtLocked"/>
                <w:richText/>
              </w:sdtPr>
              <w:sdtContent>
                <w:p>
                  <w:pPr>
                    <w:widowControl w:val="0"/>
                    <w:spacing w:line="276" w:lineRule="auto"/>
                    <w:ind w:firstLine="709"/>
                    <w:jc w:val="both"/>
                    <w:rPr>
                      <w:rFonts w:eastAsia="Arial Unicode MS"/>
                      <w:kern w:val="2"/>
                      <w:szCs w:val="24"/>
                    </w:rPr>
                  </w:pPr>
                  <w:sdt>
                    <w:sdtPr>
                      <w:alias w:val="Numeris"/>
                      <w:tag w:val="nr_680131f23cd440d88c5ec9a30f01160a"/>
                      <w:lock w:val="sdtLocked"/>
                      <w:richText/>
                    </w:sdtPr>
                    <w:sdtContent>
                      <w:r>
                        <w:rPr>
                          <w:rFonts w:eastAsia="Arial Unicode MS"/>
                          <w:b/>
                          <w:bCs/>
                          <w:kern w:val="2"/>
                          <w:szCs w:val="24"/>
                        </w:rPr>
                        <w:t>10</w:t>
                      </w:r>
                    </w:sdtContent>
                  </w:sdt>
                  <w:r>
                    <w:rPr>
                      <w:rFonts w:eastAsia="Arial Unicode MS"/>
                      <w:b/>
                      <w:bCs/>
                      <w:kern w:val="2"/>
                      <w:szCs w:val="24"/>
                    </w:rPr>
                    <w:t>. Sprendimo projekto antikorupcinis vertinimas.</w:t>
                  </w:r>
                </w:p>
                <w:p>
                  <w:pPr>
                    <w:widowControl w:val="0"/>
                    <w:spacing w:line="276" w:lineRule="auto"/>
                    <w:ind w:firstLine="709"/>
                    <w:jc w:val="both"/>
                    <w:rPr>
                      <w:rFonts w:eastAsia="Arial Unicode MS"/>
                      <w:kern w:val="2"/>
                      <w:szCs w:val="24"/>
                    </w:rPr>
                  </w:pPr>
                  <w:r>
                    <w:rPr>
                      <w:rFonts w:eastAsia="Arial Unicode MS"/>
                      <w:kern w:val="2"/>
                      <w:szCs w:val="24"/>
                    </w:rPr>
                    <w:t>Tarybos sprendimo projekte nėra korupcijos požymių. Tarybos sprendimo projekto turinys nesudaro išskirtinių sąlygų ar nevienodų sąlygų subjektams, su kuriais susijęs jo įgyvendinimas. Priėmus Tarybos sprendimą, administracinė našta nebus didinama.</w:t>
                  </w:r>
                </w:p>
              </w:sdtContent>
            </w:sdt>
            <w:sdt>
              <w:sdtPr>
                <w:alias w:val="11 p."/>
                <w:tag w:val="part_aa017eed4c7a43b89a48b712810d2560"/>
                <w:lock w:val="sdtLocked"/>
                <w:richText/>
              </w:sdtPr>
              <w:sdtContent>
                <w:p>
                  <w:pPr>
                    <w:widowControl w:val="0"/>
                    <w:spacing w:line="276" w:lineRule="auto"/>
                    <w:ind w:firstLine="555"/>
                    <w:jc w:val="both"/>
                    <w:rPr>
                      <w:rFonts w:eastAsia="Arial Unicode MS"/>
                      <w:kern w:val="2"/>
                      <w:szCs w:val="24"/>
                    </w:rPr>
                  </w:pPr>
                  <w:sdt>
                    <w:sdtPr>
                      <w:alias w:val="Numeris"/>
                      <w:tag w:val="nr_aa017eed4c7a43b89a48b712810d2560"/>
                      <w:lock w:val="sdtLocked"/>
                      <w:richText/>
                    </w:sdtPr>
                    <w:sdtContent>
                      <w:r>
                        <w:rPr>
                          <w:rFonts w:eastAsia="Arial Unicode MS"/>
                          <w:b/>
                          <w:bCs/>
                          <w:kern w:val="2"/>
                          <w:szCs w:val="24"/>
                        </w:rPr>
                        <w:t>11</w:t>
                      </w:r>
                    </w:sdtContent>
                  </w:sdt>
                  <w:r>
                    <w:rPr>
                      <w:rFonts w:eastAsia="Arial Unicode MS"/>
                      <w:b/>
                      <w:bCs/>
                      <w:kern w:val="2"/>
                      <w:szCs w:val="24"/>
                    </w:rPr>
                    <w:t>. Kiti, iniciatoriaus nuomone, reikalingi pagrindimai ir paaiškinimai.</w:t>
                  </w:r>
                </w:p>
                <w:p>
                  <w:pPr>
                    <w:widowControl w:val="0"/>
                    <w:spacing w:line="276" w:lineRule="auto"/>
                    <w:ind w:firstLine="555"/>
                    <w:jc w:val="both"/>
                    <w:rPr>
                      <w:rFonts w:eastAsia="Arial Unicode MS"/>
                      <w:kern w:val="2"/>
                      <w:szCs w:val="24"/>
                    </w:rPr>
                  </w:pPr>
                  <w:r>
                    <w:rPr>
                      <w:iCs/>
                      <w:szCs w:val="24"/>
                    </w:rPr>
                    <w:t>Nėra.</w:t>
                  </w:r>
                </w:p>
              </w:sdtContent>
            </w:sdt>
            <w:sdt>
              <w:sdtPr>
                <w:alias w:val="12 p."/>
                <w:tag w:val="part_0b2fc8c9a82d49b696f05c841e760447"/>
                <w:lock w:val="sdtLocked"/>
                <w:richText/>
              </w:sdtPr>
              <w:sdtContent>
                <w:p>
                  <w:pPr>
                    <w:widowControl w:val="0"/>
                    <w:tabs>
                      <w:tab w:val="left" w:pos="567"/>
                    </w:tabs>
                    <w:spacing w:line="276" w:lineRule="auto"/>
                    <w:ind w:firstLine="567"/>
                    <w:jc w:val="both"/>
                    <w:rPr>
                      <w:b/>
                      <w:bCs/>
                      <w:szCs w:val="24"/>
                      <w:lang w:eastAsia="lt-LT"/>
                    </w:rPr>
                  </w:pPr>
                  <w:sdt>
                    <w:sdtPr>
                      <w:alias w:val="Numeris"/>
                      <w:tag w:val="nr_0b2fc8c9a82d49b696f05c841e760447"/>
                      <w:lock w:val="sdtLocked"/>
                      <w:richText/>
                    </w:sdtPr>
                    <w:sdtContent>
                      <w:r>
                        <w:rPr>
                          <w:b/>
                          <w:bCs/>
                          <w:szCs w:val="24"/>
                          <w:lang w:eastAsia="lt-LT"/>
                        </w:rPr>
                        <w:t>12</w:t>
                      </w:r>
                    </w:sdtContent>
                  </w:sdt>
                  <w:r>
                    <w:rPr>
                      <w:b/>
                      <w:bCs/>
                      <w:szCs w:val="24"/>
                      <w:lang w:eastAsia="lt-LT"/>
                    </w:rPr>
                    <w:t>. Pridedami dokumentai.</w:t>
                  </w:r>
                </w:p>
                <w:p>
                  <w:pPr>
                    <w:widowControl w:val="0"/>
                    <w:tabs>
                      <w:tab w:val="left" w:pos="567"/>
                    </w:tabs>
                    <w:spacing w:line="276" w:lineRule="auto"/>
                    <w:ind w:firstLine="567"/>
                    <w:jc w:val="both"/>
                    <w:rPr>
                      <w:b/>
                      <w:bCs/>
                      <w:szCs w:val="24"/>
                      <w:lang w:eastAsia="lt-LT"/>
                    </w:rPr>
                  </w:pPr>
                  <w:r>
                    <w:rPr>
                      <w:rFonts w:eastAsia="Arial Unicode MS"/>
                      <w:kern w:val="2"/>
                      <w:szCs w:val="24"/>
                    </w:rPr>
                    <w:t>Nėra.</w:t>
                  </w:r>
                </w:p>
                <w:p>
                  <w:pPr>
                    <w:widowControl w:val="0"/>
                    <w:tabs>
                      <w:tab w:val="left" w:pos="567"/>
                    </w:tabs>
                    <w:spacing w:line="276" w:lineRule="auto"/>
                    <w:jc w:val="both"/>
                    <w:rPr>
                      <w:rFonts w:eastAsia="Arial Unicode MS"/>
                      <w:kern w:val="2"/>
                      <w:szCs w:val="24"/>
                    </w:rPr>
                  </w:pPr>
                </w:p>
                <w:p>
                  <w:pPr>
                    <w:jc w:val="both"/>
                    <w:rPr>
                      <w:b/>
                      <w:sz w:val="22"/>
                      <w:szCs w:val="22"/>
                      <w:lang w:eastAsia="lt-LT"/>
                    </w:rPr>
                  </w:pPr>
                </w:p>
                <w:p>
                  <w:pPr>
                    <w:keepNext/>
                    <w:jc w:val="both"/>
                    <w:outlineLvl w:val="3"/>
                    <w:rPr>
                      <w:szCs w:val="24"/>
                    </w:rPr>
                  </w:pPr>
                </w:p>
              </w:sdtContent>
            </w:sdt>
          </w:sdtContent>
        </w:sdt>
        <w:sdt>
          <w:sdtPr>
            <w:alias w:val="signatura"/>
            <w:tag w:val="part_9cc24d1b4c8e4734aec6eb65d07c44fe"/>
            <w:lock w:val="sdtLocked"/>
            <w:richText/>
          </w:sdtPr>
          <w:sdtContent>
            <w:p>
              <w:pPr>
                <w:keepNext/>
                <w:jc w:val="both"/>
                <w:outlineLvl w:val="3"/>
                <w:rPr>
                  <w:szCs w:val="24"/>
                </w:rPr>
              </w:pPr>
              <w:r>
                <w:rPr>
                  <w:szCs w:val="24"/>
                </w:rPr>
                <w:t xml:space="preserve">Statybos ir viešosios tvarkos skyriaus vyriausioji specialistė                                                  Rasa Zviagina</w:t>
                <w:tab/>
              </w:r>
            </w:p>
            <w:p>
              <w:pPr>
                <w:suppressAutoHyphens/>
                <w:jc w:val="both"/>
                <w:rPr>
                  <w:szCs w:val="24"/>
                  <w:lang w:eastAsia="lt-LT"/>
                </w:rPr>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2240" w:h="15840"/>
      <w:pgMar w:top="1134" w:right="567" w:bottom="1134" w:left="1701" w:header="720" w:footer="0" w:gutter="0"/>
      <w:cols w:space="720"/>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sz w:val="20"/>
          <w:lang w:val="en-AU" w:eastAsia="lt-LT"/>
        </w:rPr>
      </w:pPr>
      <w:r>
        <w:rPr>
          <w:sz w:val="20"/>
          <w:lang w:val="en-AU" w:eastAsia="lt-LT"/>
        </w:rPr>
        <w:separator/>
      </w:r>
    </w:p>
  </w:endnote>
  <w:endnote w:type="continuationSeparator" w:id="0">
    <w:p>
      <w:pPr>
        <w:suppressAutoHyphens/>
        <w:rPr>
          <w:sz w:val="20"/>
          <w:lang w:val="en-AU" w:eastAsia="lt-LT"/>
        </w:rPr>
      </w:pPr>
      <w:r>
        <w:rPr>
          <w:sz w:val="20"/>
          <w:lang w:val="en-AU" w:eastAsia="lt-LT"/>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suppressAutoHyphens/>
      <w:rPr>
        <w:sz w:val="20"/>
        <w:lang w:val="en-AU"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suppressAutoHyphens/>
      <w:rPr>
        <w:sz w:val="20"/>
        <w:lang w:val="en-AU"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suppressAutoHyphens/>
      <w:rPr>
        <w:sz w:val="20"/>
        <w:lang w:val="en-AU"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sz w:val="20"/>
          <w:lang w:val="en-AU" w:eastAsia="lt-LT"/>
        </w:rPr>
      </w:pPr>
      <w:r>
        <w:rPr>
          <w:sz w:val="20"/>
          <w:lang w:val="en-AU" w:eastAsia="lt-LT"/>
        </w:rPr>
        <w:separator/>
      </w:r>
    </w:p>
  </w:footnote>
  <w:footnote w:type="continuationSeparator" w:id="0">
    <w:p>
      <w:pPr>
        <w:suppressAutoHyphens/>
        <w:rPr>
          <w:sz w:val="20"/>
          <w:lang w:val="en-AU" w:eastAsia="lt-LT"/>
        </w:rPr>
      </w:pPr>
      <w:r>
        <w:rPr>
          <w:sz w:val="20"/>
          <w:lang w:val="en-AU" w:eastAsia="lt-LT"/>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suppressAutoHyphens/>
      <w:rPr>
        <w:sz w:val="20"/>
        <w:lang w:val="en-AU"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suppressAutoHyphens/>
      <w:jc w:val="right"/>
      <w:rPr>
        <w:sz w:val="20"/>
        <w:lang w:val="en-AU" w:eastAsia="lt-LT"/>
      </w:rPr>
    </w:pPr>
  </w:p>
  <w:p>
    <w:pPr>
      <w:tabs>
        <w:tab w:val="center" w:pos="4986"/>
        <w:tab w:val="right" w:pos="9972"/>
      </w:tabs>
      <w:suppressAutoHyphens/>
      <w:jc w:val="right"/>
      <w:rPr>
        <w:b/>
        <w:bCs/>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1C84"/>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0F0A274-388C-45F6-AC7D-61BE4F72A37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8719586">
      <w:bodyDiv w:val="1"/>
      <w:marLeft w:val="0"/>
      <w:marRight w:val="0"/>
      <w:marTop w:val="0"/>
      <w:marBottom w:val="0"/>
      <w:divBdr>
        <w:top w:val="none" w:sz="0" w:space="0" w:color="auto"/>
        <w:left w:val="none" w:sz="0" w:space="0" w:color="auto"/>
        <w:bottom w:val="none" w:sz="0" w:space="0" w:color="auto"/>
        <w:right w:val="none" w:sz="0" w:space="0" w:color="auto"/>
      </w:divBdr>
    </w:div>
    <w:div w:id="212082326">
      <w:bodyDiv w:val="1"/>
      <w:marLeft w:val="0"/>
      <w:marRight w:val="0"/>
      <w:marTop w:val="0"/>
      <w:marBottom w:val="0"/>
      <w:divBdr>
        <w:top w:val="none" w:sz="0" w:space="0" w:color="auto"/>
        <w:left w:val="none" w:sz="0" w:space="0" w:color="auto"/>
        <w:bottom w:val="none" w:sz="0" w:space="0" w:color="auto"/>
        <w:right w:val="none" w:sz="0" w:space="0" w:color="auto"/>
      </w:divBdr>
    </w:div>
    <w:div w:id="287468594">
      <w:bodyDiv w:val="1"/>
      <w:marLeft w:val="0"/>
      <w:marRight w:val="0"/>
      <w:marTop w:val="0"/>
      <w:marBottom w:val="0"/>
      <w:divBdr>
        <w:top w:val="none" w:sz="0" w:space="0" w:color="auto"/>
        <w:left w:val="none" w:sz="0" w:space="0" w:color="auto"/>
        <w:bottom w:val="none" w:sz="0" w:space="0" w:color="auto"/>
        <w:right w:val="none" w:sz="0" w:space="0" w:color="auto"/>
      </w:divBdr>
    </w:div>
    <w:div w:id="321855348">
      <w:bodyDiv w:val="1"/>
      <w:marLeft w:val="0"/>
      <w:marRight w:val="0"/>
      <w:marTop w:val="0"/>
      <w:marBottom w:val="0"/>
      <w:divBdr>
        <w:top w:val="none" w:sz="0" w:space="0" w:color="auto"/>
        <w:left w:val="none" w:sz="0" w:space="0" w:color="auto"/>
        <w:bottom w:val="none" w:sz="0" w:space="0" w:color="auto"/>
        <w:right w:val="none" w:sz="0" w:space="0" w:color="auto"/>
      </w:divBdr>
    </w:div>
    <w:div w:id="547032562">
      <w:bodyDiv w:val="1"/>
      <w:marLeft w:val="0"/>
      <w:marRight w:val="0"/>
      <w:marTop w:val="0"/>
      <w:marBottom w:val="0"/>
      <w:divBdr>
        <w:top w:val="none" w:sz="0" w:space="0" w:color="auto"/>
        <w:left w:val="none" w:sz="0" w:space="0" w:color="auto"/>
        <w:bottom w:val="none" w:sz="0" w:space="0" w:color="auto"/>
        <w:right w:val="none" w:sz="0" w:space="0" w:color="auto"/>
      </w:divBdr>
    </w:div>
    <w:div w:id="833835664">
      <w:bodyDiv w:val="1"/>
      <w:marLeft w:val="0"/>
      <w:marRight w:val="0"/>
      <w:marTop w:val="0"/>
      <w:marBottom w:val="0"/>
      <w:divBdr>
        <w:top w:val="none" w:sz="0" w:space="0" w:color="auto"/>
        <w:left w:val="none" w:sz="0" w:space="0" w:color="auto"/>
        <w:bottom w:val="none" w:sz="0" w:space="0" w:color="auto"/>
        <w:right w:val="none" w:sz="0" w:space="0" w:color="auto"/>
      </w:divBdr>
    </w:div>
    <w:div w:id="1328631460">
      <w:bodyDiv w:val="1"/>
      <w:marLeft w:val="0"/>
      <w:marRight w:val="0"/>
      <w:marTop w:val="0"/>
      <w:marBottom w:val="0"/>
      <w:divBdr>
        <w:top w:val="none" w:sz="0" w:space="0" w:color="auto"/>
        <w:left w:val="none" w:sz="0" w:space="0" w:color="auto"/>
        <w:bottom w:val="none" w:sz="0" w:space="0" w:color="auto"/>
        <w:right w:val="none" w:sz="0" w:space="0" w:color="auto"/>
      </w:divBdr>
    </w:div>
    <w:div w:id="1367828366">
      <w:bodyDiv w:val="1"/>
      <w:marLeft w:val="0"/>
      <w:marRight w:val="0"/>
      <w:marTop w:val="0"/>
      <w:marBottom w:val="0"/>
      <w:divBdr>
        <w:top w:val="none" w:sz="0" w:space="0" w:color="auto"/>
        <w:left w:val="none" w:sz="0" w:space="0" w:color="auto"/>
        <w:bottom w:val="none" w:sz="0" w:space="0" w:color="auto"/>
        <w:right w:val="none" w:sz="0" w:space="0" w:color="auto"/>
      </w:divBdr>
      <w:divsChild>
        <w:div w:id="911934062">
          <w:marLeft w:val="0"/>
          <w:marRight w:val="0"/>
          <w:marTop w:val="0"/>
          <w:marBottom w:val="0"/>
          <w:divBdr>
            <w:top w:val="none" w:sz="0" w:space="0" w:color="auto"/>
            <w:left w:val="none" w:sz="0" w:space="0" w:color="auto"/>
            <w:bottom w:val="none" w:sz="0" w:space="0" w:color="auto"/>
            <w:right w:val="none" w:sz="0" w:space="0" w:color="auto"/>
          </w:divBdr>
        </w:div>
      </w:divsChild>
    </w:div>
    <w:div w:id="1393772608">
      <w:bodyDiv w:val="1"/>
      <w:marLeft w:val="0"/>
      <w:marRight w:val="0"/>
      <w:marTop w:val="0"/>
      <w:marBottom w:val="0"/>
      <w:divBdr>
        <w:top w:val="none" w:sz="0" w:space="0" w:color="auto"/>
        <w:left w:val="none" w:sz="0" w:space="0" w:color="auto"/>
        <w:bottom w:val="none" w:sz="0" w:space="0" w:color="auto"/>
        <w:right w:val="none" w:sz="0" w:space="0" w:color="auto"/>
      </w:divBdr>
    </w:div>
    <w:div w:id="1520006211">
      <w:bodyDiv w:val="1"/>
      <w:marLeft w:val="0"/>
      <w:marRight w:val="0"/>
      <w:marTop w:val="0"/>
      <w:marBottom w:val="0"/>
      <w:divBdr>
        <w:top w:val="none" w:sz="0" w:space="0" w:color="auto"/>
        <w:left w:val="none" w:sz="0" w:space="0" w:color="auto"/>
        <w:bottom w:val="none" w:sz="0" w:space="0" w:color="auto"/>
        <w:right w:val="none" w:sz="0" w:space="0" w:color="auto"/>
      </w:divBdr>
    </w:div>
    <w:div w:id="1538618697">
      <w:bodyDiv w:val="1"/>
      <w:marLeft w:val="0"/>
      <w:marRight w:val="0"/>
      <w:marTop w:val="0"/>
      <w:marBottom w:val="0"/>
      <w:divBdr>
        <w:top w:val="none" w:sz="0" w:space="0" w:color="auto"/>
        <w:left w:val="none" w:sz="0" w:space="0" w:color="auto"/>
        <w:bottom w:val="none" w:sz="0" w:space="0" w:color="auto"/>
        <w:right w:val="none" w:sz="0" w:space="0" w:color="auto"/>
      </w:divBdr>
      <w:divsChild>
        <w:div w:id="1776049905">
          <w:marLeft w:val="0"/>
          <w:marRight w:val="0"/>
          <w:marTop w:val="0"/>
          <w:marBottom w:val="0"/>
          <w:divBdr>
            <w:top w:val="none" w:sz="0" w:space="0" w:color="auto"/>
            <w:left w:val="none" w:sz="0" w:space="0" w:color="auto"/>
            <w:bottom w:val="none" w:sz="0" w:space="0" w:color="auto"/>
            <w:right w:val="none" w:sz="0" w:space="0" w:color="auto"/>
          </w:divBdr>
        </w:div>
      </w:divsChild>
    </w:div>
    <w:div w:id="1788156308">
      <w:bodyDiv w:val="1"/>
      <w:marLeft w:val="0"/>
      <w:marRight w:val="0"/>
      <w:marTop w:val="0"/>
      <w:marBottom w:val="0"/>
      <w:divBdr>
        <w:top w:val="none" w:sz="0" w:space="0" w:color="auto"/>
        <w:left w:val="none" w:sz="0" w:space="0" w:color="auto"/>
        <w:bottom w:val="none" w:sz="0" w:space="0" w:color="auto"/>
        <w:right w:val="none" w:sz="0" w:space="0" w:color="auto"/>
      </w:divBdr>
    </w:div>
    <w:div w:id="1829050044">
      <w:bodyDiv w:val="1"/>
      <w:marLeft w:val="0"/>
      <w:marRight w:val="0"/>
      <w:marTop w:val="0"/>
      <w:marBottom w:val="0"/>
      <w:divBdr>
        <w:top w:val="none" w:sz="0" w:space="0" w:color="auto"/>
        <w:left w:val="none" w:sz="0" w:space="0" w:color="auto"/>
        <w:bottom w:val="none" w:sz="0" w:space="0" w:color="auto"/>
        <w:right w:val="none" w:sz="0" w:space="0" w:color="auto"/>
      </w:divBdr>
    </w:div>
    <w:div w:id="183405746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afa11621ade42259066931653f80886" PartId="7532d92f038a40b6b588d58835f352cb">
    <Part Type="preambule" DocPartId="eafd279f6bd34de8ba497c63beb45aec" PartId="9aba4971823c4851a5e4abe9a8781296"/>
    <Part Type="punktas" Nr="1" Abbr="1 p." DocPartId="4a0d141c2dae4bc19aef2a4dba6ab756" PartId="847b38ab2aa44ebe97bd1ae909fcb119">
      <Part Type="papunktis" Nr="1.1" Abbr="1.1 pp." DocPartId="3d6c3737cbca432986e53e896a075f0a" PartId="e470014354794398b344615245bb23d7"/>
      <Part Type="papunktis" Nr="1.2" Abbr="1.2 pp." DocPartId="0c4cf777f5264535abb644defa3143f8" PartId="c8dbe3cbf8af49528ad4972e4b4cec22"/>
      <Part Type="papunktis" Nr="1.3" Abbr="1.3 pp." DocPartId="307a2c7f46474604b8d6e8b3e6dd6ea8" PartId="3d281aa802b54797ad22c5646aaf00f1"/>
      <Part Type="papunktis" Nr="1.4" Abbr="1.4 pp." DocPartId="f15a864cabd84fc788c28887d45db2f8" PartId="ca899ed66be8499ea725fc608ac7a915"/>
      <Part Type="papunktis" Nr="1.5" Abbr="1.5 pp." DocPartId="3518b768a47a47229c0172dd60ba864a" PartId="b324da646568411385d5918cc9f0fce7"/>
    </Part>
    <Part Type="punktas" Nr="2" Abbr="2 p." DocPartId="c434fc24391c420482972c37b6e23cac" PartId="7c1ebc38f2c74054b0f3f0e3b20507d8"/>
    <Part Type="punktas" Nr="3" Abbr="3 p." DocPartId="360555af6ba14d6a911d1cc7084e82e2" PartId="dacd4ef2b6084727a94062c514cf3609"/>
    <Part Type="punktas" Nr="4" Abbr="4 p." DocPartId="879bd994aa884c0485884ba03f354c6c" PartId="0a811e7e8dd341c0bd258f62ac5fdfc7"/>
    <Part Type="punktas" Nr="5" Abbr="5 p." DocPartId="13ed3f7930b147f1bfc090bb06f53842" PartId="51be2435795d48dcbc16104cce45783f"/>
    <Part Type="skirsnis" Title="RADVILIŠKIO RAJONO SAVIVALDYBĖS TARYBOS SPRENDIMO PROJEKTO „DĖL PRITARIMO ĮGYVENDINTI PROJEKTĄ „DIDELIŲ GABARITŲ ATLIEKŲ SURINKIMO AIKŠTELĖS ĮRENGIMAS RADVILIŠKIO RAJONO SAVIVALDYBĖJE““ AIŠKINAMASIS RAŠTAS" DocPartId="708ceaa940824a9cacc0d365ad5e2e36" PartId="d39664825c0a4fb891598a5821d2846e">
      <Part Type="punktas" Nr="1" Abbr="1 p." DocPartId="74149ed5c12942eb91aa82f3266905f7" PartId="90da1718cb8c4f39be90ae8f6baf52bb"/>
      <Part Type="punktas" Nr="2" Abbr="2 p." DocPartId="f72de62209084e2a91fefa5d78542703" PartId="8770f2de41204c11a416abee9fa58cf2"/>
      <Part Type="punktas" Nr="3" Abbr="3 p." DocPartId="7da1ad3ad2bc4485be00225f5773c91f" PartId="2a46fc66f3bf43e5bca29d515814b03c"/>
      <Part Type="punktas" Nr="4" Abbr="4 p." DocPartId="be4ed4de91e14f338d1ce34ee1e6c41f" PartId="ac2c81012c97439e809444e44434dc9b"/>
    </Part>
    <Part Type="skirsnis" Title="Siektini stebėsenos rodikliai:" DocPartId="3d3fc392b451470b83a925d19bde50ad" PartId="0bcbe63ec2eb4939bfbc6fb2dde33efa">
      <Part Type="punktas" Nr="1" Abbr="1 p." DocPartId="0f29ec01a1fd4b8eb66ee09efda56fea" PartId="291ca5317721484ba1d44374218007f0"/>
      <Part Type="punktas" Nr="2" Abbr="2 p." DocPartId="5b11894d89e04ca28bd2cb4bd0be1500" PartId="40beeca332064626aa62621e53460295"/>
      <Part Type="punktas" Nr="5" Abbr="5 p." Notes="Numeris ne iš eilės. Trūksta dalių? [DocDalys]" DocPartId="8951256bee8f4b4cb2e70bc37ad5384c" PartId="a2de44c58ce04421b1d531118cd39822"/>
      <Part Type="punktas" Nr="6" Abbr="6 p." DocPartId="7ac1cb9e4ecb439bbd1c22be7d93db24" PartId="f1e36adc26144175a9ad16eb19cf1ebd"/>
      <Part Type="punktas" Nr="7" Abbr="7 p." DocPartId="e8c9182eaebc44d3a83fb8d0a99e5b91" PartId="d4cc8da205224020b29fed4a5d36518c"/>
      <Part Type="punktas" Nr="8" Abbr="8 p." DocPartId="896c60c056ba4bde9fe5ca6de353bbbb" PartId="f5f643280d1640a9becc6b8b122437f2"/>
      <Part Type="punktas" Nr="9" Abbr="9 p." DocPartId="f6f9101e5b864c028d37f1cda836cb55" PartId="59759ab2d60644c7b5700e687c352377"/>
      <Part Type="punktas" Nr="10" Abbr="10 p." DocPartId="f2b68179fa084962932fbf77e755b57a" PartId="680131f23cd440d88c5ec9a30f01160a"/>
      <Part Type="punktas" Nr="11" Abbr="11 p." DocPartId="bf63dea9abd146d1b0e4ded316a9c3de" PartId="aa017eed4c7a43b89a48b712810d2560"/>
      <Part Type="punktas" Nr="12" Abbr="12 p." DocPartId="e83628031a794482ad8b476ef973618c" PartId="0b2fc8c9a82d49b696f05c841e760447"/>
    </Part>
    <Part Type="signatura" DocPartId="3fd22bbc01ed40b2acbeed5f57497d1a" PartId="9cc24d1b4c8e4734aec6eb65d07c44fe"/>
  </Part>
</Parts>
</file>

<file path=customXml/itemProps1.xml><?xml version="1.0" encoding="utf-8"?>
<ds:datastoreItem xmlns:ds="http://schemas.openxmlformats.org/officeDocument/2006/customXml" ds:itemID="{04358660-2EA9-4C35-80F0-5E21297D72F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1458</Words>
  <Characters>10870</Characters>
  <Application>Microsoft Office Word</Application>
  <DocSecurity>4</DocSecurity>
  <Lines>175</Lines>
  <Paragraphs>69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12259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2025-05-19T07:05:00Z</dcterms:created>
  <dc:creator>Aida. Urbutienė</dc:creator>
  <dc:language>lt-LT</dc:language>
  <lastModifiedBy>adlibuser</lastModifiedBy>
  <lastPrinted>2020-03-06T08:35:00Z</lastPrinted>
  <dcterms:modified xsi:type="dcterms:W3CDTF">2025-05-19T07:05:00Z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