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e2f803eb1b4c96bbe50bb4fc64334a"/>
        <w:lock w:val="sdtLocked"/>
        <w:richText/>
      </w:sdtPr>
      <w:sdtContent>
        <w:p w14:paraId="58E37E2C" w14:textId="77777777">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p w14:paraId="62C66A24" w14:textId="77777777">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14:paraId="70E2D18C" w14:textId="77777777">
          <w:pPr>
            <w:widowControl w:val="0"/>
            <w:suppressAutoHyphens/>
            <w:jc w:val="center"/>
            <w:rPr>
              <w:rFonts w:eastAsia="Lucida Sans Unicode"/>
              <w:b/>
              <w:bCs/>
              <w:szCs w:val="24"/>
              <w:lang w:eastAsia="ar-SA"/>
            </w:rPr>
          </w:pPr>
        </w:p>
        <w:p w14:paraId="4F3DEF9D" w14:textId="77777777">
          <w:pPr>
            <w:widowControl w:val="0"/>
            <w:suppressAutoHyphens/>
            <w:jc w:val="center"/>
            <w:rPr>
              <w:rFonts w:eastAsia="Lucida Sans Unicode"/>
              <w:szCs w:val="24"/>
              <w:shd w:val="clear" w:color="auto" w:fill="FFFFFF"/>
              <w:lang w:eastAsia="ar-SA"/>
            </w:rPr>
          </w:pPr>
          <w:r>
            <w:rPr>
              <w:rFonts w:eastAsia="Lucida Sans Unicode"/>
              <w:b/>
              <w:bCs/>
              <w:szCs w:val="24"/>
              <w:lang w:eastAsia="ar-SA"/>
            </w:rPr>
            <w:t>DĖL SAVIVALDYBĖS TURTO PRIPAŽINIMO NETINKAMU (NEGALIMU) NAUDOTI IR JO NURAŠYMO</w:t>
          </w:r>
        </w:p>
        <w:p w14:paraId="13312535" w14:textId="77777777">
          <w:pPr>
            <w:widowControl w:val="0"/>
            <w:suppressAutoHyphens/>
            <w:jc w:val="center"/>
            <w:rPr>
              <w:rFonts w:eastAsia="Lucida Sans Unicode"/>
              <w:szCs w:val="24"/>
              <w:lang w:eastAsia="ar-SA"/>
            </w:rPr>
          </w:pPr>
        </w:p>
        <w:p w14:paraId="5F6D1F78" w14:textId="404F6E78">
          <w:pPr>
            <w:widowControl w:val="0"/>
            <w:suppressAutoHyphens/>
            <w:jc w:val="center"/>
            <w:rPr>
              <w:rFonts w:eastAsia="Lucida Sans Unicode"/>
              <w:szCs w:val="24"/>
              <w:lang w:eastAsia="ar-SA"/>
            </w:rPr>
          </w:pPr>
          <w:r>
            <w:rPr>
              <w:rFonts w:eastAsia="Lucida Sans Unicode"/>
              <w:szCs w:val="24"/>
              <w:lang w:eastAsia="ar-SA"/>
            </w:rPr>
            <w:t xml:space="preserve">2025 m.             d. Nr. T-</w:t>
          </w:r>
        </w:p>
        <w:p w14:paraId="785D27CA"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28CC717C" w14:textId="77777777">
          <w:pPr>
            <w:widowControl w:val="0"/>
            <w:suppressAutoHyphens/>
            <w:jc w:val="center"/>
            <w:rPr>
              <w:rFonts w:eastAsia="Lucida Sans Unicode"/>
              <w:szCs w:val="24"/>
              <w:lang w:eastAsia="ar-SA"/>
            </w:rPr>
          </w:pPr>
        </w:p>
        <w:p w14:paraId="462A7AB0" w14:textId="77777777">
          <w:pPr>
            <w:widowControl w:val="0"/>
            <w:suppressAutoHyphens/>
            <w:jc w:val="center"/>
            <w:rPr>
              <w:rFonts w:eastAsia="Lucida Sans Unicode"/>
              <w:szCs w:val="24"/>
              <w:lang w:eastAsia="ar-SA"/>
            </w:rPr>
          </w:pPr>
        </w:p>
        <w:sdt>
          <w:sdtPr>
            <w:alias w:val="preambule"/>
            <w:tag w:val="part_e51181ce4dca4c85a61bb4f462507bdc"/>
            <w:lock w:val="sdtLocked"/>
            <w:richText/>
          </w:sdtPr>
          <w:sdtContent>
            <w:p w14:paraId="6E068564" w14:textId="6EE5CAD3">
              <w:pPr>
                <w:widowControl w:val="0"/>
                <w:suppressAutoHyphens/>
                <w:ind w:firstLine="709"/>
                <w:jc w:val="both"/>
                <w:rPr>
                  <w:szCs w:val="24"/>
                  <w:lang w:eastAsia="lt-LT"/>
                </w:rPr>
              </w:pPr>
              <w:r>
                <w:rPr>
                  <w:rFonts w:eastAsia="HG Mincho Light J"/>
                  <w:color w:val="000000"/>
                  <w:szCs w:val="24"/>
                  <w:lang w:eastAsia="ar-SA"/>
                </w:rPr>
                <w:t>Vadovaudamasi Lietuvos Respublikos vietos savivaldos įstatymo 15 straipsnio 2 dalies 19 punktu</w:t>
              </w:r>
              <w:r>
                <w:rPr>
                  <w:szCs w:val="24"/>
                  <w:lang w:eastAsia="ar-SA"/>
                </w:rPr>
                <w:t xml:space="preserve">, </w:t>
              </w:r>
              <w:r>
                <w:rPr>
                  <w:rFonts w:eastAsia="Lucida Sans Unicode"/>
                  <w:szCs w:val="24"/>
                  <w:lang w:eastAsia="ar-SA"/>
                </w:rPr>
                <w:t xml:space="preserve">Lietuvos Respublikos valstybės ir savivaldybių turto valdymo, naudojimo ir disponavimo juo įstatymo 26 straipsnio 1 dalies 4, 6 punktais ir 4 dalimi, 27 straipsnio 2 dalimi, Pripažinto nereikalingu arba netinkamu (negalimu) naudoti valstybės ir savivaldybių turto nurašymo, išardymo ir likvidavimo tvarkos aprašu, patvirtintu Lietuvos Respublikos Vyriausybės 2001 m. spalio 19 d. nutarimu Nr. 1250 „Dėl Pripažinto nereikalingu arba netinkamu (negalimu) naudoti valstybės ir savivaldybių turto nurašymo, išardymo ir likvidavimo tvarkos aprašo patvirtinimo“, įgyvendindama 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14.1.1 papunktį </w:t>
              </w:r>
              <w:r>
                <w:rPr>
                  <w:szCs w:val="24"/>
                  <w:lang w:eastAsia="lt-LT"/>
                </w:rPr>
                <w:t>ir atsižvelgdama į Šiaulių miesto savivaldybei nuosavybės teise priklausančių negyvenamųjų pastatų, patalpų ir statinių pripažinimo nereikalingais arba netinkamais (negalimais) naudoti ir jų nurašymo nuolatinės komisijos 2025 m.</w:t>
              </w:r>
              <w:r>
                <w:rPr>
                  <w:rFonts w:eastAsia="Lucida Sans Unicode"/>
                  <w:szCs w:val="24"/>
                  <w:lang w:eastAsia="ar-SA"/>
                </w:rPr>
                <w:t xml:space="preserve"> </w:t>
              </w:r>
              <w:r>
                <w:rPr>
                  <w:szCs w:val="24"/>
                  <w:lang w:eastAsia="lt-LT"/>
                </w:rPr>
                <w:t xml:space="preserve">birželio 10 d. ataskaitą Nr. A3-10, </w:t>
              </w:r>
              <w:r>
                <w:rPr>
                  <w:rFonts w:eastAsia="Lucida Sans Unicode"/>
                  <w:szCs w:val="24"/>
                  <w:shd w:val="clear" w:color="auto" w:fill="FFFFFF"/>
                  <w:lang w:eastAsia="ar-SA"/>
                </w:rPr>
                <w:t xml:space="preserve">Šiaulių miesto savivaldybės taryba </w:t>
              </w:r>
              <w:r>
                <w:rPr>
                  <w:rFonts w:eastAsia="Lucida Sans Unicode"/>
                  <w:spacing w:val="40"/>
                  <w:kern w:val="2"/>
                  <w:szCs w:val="24"/>
                  <w:shd w:val="clear" w:color="auto" w:fill="FFFFFF"/>
                  <w:lang w:eastAsia="ar-SA"/>
                </w:rPr>
                <w:t>nusprendžia:</w:t>
              </w:r>
            </w:p>
          </w:sdtContent>
        </w:sdt>
        <w:sdt>
          <w:sdtPr>
            <w:alias w:val="1 p."/>
            <w:tag w:val="part_e63d36b5693643c38a5f9c2f4d78ec88"/>
            <w:lock w:val="sdtLocked"/>
            <w:richText/>
          </w:sdtPr>
          <w:sdtContent>
            <w:p w14:paraId="1E813D9E" w14:textId="4A94796C">
              <w:pPr>
                <w:suppressAutoHyphens/>
                <w:ind w:firstLine="709"/>
                <w:jc w:val="both"/>
                <w:rPr>
                  <w:rFonts w:eastAsia="Lucida Sans Unicode"/>
                  <w:szCs w:val="24"/>
                  <w:lang w:eastAsia="ar-SA"/>
                </w:rPr>
              </w:pPr>
              <w:sdt>
                <w:sdtPr>
                  <w:alias w:val="Numeris"/>
                  <w:tag w:val="nr_e63d36b5693643c38a5f9c2f4d78ec88"/>
                  <w:lock w:val="sdtLocked"/>
                  <w:richText/>
                </w:sdtPr>
                <w:sdtContent>
                  <w:r>
                    <w:rPr>
                      <w:rFonts w:eastAsia="Lucida Sans Unicode"/>
                      <w:szCs w:val="24"/>
                      <w:lang w:eastAsia="ar-SA"/>
                    </w:rPr>
                    <w:t>1</w:t>
                  </w:r>
                </w:sdtContent>
              </w:sdt>
              <w:r>
                <w:rPr>
                  <w:rFonts w:eastAsia="Lucida Sans Unicode"/>
                  <w:szCs w:val="24"/>
                  <w:lang w:eastAsia="ar-SA"/>
                </w:rPr>
                <w:t>. Pripažinti netinkamu (negalimu) naudoti Šiaulių miesto savivaldybei nuosavybės teise priklausantį nekilnojamąjį turtą – kiemo aikštelės tako a4 dalį, kurios plotas 40,99 kv. m (unikalus daikto numeris 4400-5365-6943, likutinė vertė 375,47 eurų), esančią Gegužių g. 33, Šiauliuose.</w:t>
              </w:r>
            </w:p>
          </w:sdtContent>
        </w:sdt>
        <w:sdt>
          <w:sdtPr>
            <w:alias w:val="2 p."/>
            <w:tag w:val="part_849cf1b60a224554b7e037e3b5473617"/>
            <w:lock w:val="sdtLocked"/>
            <w:richText/>
          </w:sdtPr>
          <w:sdtContent>
            <w:p w14:paraId="1BFD0782" w14:textId="77777777">
              <w:pPr>
                <w:widowControl w:val="0"/>
                <w:suppressAutoHyphens/>
                <w:ind w:firstLine="709"/>
                <w:jc w:val="both"/>
                <w:rPr>
                  <w:rFonts w:eastAsia="Lucida Sans Unicode"/>
                  <w:szCs w:val="24"/>
                  <w:lang w:eastAsia="ar-SA"/>
                </w:rPr>
              </w:pPr>
              <w:sdt>
                <w:sdtPr>
                  <w:alias w:val="Numeris"/>
                  <w:tag w:val="nr_849cf1b60a224554b7e037e3b5473617"/>
                  <w:lock w:val="sdtLocked"/>
                  <w:richText/>
                </w:sdtPr>
                <w:sdtContent>
                  <w:r>
                    <w:rPr>
                      <w:rFonts w:eastAsia="Lucida Sans Unicode"/>
                      <w:szCs w:val="24"/>
                      <w:lang w:eastAsia="lt-LT"/>
                    </w:rPr>
                    <w:t>2</w:t>
                  </w:r>
                </w:sdtContent>
              </w:sdt>
              <w:r>
                <w:rPr>
                  <w:rFonts w:eastAsia="Lucida Sans Unicode"/>
                  <w:szCs w:val="24"/>
                  <w:lang w:eastAsia="lt-LT"/>
                </w:rPr>
                <w:t xml:space="preserve">. Nurašyti šio sprendimo </w:t>
              </w:r>
              <w:r>
                <w:rPr>
                  <w:rFonts w:eastAsia="Lucida Sans Unicode"/>
                  <w:szCs w:val="24"/>
                  <w:lang w:eastAsia="ar-SA"/>
                </w:rPr>
                <w:t xml:space="preserve">1 punkte nurodytą nekilnojamąjį turtą. </w:t>
              </w:r>
            </w:p>
            <w:p w14:paraId="2A66159F" w14:textId="77777777">
              <w:pPr>
                <w:widowControl w:val="0"/>
                <w:suppressAutoHyphens/>
                <w:ind w:firstLine="709"/>
                <w:jc w:val="both"/>
                <w:rPr>
                  <w:rFonts w:eastAsia="Lucida Sans Unicode"/>
                  <w:szCs w:val="24"/>
                  <w:shd w:val="clear" w:color="auto" w:fill="FFFFFF"/>
                  <w:lang w:eastAsia="ar-SA"/>
                </w:rPr>
              </w:pPr>
              <w:r>
                <w:rPr>
                  <w:rFonts w:eastAsia="Lucida Sans Unicode"/>
                  <w:szCs w:val="24"/>
                  <w:shd w:val="clear" w:color="auto" w:fill="FFFFFF"/>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29584563" w14:textId="77777777">
              <w:pPr>
                <w:widowControl w:val="0"/>
                <w:suppressAutoHyphens/>
                <w:rPr>
                  <w:rFonts w:eastAsia="Lucida Sans Unicode"/>
                  <w:kern w:val="2"/>
                  <w:szCs w:val="24"/>
                  <w14:ligatures w14:val="standardContextual"/>
                </w:rPr>
              </w:pPr>
            </w:p>
            <w:p w14:paraId="3A6AAB86" w14:textId="77777777">
              <w:pPr>
                <w:widowControl w:val="0"/>
                <w:suppressAutoHyphens/>
                <w:jc w:val="both"/>
                <w:rPr>
                  <w:rFonts w:eastAsia="Lucida Sans Unicode"/>
                  <w:szCs w:val="24"/>
                  <w:shd w:val="clear" w:color="auto" w:fill="FFFFFF"/>
                  <w:lang w:eastAsia="ar-SA"/>
                </w:rPr>
              </w:pPr>
            </w:p>
          </w:sdtContent>
        </w:sdt>
        <w:sdt>
          <w:sdtPr>
            <w:alias w:val="signatura"/>
            <w:tag w:val="part_00b5f60a1bc741e3aaea00b2b5c6eb52"/>
            <w:lock w:val="sdtLocked"/>
            <w:richText/>
          </w:sdtPr>
          <w:sdtContent>
            <w:p w14:paraId="59132661" w14:textId="1F12318D">
              <w:pPr>
                <w:widowControl w:val="0"/>
                <w:suppressAutoHyphens/>
                <w:jc w:val="both"/>
                <w:rPr>
                  <w:rFonts w:eastAsia="Lucida Sans Unicode"/>
                  <w:szCs w:val="24"/>
                  <w:shd w:val="clear" w:color="auto" w:fill="FFFFFF"/>
                  <w:lang w:eastAsia="ar-SA"/>
                </w:rPr>
              </w:pPr>
              <w:r>
                <w:rPr>
                  <w:rFonts w:eastAsia="Lucida Sans Unicode"/>
                  <w:szCs w:val="24"/>
                  <w:shd w:val="clear" w:color="auto" w:fill="FFFFFF"/>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FF023"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15A09001"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67E90" w14:textId="77777777">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44C8C" w14:textId="77777777">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6DA63" w14:textId="77777777">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9B3146"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6A43569A"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3A966" w14:textId="77777777">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1E50C" w14:textId="77777777">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w:instrText>
    </w:r>
    <w:r>
      <w:rPr>
        <w:rFonts w:eastAsia="Lucida Sans Unicode"/>
        <w:szCs w:val="24"/>
        <w:lang w:eastAsia="ar-SA"/>
      </w:rPr>
      <w:fldChar w:fldCharType="separate"/>
    </w:r>
    <w:r>
      <w:rPr>
        <w:rFonts w:eastAsia="Lucida Sans Unicode"/>
        <w:szCs w:val="24"/>
        <w:lang w:eastAsia="ar-SA"/>
      </w:rPr>
      <w:t>0</w:t>
    </w:r>
    <w:r>
      <w:rPr>
        <w:rFonts w:eastAsia="Lucida Sans Unicode"/>
        <w:szCs w:val="24"/>
        <w:lang w:eastAsia="ar-SA"/>
      </w:rPr>
      <w:fldChar w:fldCharType="end"/>
    </w:r>
  </w:p>
  <w:p w14:paraId="68ECDD1E" w14:textId="77777777">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1D848" w14:textId="2A6C519A">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670"/>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3C86E"/>
  <w15:docId w15:val="{0E90092A-51E3-40E8-AD2C-EC98FD4235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9946086">
      <w:bodyDiv w:val="1"/>
      <w:marLeft w:val="0"/>
      <w:marRight w:val="0"/>
      <w:marTop w:val="0"/>
      <w:marBottom w:val="0"/>
      <w:divBdr>
        <w:top w:val="none" w:sz="0" w:space="0" w:color="auto"/>
        <w:left w:val="none" w:sz="0" w:space="0" w:color="auto"/>
        <w:bottom w:val="none" w:sz="0" w:space="0" w:color="auto"/>
        <w:right w:val="none" w:sz="0" w:space="0" w:color="auto"/>
      </w:divBdr>
      <w:divsChild>
        <w:div w:id="617681817">
          <w:marLeft w:val="0"/>
          <w:marRight w:val="0"/>
          <w:marTop w:val="0"/>
          <w:marBottom w:val="0"/>
          <w:divBdr>
            <w:top w:val="none" w:sz="0" w:space="0" w:color="auto"/>
            <w:left w:val="none" w:sz="0" w:space="0" w:color="auto"/>
            <w:bottom w:val="none" w:sz="0" w:space="0" w:color="auto"/>
            <w:right w:val="none" w:sz="0" w:space="0" w:color="auto"/>
          </w:divBdr>
        </w:div>
      </w:divsChild>
    </w:div>
    <w:div w:id="1028869117">
      <w:bodyDiv w:val="1"/>
      <w:marLeft w:val="0"/>
      <w:marRight w:val="0"/>
      <w:marTop w:val="0"/>
      <w:marBottom w:val="0"/>
      <w:divBdr>
        <w:top w:val="none" w:sz="0" w:space="0" w:color="auto"/>
        <w:left w:val="none" w:sz="0" w:space="0" w:color="auto"/>
        <w:bottom w:val="none" w:sz="0" w:space="0" w:color="auto"/>
        <w:right w:val="none" w:sz="0" w:space="0" w:color="auto"/>
      </w:divBdr>
    </w:div>
    <w:div w:id="13428532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7e159344f5644c9905a1d186dfe1fbf" PartId="5be2f803eb1b4c96bbe50bb4fc64334a">
    <Part Type="preambule" DocPartId="d0b35f3499cb4068b40e77be81dcd938" PartId="e51181ce4dca4c85a61bb4f462507bdc"/>
    <Part Type="punktas" Nr="1" Abbr="1 p." DocPartId="1ea2b7bbe5174619976ce5ad3163da34" PartId="e63d36b5693643c38a5f9c2f4d78ec88"/>
    <Part Type="punktas" Nr="2" Abbr="2 p." DocPartId="4d9618eaa3c342f9b716055b459a8bcc" PartId="849cf1b60a224554b7e037e3b5473617"/>
    <Part Type="signatura" DocPartId="de57de9f1a1e46d48d8329d7a7dfd095" PartId="00b5f60a1bc741e3aaea00b2b5c6eb52"/>
  </Part>
</Parts>
</file>

<file path=customXml/itemProps1.xml><?xml version="1.0" encoding="utf-8"?>
<ds:datastoreItem xmlns:ds="http://schemas.openxmlformats.org/officeDocument/2006/customXml" ds:itemID="{B8BEE724-0448-4929-A9E5-01C455BFEEA1}">
  <ds:schemaRefs>
    <ds:schemaRef ds:uri="http://schemas.openxmlformats.org/officeDocument/2006/bibliography"/>
  </ds:schemaRefs>
</ds:datastoreItem>
</file>

<file path=customXml/itemProps2.xml><?xml version="1.0" encoding="utf-8"?>
<ds:datastoreItem xmlns:ds="http://schemas.openxmlformats.org/officeDocument/2006/customXml" ds:itemID="{7685C269-2217-4AE6-B432-8124D9B40B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279</Words>
  <Characters>1883</Characters>
  <Application>Microsoft Office Word</Application>
  <DocSecurity>4</DocSecurity>
  <Lines>33</Lines>
  <Paragraphs>10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2025-06-16T12:23:00Z</dcterms:created>
  <dc:creator>asia</dc:creator>
  <dc:language>en-US</dc:language>
  <lastModifiedBy>adlibuser</lastModifiedBy>
  <lastPrinted>2024-05-13T11:35:00Z</lastPrinted>
  <dcterms:modified xsi:type="dcterms:W3CDTF">2025-06-16T12:23:00Z</dcterms:modified>
  <revision>2</revision>
</coreProperties>
</file>