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pacing w:line="360" w:lineRule="auto"/>
        <w:ind w:left="-23" w:firstLine="567"/>
        <w:jc w:val="both"/>
        <w:rPr>
          <w:sz w:val="26"/>
        </w:rPr>
      </w:pPr>
    </w:p>
    <w:p>
      <w:pPr>
        <w:keepNext/>
        <w:spacing w:line="276" w:lineRule="auto"/>
        <w:jc w:val="right"/>
        <w:outlineLvl w:val="3"/>
        <w:rPr>
          <w:b/>
          <w:bCs/>
          <w:szCs w:val="24"/>
        </w:rPr>
      </w:pPr>
      <w:r>
        <w:rPr>
          <w:b/>
          <w:bCs/>
          <w:szCs w:val="24"/>
        </w:rPr>
        <w:t>Projektas</w:t>
      </w:r>
    </w:p>
    <w:p>
      <w:pPr>
        <w:keepNext/>
        <w:spacing w:line="276" w:lineRule="auto"/>
        <w:ind w:left="-23"/>
        <w:jc w:val="center"/>
        <w:rPr>
          <w:b/>
          <w:caps/>
        </w:rPr>
      </w:pPr>
      <w:r>
        <w:rPr>
          <w:b/>
          <w:caps/>
        </w:rPr>
        <w:t>PRIENŲ RAJONO savivaldybės TARYBA</w:t>
      </w:r>
    </w:p>
    <w:p>
      <w:pPr>
        <w:spacing w:line="276" w:lineRule="auto"/>
        <w:ind w:left="-23" w:firstLine="720"/>
        <w:jc w:val="center"/>
        <w:rPr>
          <w:szCs w:val="24"/>
        </w:rPr>
      </w:pPr>
    </w:p>
    <w:p>
      <w:pPr>
        <w:keepNext/>
        <w:spacing w:line="276" w:lineRule="auto"/>
        <w:ind w:left="-23"/>
        <w:jc w:val="center"/>
        <w:rPr>
          <w:b/>
          <w:szCs w:val="24"/>
        </w:rPr>
      </w:pPr>
      <w:r>
        <w:rPr>
          <w:b/>
          <w:szCs w:val="24"/>
        </w:rPr>
        <w:t>SPRENDIMAS</w:t>
      </w:r>
    </w:p>
    <w:p>
      <w:pPr>
        <w:spacing w:line="276" w:lineRule="auto"/>
        <w:ind w:left="-23" w:firstLine="874"/>
        <w:jc w:val="center"/>
        <w:rPr>
          <w:b/>
          <w:szCs w:val="24"/>
        </w:rPr>
      </w:pPr>
      <w:r>
        <w:rPr>
          <w:b/>
          <w:szCs w:val="24"/>
        </w:rPr>
        <w:t xml:space="preserve">DĖL RINKOS PATAISOS KOEFICIENTO, TAIKOMO PRIENŲ RAJONO SAVIVALDYBĖS BŪSTO (IŠSKYRUS SOCIALINĮ BŪSTĄ) NUOMOS MOKESČIUI APSKAIČIUOTI, </w:t>
      </w:r>
      <w:r>
        <w:rPr>
          <w:b/>
          <w:caps/>
          <w:szCs w:val="24"/>
        </w:rPr>
        <w:t>patvirtinimo</w:t>
      </w:r>
    </w:p>
    <w:p>
      <w:pPr>
        <w:spacing w:line="276" w:lineRule="auto"/>
        <w:ind w:left="-23"/>
        <w:jc w:val="center"/>
        <w:rPr>
          <w:b/>
          <w:caps/>
        </w:rPr>
      </w:pPr>
    </w:p>
    <w:p>
      <w:pPr>
        <w:spacing w:line="276" w:lineRule="auto"/>
        <w:ind w:left="-23"/>
        <w:jc w:val="center"/>
        <w:rPr>
          <w:bCs/>
        </w:rPr>
      </w:pPr>
      <w:r>
        <w:rPr>
          <w:bCs/>
          <w:caps/>
        </w:rPr>
        <w:t xml:space="preserve">2020 </w:t>
      </w:r>
      <w:r>
        <w:rPr>
          <w:bCs/>
        </w:rPr>
        <w:t>m. birželio 17 d. Nr. T1-196</w:t>
      </w:r>
    </w:p>
    <w:p>
      <w:pPr>
        <w:spacing w:line="276" w:lineRule="auto"/>
        <w:ind w:left="-23"/>
        <w:jc w:val="center"/>
        <w:rPr>
          <w:szCs w:val="24"/>
        </w:rPr>
      </w:pPr>
      <w:r>
        <w:rPr>
          <w:szCs w:val="24"/>
        </w:rPr>
        <w:t>Prienai</w:t>
      </w:r>
    </w:p>
    <w:p>
      <w:pPr>
        <w:spacing w:line="276" w:lineRule="auto"/>
        <w:ind w:left="-23" w:firstLine="874"/>
        <w:jc w:val="both"/>
        <w:rPr>
          <w:szCs w:val="24"/>
        </w:rPr>
      </w:pPr>
    </w:p>
    <w:p>
      <w:pPr>
        <w:spacing w:line="276" w:lineRule="auto"/>
        <w:ind w:left="-23" w:firstLine="874"/>
        <w:jc w:val="both"/>
        <w:rPr>
          <w:szCs w:val="24"/>
        </w:rPr>
      </w:pPr>
      <w:r>
        <w:rPr>
          <w:szCs w:val="24"/>
        </w:rPr>
        <w:t xml:space="preserve">Vadovaudamasi Lietuvos Respublikos vietos savivaldos įstatymo 16 straipsnio 2 dalies 31 punktu, 18 straipsnio 1 dalimi, Lietuvos Respublikos paramos būstui įsigyti ar išsinuomoti įstatymo </w:t>
      </w:r>
      <w:r>
        <w:rPr>
          <w:color w:val="000000"/>
          <w:szCs w:val="24"/>
          <w:lang w:eastAsia="lt-LT"/>
        </w:rPr>
        <w:t>21 straipsniu</w:t>
      </w:r>
      <w:r>
        <w:rPr>
          <w:szCs w:val="24"/>
        </w:rPr>
        <w:t xml:space="preserve">,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Prienų rajono savivaldybės taryba </w:t>
      </w:r>
      <w:r>
        <w:rPr>
          <w:spacing w:val="100"/>
          <w:szCs w:val="24"/>
        </w:rPr>
        <w:t>nusprendži</w:t>
      </w:r>
      <w:r>
        <w:rPr>
          <w:szCs w:val="24"/>
        </w:rPr>
        <w:t>a:</w:t>
      </w:r>
    </w:p>
    <w:p>
      <w:pPr>
        <w:spacing w:line="276" w:lineRule="auto"/>
        <w:ind w:left="-23" w:firstLine="874"/>
        <w:jc w:val="both"/>
        <w:rPr>
          <w:szCs w:val="24"/>
        </w:rPr>
      </w:pPr>
      <w:r>
        <w:rPr>
          <w:szCs w:val="24"/>
        </w:rPr>
        <w:t>1</w:t>
      </w:r>
      <w:r>
        <w:rPr>
          <w:szCs w:val="24"/>
        </w:rPr>
        <w:t>. Patvirtinti rinkos pataisos koeficiento R dydį, naudojamą savivaldybės būsto (išskyrus socialinį būstą) nuomos mokesčio dydžiui apskaičiuoti:</w:t>
      </w:r>
    </w:p>
    <w:p>
      <w:pPr>
        <w:spacing w:line="276" w:lineRule="auto"/>
        <w:ind w:left="-23" w:firstLine="874"/>
        <w:jc w:val="both"/>
        <w:rPr>
          <w:szCs w:val="24"/>
        </w:rPr>
      </w:pPr>
      <w:r>
        <w:rPr>
          <w:szCs w:val="24"/>
        </w:rPr>
        <w:t>1.1</w:t>
      </w:r>
      <w:r>
        <w:rPr>
          <w:szCs w:val="24"/>
        </w:rPr>
        <w:t>. R=4, kuris taikomas savivaldybės būsto nuomininkams;</w:t>
      </w:r>
    </w:p>
    <w:p>
      <w:pPr>
        <w:spacing w:line="276" w:lineRule="auto"/>
        <w:ind w:left="-23" w:firstLine="874"/>
        <w:jc w:val="both"/>
        <w:rPr>
          <w:szCs w:val="24"/>
        </w:rPr>
      </w:pPr>
      <w:r>
        <w:rPr>
          <w:szCs w:val="24"/>
        </w:rPr>
        <w:t>1.2</w:t>
      </w:r>
      <w:r>
        <w:rPr>
          <w:szCs w:val="24"/>
        </w:rPr>
        <w:t>. R=2, kuris taikomas savivaldybės bendrabučio tipo (gyvenamųjų patalpų / kambarių su bendrojo naudojimo patalpomis) gyvenamųjų patalpų nuomininkams;</w:t>
      </w:r>
    </w:p>
    <w:p>
      <w:pPr>
        <w:spacing w:line="276" w:lineRule="auto"/>
        <w:ind w:left="-23" w:firstLine="874"/>
        <w:jc w:val="both"/>
        <w:rPr>
          <w:szCs w:val="24"/>
        </w:rPr>
      </w:pPr>
      <w:r>
        <w:rPr>
          <w:szCs w:val="24"/>
        </w:rPr>
        <w:t>1.3</w:t>
      </w:r>
      <w:r>
        <w:rPr>
          <w:szCs w:val="24"/>
        </w:rPr>
        <w:t>. R=1,2, kuris taikomas asmenims ir šeimoms, kuriems savivaldybės būstas nuomojamas vadovaujantis Lietuvos Respublikos paramos būstui įsigyti ar išsinuomoti įstatymo 20 straipsnio 6 dalimi, pirmus metus nuo savivaldybės būsto nuomos sutarties sudarymo, jo taikymo laiko pratęsimas gali būti priimamas atskiru savivaldybės tarybos sprendimu.</w:t>
      </w:r>
    </w:p>
    <w:p>
      <w:pPr>
        <w:spacing w:line="276" w:lineRule="auto"/>
        <w:ind w:left="-23" w:firstLine="874"/>
        <w:jc w:val="both"/>
        <w:rPr>
          <w:szCs w:val="24"/>
        </w:rPr>
      </w:pPr>
      <w:r>
        <w:rPr>
          <w:szCs w:val="24"/>
        </w:rPr>
        <w:t>2</w:t>
      </w:r>
      <w:r>
        <w:rPr>
          <w:szCs w:val="24"/>
        </w:rPr>
        <w:t xml:space="preserve">.  Pripažinti netekusiu galios Prienų rajono savivaldybės tarybos 2015 m. sausio 29 d. sprendimą Nr. T3-9 „Dėl amortizacinių atskaitymų normatyvų (metais) pastato nusidėvėjimui atkurti ir rinkos pataisos koeficiento patvirtinimo“.</w:t>
      </w:r>
    </w:p>
    <w:p>
      <w:pPr>
        <w:spacing w:line="276" w:lineRule="auto"/>
        <w:ind w:left="-23" w:firstLine="874"/>
        <w:jc w:val="both"/>
        <w:rPr>
          <w:szCs w:val="24"/>
        </w:rPr>
      </w:pPr>
      <w:r>
        <w:rPr>
          <w:szCs w:val="24"/>
        </w:rPr>
        <w:t>3</w:t>
      </w:r>
      <w:r>
        <w:rPr>
          <w:szCs w:val="24"/>
        </w:rPr>
        <w:t xml:space="preserve">.  Nustatyti, kad šis sprendimas įsigalioja 2021 m. sausio 1 d.</w:t>
      </w:r>
    </w:p>
    <w:p>
      <w:pPr>
        <w:spacing w:line="276" w:lineRule="auto"/>
        <w:ind w:firstLine="874"/>
        <w:jc w:val="both"/>
        <w:rPr>
          <w:szCs w:val="24"/>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276" w:lineRule="auto"/>
        <w:ind w:left="-23" w:firstLine="874"/>
        <w:jc w:val="both"/>
        <w:rPr>
          <w:szCs w:val="24"/>
        </w:rPr>
      </w:pPr>
    </w:p>
    <w:p>
      <w:pPr>
        <w:spacing w:line="276" w:lineRule="auto"/>
        <w:ind w:left="-23" w:firstLine="874"/>
        <w:jc w:val="both"/>
        <w:rPr>
          <w:szCs w:val="24"/>
        </w:rPr>
      </w:pPr>
    </w:p>
    <w:p>
      <w:pPr>
        <w:spacing w:line="276" w:lineRule="auto"/>
        <w:ind w:left="-23"/>
        <w:jc w:val="both"/>
        <w:rPr>
          <w:szCs w:val="24"/>
        </w:rPr>
      </w:pPr>
      <w:r>
        <w:rPr>
          <w:szCs w:val="24"/>
        </w:rPr>
        <w:t>Savivaldybės meras</w:t>
      </w:r>
    </w:p>
    <w:p>
      <w:pPr>
        <w:spacing w:line="276" w:lineRule="auto"/>
        <w:ind w:left="-23" w:firstLine="720"/>
        <w:jc w:val="both"/>
        <w:rPr>
          <w:szCs w:val="24"/>
        </w:rPr>
      </w:pPr>
    </w:p>
    <w:p>
      <w:pPr>
        <w:spacing w:line="276" w:lineRule="auto"/>
        <w:ind w:left="-23" w:firstLine="720"/>
        <w:jc w:val="both"/>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left="-23" w:firstLine="720"/>
        <w:jc w:val="both"/>
        <w:rPr>
          <w:szCs w:val="24"/>
          <w:lang w:val="en-GB"/>
        </w:rPr>
      </w:pPr>
      <w:r>
        <w:rPr>
          <w:szCs w:val="24"/>
          <w:lang w:val="en-GB"/>
        </w:rPr>
        <w:separator/>
      </w:r>
    </w:p>
  </w:endnote>
  <w:endnote w:type="continuationSeparator" w:id="0">
    <w:p>
      <w:pPr>
        <w:ind w:left="-23" w:firstLine="720"/>
        <w:jc w:val="both"/>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line="360" w:lineRule="auto"/>
      <w:ind w:left="-23" w:firstLine="720"/>
      <w:jc w:val="both"/>
      <w:rPr>
        <w:szCs w:val="24"/>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line="360" w:lineRule="auto"/>
      <w:ind w:left="-23" w:firstLine="720"/>
      <w:jc w:val="both"/>
      <w:rPr>
        <w:szCs w:val="24"/>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line="360" w:lineRule="auto"/>
      <w:ind w:left="-23" w:firstLine="720"/>
      <w:jc w:val="both"/>
      <w:rPr>
        <w:szCs w:val="24"/>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left="-23" w:firstLine="720"/>
        <w:jc w:val="both"/>
        <w:rPr>
          <w:szCs w:val="24"/>
          <w:lang w:val="en-GB"/>
        </w:rPr>
      </w:pPr>
      <w:r>
        <w:rPr>
          <w:szCs w:val="24"/>
          <w:lang w:val="en-GB"/>
        </w:rPr>
        <w:separator/>
      </w:r>
    </w:p>
  </w:footnote>
  <w:footnote w:type="continuationSeparator" w:id="0">
    <w:p>
      <w:pPr>
        <w:ind w:left="-23" w:firstLine="720"/>
        <w:jc w:val="both"/>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360" w:lineRule="auto"/>
      <w:ind w:left="-23"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360" w:lineRule="auto"/>
      <w:ind w:left="-23"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spacing w:line="360" w:lineRule="auto"/>
      <w:ind w:left="-23"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360" w:lineRule="auto"/>
      <w:ind w:left="-23"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242986419">
      <w:bodyDiv w:val="1"/>
      <w:marLeft w:val="0"/>
      <w:marRight w:val="0"/>
      <w:marTop w:val="0"/>
      <w:marBottom w:val="0"/>
      <w:divBdr>
        <w:top w:val="none" w:sz="0" w:space="0" w:color="auto"/>
        <w:left w:val="none" w:sz="0" w:space="0" w:color="auto"/>
        <w:bottom w:val="none" w:sz="0" w:space="0" w:color="auto"/>
        <w:right w:val="none" w:sz="0" w:space="0" w:color="auto"/>
      </w:divBdr>
    </w:div>
    <w:div w:id="21355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2261</Characters>
  <Application>Microsoft Office Word</Application>
  <DocSecurity>4</DocSecurity>
  <Lines>43</Lines>
  <Paragraphs>17</Paragraphs>
  <ScaleCrop>false</ScaleCrop>
  <HeadingPairs>
    <vt:vector size="2" baseType="variant">
      <vt:variant>
        <vt:lpstr>Title</vt:lpstr>
      </vt:variant>
      <vt:variant>
        <vt:i4>1</vt:i4>
      </vt:variant>
    </vt:vector>
  </HeadingPairs>
  <TitlesOfParts>
    <vt:vector size="1" baseType="lpstr">
      <vt:lpstr>PRIENŲ RAJONO SAVIVALDYBĖS TARYBA</vt:lpstr>
    </vt:vector>
  </TitlesOfParts>
  <Company/>
  <LinksUpToDate>false</LinksUpToDate>
  <CharactersWithSpaces>2568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2020-06-17T10:18:00Z</dcterms:created>
  <dc:creator>_</dc:creator>
  <lastModifiedBy>adlibuser</lastModifiedBy>
  <lastPrinted>2019-10-17T13:29:00Z</lastPrinted>
  <dcterms:modified xsi:type="dcterms:W3CDTF">2020-06-17T10:18:00Z</dcterms:modified>
  <revision>2</revision>
  <dc:title>PRIENŲ RAJONO SAVIVALDYBĖS TARYBA</dc:title>
</coreProperties>
</file>