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a3e3071a1794b7c86748f5740f67066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szCs w:val="24"/>
            </w:rPr>
          </w:pPr>
          <w:r>
            <w:rPr>
              <w:szCs w:val="24"/>
              <w:lang w:val="en-US"/>
            </w:rPr>
            <w:drawing>
              <wp:inline distT="0" distB="0" distL="0" distR="0" wp14:anchorId="35553655" wp14:editId="21122AE8">
                <wp:extent cx="457200" cy="542925"/>
                <wp:effectExtent l="0" t="0" r="0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widowControl w:val="0"/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>
          <w:pPr>
            <w:widowControl w:val="0"/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widowControl w:val="0"/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>
          <w:pPr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 xml:space="preserve">DĖL LIETUVOS RESPUBLIKOS SVEIKATOS APSAUGOS MINISTRO </w:t>
          </w:r>
          <w:r>
            <w:rPr>
              <w:b/>
              <w:bCs/>
              <w:color w:val="000000"/>
            </w:rPr>
            <w:t xml:space="preserve">2010 M. GEGUŽĖS 3 D. ĮSAKYMO NR. V-383 </w:t>
          </w:r>
          <w:r>
            <w:rPr>
              <w:b/>
              <w:bCs/>
            </w:rPr>
            <w:t>„</w:t>
          </w:r>
          <w:r>
            <w:rPr>
              <w:b/>
              <w:bCs/>
              <w:color w:val="000000"/>
            </w:rPr>
            <w:t xml:space="preserve">DĖL </w:t>
          </w:r>
          <w:r>
            <w:rPr>
              <w:b/>
              <w:color w:val="000000"/>
            </w:rPr>
            <w:t xml:space="preserve">MEDICINOS PRIEMONIŲ NAUDOJIMO TVARKOS APRAŠO </w:t>
          </w:r>
          <w:r>
            <w:rPr>
              <w:b/>
              <w:bCs/>
              <w:color w:val="000000"/>
            </w:rPr>
            <w:t xml:space="preserve">PATVIRTINIMO“ </w:t>
          </w:r>
        </w:p>
        <w:p>
          <w:pPr>
            <w:jc w:val="center"/>
            <w:textAlignment w:val="baseline"/>
            <w:rPr>
              <w:szCs w:val="24"/>
              <w:lang w:val="en-US"/>
            </w:rPr>
          </w:pPr>
          <w:r>
            <w:rPr>
              <w:b/>
              <w:bCs/>
              <w:szCs w:val="24"/>
            </w:rPr>
            <w:t>PAKEITIMO</w:t>
          </w:r>
        </w:p>
        <w:p>
          <w:pPr>
            <w:widowControl w:val="0"/>
            <w:tabs>
              <w:tab w:val="center" w:pos="4153"/>
              <w:tab w:val="right" w:pos="8306"/>
            </w:tabs>
            <w:jc w:val="center"/>
            <w:rPr>
              <w:b/>
              <w:bCs/>
            </w:rPr>
          </w:pPr>
        </w:p>
        <w:p>
          <w:pPr>
            <w:widowControl w:val="0"/>
            <w:jc w:val="center"/>
            <w:rPr>
              <w:szCs w:val="24"/>
              <w:lang w:eastAsia="lt-LT"/>
            </w:rPr>
          </w:pPr>
        </w:p>
        <w:p>
          <w:pPr>
            <w:widowControl w:val="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2022 m.       d. Nr.  </w:t>
          </w:r>
        </w:p>
        <w:p>
          <w:pPr>
            <w:widowControl w:val="0"/>
            <w:tabs>
              <w:tab w:val="left" w:pos="851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ind w:firstLine="851"/>
            <w:jc w:val="both"/>
            <w:rPr>
              <w:szCs w:val="24"/>
              <w:lang w:eastAsia="lt-LT"/>
            </w:rPr>
          </w:pPr>
        </w:p>
        <w:p>
          <w:pPr>
            <w:ind w:firstLine="851"/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9722ba16af7f4635b9caa065d113d956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722ba16af7f4635b9caa065d113d95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pacing w:val="60"/>
                  <w:szCs w:val="24"/>
                  <w:lang w:eastAsia="lt-LT"/>
                </w:rPr>
                <w:t xml:space="preserve"> Pakeičiu</w:t>
              </w:r>
              <w:r>
                <w:t xml:space="preserve"> Lietuvos Respublikos sveikatos apsaugos ministro </w:t>
              </w:r>
              <w:r>
                <w:rPr>
                  <w:color w:val="000000"/>
                </w:rPr>
                <w:t xml:space="preserve">2010 m. gegužės 3 d. įsakymu Nr. V-383 „Dėl Medicinos priemonių naudojimo tvarkos aprašo patvirtinimo“ </w:t>
              </w:r>
              <w:r>
                <w:rPr>
                  <w:color w:val="000000"/>
                  <w:szCs w:val="24"/>
                </w:rPr>
                <w:t>patvirtintą Medicinos priemonių naudojimo tvarkos aprašą</w:t>
              </w:r>
              <w:r>
                <w:rPr>
                  <w:color w:val="000000"/>
                </w:rPr>
                <w:t>:</w:t>
              </w:r>
            </w:p>
            <w:sdt>
              <w:sdtPr>
                <w:alias w:val="1.1 pp."/>
                <w:tag w:val="part_1a073a25057a4e1a814e7708f8a25c9a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a073a25057a4e1a814e7708f8a25c9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3 punktą ir jį išdėstau taip:</w:t>
                  </w:r>
                </w:p>
                <w:sdt>
                  <w:sdtPr>
                    <w:alias w:val="citata"/>
                    <w:tag w:val="part_d473d65e11294ccc9b065c210c5bd267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5273279533f44fc185f169db4054d094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73279533f44fc185f169db4054d09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Šis aprašas netaikomas medicinos priemonėms, skirtoms klinikiniams ir veiksmingumo tyrimams.“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09a096de38934dd58017af724adbda7b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9a096de38934dd58017af724adbda7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5 punktą ir jį išdėstau taip:</w:t>
                  </w:r>
                </w:p>
                <w:sdt>
                  <w:sdtPr>
                    <w:alias w:val="citata"/>
                    <w:tag w:val="part_c705a02d05094e1fb8bafcefe438d9b9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0437d6efcfac45d38456d5902aa83cb4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37d6efcfac45d38456d5902aa83cb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Kitos šiame apraše vartojamos sąvokos atitinka Lietuvos Respublikos sveikatos sistemos įstatyme,</w:t>
                          </w:r>
                          <w:r>
                            <w:rPr>
                              <w:szCs w:val="24"/>
                            </w:rPr>
                            <w:t xml:space="preserve"> 2017 m. balandžio 5 d. Europos Parlamento ir Tarybos reglamente </w:t>
                          </w:r>
                          <w:fldSimple w:instr="HYPERLINK http://eur-lex.europa.eu/legal-content/LIT/TXT/?uri=CELEX:3745R2017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(ES) 2017/745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dėl medicinos priemonių, kuriuo iš dalies keičiama Direktyva </w:t>
                          </w:r>
                          <w:fldSimple w:instr="HYPERLINK http://eur-lex.europa.eu/legal-content/LIT/TXT/?uri=CELEX:32001L0083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2001/83/EB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, Reglamentas </w:t>
                          </w:r>
                          <w:fldSimple w:instr="HYPERLINK http://eur-lex.europa.eu/legal-content/LIT/TXT/?uri=CELEX:32002R0178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(EB) Nr. 178/2002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ir Reglamentas </w:t>
                          </w:r>
                          <w:fldSimple w:instr="HYPERLINK http://eur-lex.europa.eu/legal-content/LIT/TXT/?uri=CELEX:32009R1223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(EB) Nr. 1223/2009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, ir kuriuo panaikinamos Tarybos direktyvos </w:t>
                          </w:r>
                          <w:fldSimple w:instr="HYPERLINK http://eur-lex.europa.eu/legal-content/LIT/TXT/?uri=CELEX:31990L0385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90/385/EEB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ir </w:t>
                          </w:r>
                          <w:fldSimple w:instr="HYPERLINK http://eur-lex.europa.eu/legal-content/LIT/TXT/?uri=CELEX:31993L0042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93/42/EEB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(toliau – Reglamentas </w:t>
                          </w:r>
                          <w:fldSimple w:instr="HYPERLINK http://eur-lex.europa.eu/legal-content/LIT/TXT/?uri=CELEX:3745R2017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(ES) 2017/745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), ir 2017 m. balandžio 5 d. Europos Parlamento ir Tarybos reglamente </w:t>
                          </w:r>
                          <w:fldSimple w:instr="HYPERLINK http://eur-lex.europa.eu/legal-content/LIT/TXT/?uri=CELEX:3746R2017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(ES) 2017/746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dėl </w:t>
                          </w:r>
                          <w:r>
                            <w:rPr>
                              <w:i/>
                              <w:iCs/>
                              <w:szCs w:val="24"/>
                            </w:rPr>
                            <w:t xml:space="preserve">in vitro </w:t>
                          </w:r>
                          <w:r>
                            <w:rPr>
                              <w:szCs w:val="24"/>
                            </w:rPr>
                            <w:t>diagnostikos medicinos priemonių,</w:t>
                          </w:r>
                          <w:r>
                            <w:rPr>
                              <w:color w:val="1E1B1B"/>
                              <w:szCs w:val="24"/>
                            </w:rPr>
                            <w:t xml:space="preserve"> kuriuo panaikinama Direktyva </w:t>
                          </w:r>
                          <w:fldSimple w:instr="HYPERLINK http://eur-lex.europa.eu/legal-content/LIT/TXT/?uri=CELEX:31998L0079&amp;locale=lt \t _blank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98/79/EB</w:t>
                            </w:r>
                          </w:fldSimple>
                          <w:r>
                            <w:rPr>
                              <w:color w:val="1E1B1B"/>
                              <w:szCs w:val="24"/>
                            </w:rPr>
                            <w:t xml:space="preserve"> ir Komisijos sprendimas </w:t>
                          </w:r>
                          <w:fldSimple w:instr="HYPERLINK http://eur-lex.europa.eu/legal-content/LIT/TXT/?uri=CELEX:3227D2010&amp;locale=lt \t _blank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2010/227/ES</w:t>
                            </w:r>
                          </w:fldSimple>
                          <w:r>
                            <w:rPr>
                              <w:color w:val="000000"/>
                            </w:rPr>
                            <w:t xml:space="preserve"> (toliau – Reglamentas </w:t>
                          </w:r>
                          <w:fldSimple w:instr="HYPERLINK http://eur-lex.europa.eu/legal-content/LIT/TXT/?uri=CELEX:3746R2017&amp;locale=lt \t _blank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(ES) 2017/746</w:t>
                            </w:r>
                          </w:fldSimple>
                          <w:r>
                            <w:rPr>
                              <w:color w:val="000000"/>
                            </w:rPr>
                            <w:t>), vartojamas sąvokas.“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55aebe63df504e9f8c1af162119f2454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5aebe63df504e9f8c1af162119f245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6 punktą ir jį išdėstau taip:</w:t>
                  </w:r>
                </w:p>
                <w:sdt>
                  <w:sdtPr>
                    <w:alias w:val="citata"/>
                    <w:tag w:val="part_1054fbc68fbf4ff39a67cf3509ddf9ff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10d4efa4fef34aefb9cafefb5afc3cb0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d4efa4fef34aefb9cafefb5afc3cb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</w:rPr>
                            <w:t xml:space="preserve">Įstaigos gali pradėti naudoti tik </w:t>
                          </w:r>
                          <w:r>
                            <w:rPr>
                              <w:szCs w:val="24"/>
                            </w:rPr>
                            <w:t xml:space="preserve">Reglamento </w:t>
                          </w:r>
                          <w:fldSimple w:instr="HYPERLINK http://eur-lex.europa.eu/legal-content/LIT/TXT/?uri=CELEX:3745R2017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(ES) 2017/745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arba </w:t>
                          </w:r>
                          <w:r>
                            <w:rPr>
                              <w:color w:val="000000"/>
                            </w:rPr>
                            <w:t xml:space="preserve">Reglamento </w:t>
                          </w:r>
                          <w:fldSimple w:instr="HYPERLINK http://eur-lex.europa.eu/legal-content/LIT/TXT/?uri=CELEX:3746R2017&amp;locale=lt \t _blank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(ES) 2017/746</w:t>
                            </w:r>
                          </w:fldSimple>
                          <w:r>
                            <w:rPr>
                              <w:color w:val="000000"/>
                            </w:rPr>
                            <w:t xml:space="preserve"> reikalavimus atitinkančias medicinos priemones.“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7e3d236abca24e878264b9439c3b1ed3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e3d236abca24e878264b9439c3b1ed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36 punktą ir jį išdėstau taip:</w:t>
                  </w:r>
                </w:p>
                <w:sdt>
                  <w:sdtPr>
                    <w:alias w:val="citata"/>
                    <w:tag w:val="part_f52866783b7b4ab9b6619c0b2a70cf81"/>
                    <w:lock w:val="sdtLocked"/>
                    <w:richText/>
                  </w:sdtPr>
                  <w:sdtContent>
                    <w:sdt>
                      <w:sdtPr>
                        <w:alias w:val="36 p."/>
                        <w:tag w:val="part_3af63d19f8f544368ee3086de94dd872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f63d19f8f544368ee3086de94dd87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iCs/>
                                  <w:color w:val="000000"/>
                                  <w:szCs w:val="24"/>
                                </w:rPr>
                                <w:t>36</w:t>
                              </w:r>
                            </w:sdtContent>
                          </w:sdt>
                          <w:r>
                            <w:rPr>
                              <w:iCs/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pacing w:val="-2"/>
                              <w:szCs w:val="24"/>
                            </w:rPr>
                            <w:t xml:space="preserve">Įstaigos vadovas privalo užtikrinti, kad teisinio metrologinio reglamentavimo sritims priskirtų medicinos priemonių, kurių sąrašą tvirtina Ekonomikos ir inovacijų ministras, metrologinė patikra būtų atlikta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metrologinę patikrą nustatančių teisės aktų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d88b0725223b46b58dbd50d6c47295f6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88b0725223b46b58dbd50d6c47295f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38.3 papunktį ir jį išdėstau taip:</w:t>
                  </w:r>
                </w:p>
                <w:sdt>
                  <w:sdtPr>
                    <w:alias w:val="citata"/>
                    <w:tag w:val="part_b4c6db8792ab401e9e89df7fd0d165c9"/>
                    <w:lock w:val="sdtLocked"/>
                    <w:richText/>
                  </w:sdtPr>
                  <w:sdtContent>
                    <w:sdt>
                      <w:sdtPr>
                        <w:alias w:val="38.3 pp."/>
                        <w:tag w:val="part_d3cc5b1d37324d04ab898386fb0a21a4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cc5b1d37324d04ab898386fb0a21a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38.3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CE ženklas ir notifikuotosios įstaigos identifikacinis numeris, jei tai privaloma pagal </w:t>
                          </w:r>
                          <w:r>
                            <w:rPr>
                              <w:szCs w:val="24"/>
                            </w:rPr>
                            <w:t xml:space="preserve">Reglamento </w:t>
                          </w:r>
                          <w:fldSimple w:instr="HYPERLINK http://eur-lex.europa.eu/legal-content/LIT/TXT/?uri=CELEX:3745R2017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(ES) 2017/745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arba </w:t>
                          </w:r>
                          <w:r>
                            <w:rPr>
                              <w:color w:val="000000"/>
                            </w:rPr>
                            <w:t xml:space="preserve">Reglamento </w:t>
                          </w:r>
                          <w:fldSimple w:instr="HYPERLINK http://eur-lex.europa.eu/legal-content/LIT/TXT/?uri=CELEX:3746R2017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(ES) 2017/746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reikalavimus;“.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e14ba6f7f44046329153aac93c78b1ff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14ba6f7f44046329153aac93c78b1f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</w:rPr>
                    <w:t>. Pakeičiu 39 punktą ir jį išdėstau taip:</w:t>
                  </w:r>
                </w:p>
                <w:sdt>
                  <w:sdtPr>
                    <w:alias w:val="citata"/>
                    <w:tag w:val="part_990d91fd950c4411b6712d7301ed6af2"/>
                    <w:lock w:val="sdtLocked"/>
                    <w:richText/>
                  </w:sdtPr>
                  <w:sdtContent>
                    <w:sdt>
                      <w:sdtPr>
                        <w:alias w:val="39 p."/>
                        <w:tag w:val="part_e8e821cffe4b49d78eaa71fa20a18af6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e821cffe4b49d78eaa71fa20a18af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pacing w:val="-3"/>
                                </w:rPr>
                                <w:t>39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3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</w:rPr>
                            <w:t>Įstaiga turi sudaryti ir nuolat pildyti bei atnaujinti šių implantuojamųjų, išskyrus pagamintų pagal užsakymą medicinos priemonių ir chirurginių bei mezoterapinių siūlų, medicinos priemonių apskaitos žurnalus:“.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bec62225edd7404fbb9722b4e33f58a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ec62225edd7404fbb9722b4e33f58a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</w:rPr>
                    <w:t>. Pakeičiu 39.1 papunktį ir jį išdėstau taip:</w:t>
                  </w:r>
                </w:p>
                <w:sdt>
                  <w:sdtPr>
                    <w:alias w:val="citata"/>
                    <w:tag w:val="part_9389321d6f0944b9b949736daf11d4ad"/>
                    <w:lock w:val="sdtLocked"/>
                    <w:richText/>
                  </w:sdtPr>
                  <w:sdtContent>
                    <w:sdt>
                      <w:sdtPr>
                        <w:alias w:val="39.2 pp."/>
                        <w:tag w:val="part_4349d80490314f2c9f99bf146f113714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349d80490314f2c9f99bf146f11371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39.2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odontologinių implantų (išskyrus kabių, dantų plombų, dantų breketų, dantų protezų);“.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35f239d6e05a420fbc6283dafc97150f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5f239d6e05a420fbc6283dafc97150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</w:rPr>
                    <w:t>. Pakeičiu 39.6 papunktį ir jį išdėstau taip:</w:t>
                  </w:r>
                </w:p>
                <w:sdt>
                  <w:sdtPr>
                    <w:alias w:val="citata"/>
                    <w:tag w:val="part_18aa7b7b69074a82a29fab2c4be09b05"/>
                    <w:lock w:val="sdtLocked"/>
                    <w:richText/>
                  </w:sdtPr>
                  <w:sdtContent>
                    <w:sdt>
                      <w:sdtPr>
                        <w:alias w:val="39.6 pp."/>
                        <w:tag w:val="part_c7c6776536734d63b47205b0ae9ee9fa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c6776536734d63b47205b0ae9ee9f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39.6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kitų minkštųjų audinių implantų (išskyrus injekcinių medicinos priemonių).“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52830b1c42444f4e89d2c31f755b4fb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2830b1c42444f4e89d2c31f755b4fb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</w:rPr>
                    <w:t xml:space="preserve">. Pakeičiu </w:t>
                  </w:r>
                  <w:r>
                    <w:rPr>
                      <w:color w:val="000000"/>
                      <w:szCs w:val="24"/>
                    </w:rPr>
                    <w:t>40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punktą ir jį išdėstau taip:</w:t>
                  </w:r>
                </w:p>
                <w:sdt>
                  <w:sdtPr>
                    <w:alias w:val="citata"/>
                    <w:tag w:val="part_b584c900098446ec809cd5207160f82b"/>
                    <w:lock w:val="sdtLocked"/>
                    <w:richText/>
                  </w:sdtPr>
                  <w:sdtContent>
                    <w:sdt>
                      <w:sdtPr>
                        <w:alias w:val="40-1 p."/>
                        <w:tag w:val="part_85250fb6f9fd4176baede40f9be38471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250fb6f9fd4176baede40f9be3847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pacing w:val="-2"/>
                                </w:rPr>
                                <w:t>40</w:t>
                              </w:r>
                              <w:r>
                                <w:rPr>
                                  <w:color w:val="000000"/>
                                  <w:spacing w:val="-2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2"/>
                            </w:rPr>
                            <w:t xml:space="preserve">. Įstaiga Akreditavimo tarnybos nustatyta tvarka turi pateikti informaciją apie naudojamas </w:t>
                          </w:r>
                          <w:r>
                            <w:rPr>
                              <w:szCs w:val="24"/>
                            </w:rPr>
                            <w:t xml:space="preserve">Reglamento </w:t>
                          </w:r>
                          <w:fldSimple w:instr="HYPERLINK http://eur-lex.europa.eu/legal-content/LIT/TXT/?uri=CELEX:3745R2017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(ES) 2017/745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5 straipsnio 5 dalyje ir Reglamento </w:t>
                          </w:r>
                          <w:fldSimple w:instr="HYPERLINK http://eur-lex.europa.eu/legal-content/LIT/TXT/?uri=CELEX:3746R2017&amp;locale=lt \t _blank">
                            <w:r>
                              <w:rPr>
                                <w:szCs w:val="24"/>
                                <w:u w:val="single"/>
                                <w:color w:val="0000FF" w:themeColor="hyperlink"/>
                              </w:rPr>
                              <w:t>(ES) 2017/746</w:t>
                            </w:r>
                          </w:fldSimple>
                          <w:r>
                            <w:rPr>
                              <w:szCs w:val="24"/>
                            </w:rPr>
                            <w:t xml:space="preserve"> 5 straipsnio 5 dalyje nurodytas medicinos priemones.“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p."/>
                <w:tag w:val="part_b89c67e904e34026a82d498b1e4ac425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89c67e904e34026a82d498b1e4ac42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41 punktą ir jį išdėstau taip:</w:t>
                  </w:r>
                </w:p>
                <w:sdt>
                  <w:sdtPr>
                    <w:alias w:val="citata"/>
                    <w:tag w:val="part_1dc19b51c0b049619aa4ad8b94ee3bf4"/>
                    <w:lock w:val="sdtLocked"/>
                    <w:richText/>
                  </w:sdtPr>
                  <w:sdtContent>
                    <w:sdt>
                      <w:sdtPr>
                        <w:alias w:val="41 p."/>
                        <w:tag w:val="part_0db5c1d4bc9f49dfbcaf90b5847cece4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db5c1d4bc9f49dfbcaf90b5847cece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41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Šio aprašo 2 priede nurodytos medicinos priemonės ir laboratoriniai analizatoriai turi turėti medicinos priemonės pasą.“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p."/>
                <w:tag w:val="part_9ceed9bc2a8340308b134bb5e8ae0991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ceed9bc2a8340308b134bb5e8ae099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</w:rPr>
                    <w:t xml:space="preserve">. Papildau  43.6 papunkčiu:</w:t>
                  </w:r>
                </w:p>
                <w:sdt>
                  <w:sdtPr>
                    <w:alias w:val="citata"/>
                    <w:tag w:val="part_9f2dc7e359664bf58daca86e9d16dde2"/>
                    <w:lock w:val="sdtLocked"/>
                    <w:richText/>
                  </w:sdtPr>
                  <w:sdtContent>
                    <w:sdt>
                      <w:sdtPr>
                        <w:alias w:val="43.6 pp."/>
                        <w:tag w:val="part_cee0ad956f6145c58bf7d65a47f7366a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ee0ad956f6145c58bf7d65a47f7366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43.6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i/>
                              <w:iCs/>
                              <w:color w:val="000000"/>
                            </w:rPr>
                            <w:t xml:space="preserve"> In vitro </w:t>
                          </w:r>
                          <w:r>
                            <w:rPr>
                              <w:color w:val="000000"/>
                            </w:rPr>
                            <w:t xml:space="preserve"> diagnostikos medicinos priemonės UDI (išskyrus B, C ir A klasės </w:t>
                          </w:r>
                          <w:r>
                            <w:rPr>
                              <w:i/>
                              <w:iCs/>
                              <w:color w:val="000000"/>
                            </w:rPr>
                            <w:t xml:space="preserve">in vitro </w:t>
                          </w:r>
                          <w:r>
                            <w:rPr>
                              <w:color w:val="000000"/>
                            </w:rPr>
                            <w:t xml:space="preserve"> diagnostikos medicinos priemones</w:t>
                          </w:r>
                          <w:r>
                            <w:t>)</w:t>
                          </w:r>
                          <w:r>
                            <w:rPr>
                              <w:color w:val="000000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2 pp."/>
                <w:tag w:val="part_c16ab1996866499aa312330db65b797c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16ab1996866499aa312330db65b797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1.12</w:t>
                      </w:r>
                    </w:sdtContent>
                  </w:sdt>
                  <w:r>
                    <w:rPr>
                      <w:color w:val="000000"/>
                    </w:rPr>
                    <w:t>. Pakeičiu 43.6 papunktį ir jį išdėstau taip:</w:t>
                  </w:r>
                </w:p>
                <w:sdt>
                  <w:sdtPr>
                    <w:alias w:val="citata"/>
                    <w:tag w:val="part_a3aef313f7064fa494929454a3f73a58"/>
                    <w:lock w:val="sdtLocked"/>
                    <w:richText/>
                  </w:sdtPr>
                  <w:sdtContent>
                    <w:sdt>
                      <w:sdtPr>
                        <w:alias w:val="43.6 pp."/>
                        <w:tag w:val="part_60e505e19ca944aeb44bb6598dfa6903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0e505e19ca944aeb44bb6598dfa690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43.6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i/>
                              <w:iCs/>
                              <w:color w:val="000000"/>
                            </w:rPr>
                            <w:t xml:space="preserve"> In vitro </w:t>
                          </w:r>
                          <w:r>
                            <w:rPr>
                              <w:color w:val="000000"/>
                            </w:rPr>
                            <w:t xml:space="preserve"> diagnostikos medicinos priemonės UDI (išskyrus A klasės </w:t>
                          </w:r>
                          <w:r>
                            <w:rPr>
                              <w:i/>
                              <w:iCs/>
                              <w:color w:val="000000"/>
                            </w:rPr>
                            <w:t xml:space="preserve">in vitro </w:t>
                          </w:r>
                          <w:r>
                            <w:rPr>
                              <w:color w:val="000000"/>
                            </w:rPr>
                            <w:t xml:space="preserve"> diagnostikos medicinos priemones</w:t>
                          </w:r>
                          <w:r>
                            <w:t>)</w:t>
                          </w:r>
                          <w:r>
                            <w:rPr>
                              <w:color w:val="000000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3 pp."/>
                <w:tag w:val="part_a3390f3f411e43b483067a86799714fe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3390f3f411e43b483067a86799714f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1.13</w:t>
                      </w:r>
                    </w:sdtContent>
                  </w:sdt>
                  <w:r>
                    <w:rPr>
                      <w:color w:val="000000"/>
                    </w:rPr>
                    <w:t>. Pakeičiu 43.6 papunktį ir jį išdėstau taip:</w:t>
                  </w:r>
                </w:p>
                <w:sdt>
                  <w:sdtPr>
                    <w:alias w:val="citata"/>
                    <w:tag w:val="part_ec0eae94b93b46c0adc6330d93e618f2"/>
                    <w:lock w:val="sdtLocked"/>
                    <w:richText/>
                  </w:sdtPr>
                  <w:sdtContent>
                    <w:sdt>
                      <w:sdtPr>
                        <w:alias w:val="43.6 pp."/>
                        <w:tag w:val="part_c0b7faaeaed343d1a71959054c24affa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0b7faaeaed343d1a71959054c24aff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43.6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i/>
                              <w:iCs/>
                              <w:color w:val="000000"/>
                            </w:rPr>
                            <w:t xml:space="preserve"> In vitro </w:t>
                          </w:r>
                          <w:r>
                            <w:rPr>
                              <w:color w:val="000000"/>
                            </w:rPr>
                            <w:t xml:space="preserve"> diagnostikos medicinos priemonės UDI.“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4 pp."/>
                <w:tag w:val="part_ec61ad7981ae44789d7eb70dbda3a1f1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c61ad7981ae44789d7eb70dbda3a1f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1.14</w:t>
                      </w:r>
                    </w:sdtContent>
                  </w:sdt>
                  <w:r>
                    <w:rPr>
                      <w:color w:val="000000"/>
                    </w:rPr>
                    <w:t xml:space="preserve">. Pripažįstu netekusiu galios 3 priedą. </w:t>
                  </w:r>
                </w:p>
              </w:sdtContent>
            </w:sdt>
          </w:sdtContent>
        </w:sdt>
        <w:sdt>
          <w:sdtPr>
            <w:alias w:val="2 p."/>
            <w:tag w:val="part_bf39eee855b34a65beb4f16bb6e08fb9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f39eee855b34a65beb4f16bb6e08fb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 u s t a t a u, kad:</w:t>
              </w:r>
            </w:p>
            <w:sdt>
              <w:sdtPr>
                <w:alias w:val="2.1 pp."/>
                <w:tag w:val="part_0f4435c6147f45c487004bea345b30a9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0f4435c6147f45c487004bea345b30a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šis </w:t>
                  </w:r>
                  <w:r>
                    <w:t>įsakymas, išskyrus 1.10 – 1.14 papunkčius ir 2 punktą, įsigalioja 2022 m. gegužės 26 d.</w:t>
                  </w:r>
                </w:p>
              </w:sdtContent>
            </w:sdt>
            <w:sdt>
              <w:sdtPr>
                <w:alias w:val="2.2 pp."/>
                <w:tag w:val="part_8fa718e19b5e43f2a94aca4eb30f5cc8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8fa718e19b5e43f2a94aca4eb30f5cc8"/>
                      <w:lock w:val="sdtLocked"/>
                      <w:richText/>
                    </w:sdtPr>
                    <w:sdtContent>
                      <w:r>
                        <w:t>2.2</w:t>
                      </w:r>
                    </w:sdtContent>
                  </w:sdt>
                  <w:r>
                    <w:t xml:space="preserve">. šio įsakymo </w:t>
                  </w:r>
                  <w:r>
                    <w:rPr>
                      <w:color w:val="000000"/>
                      <w:szCs w:val="24"/>
                    </w:rPr>
                    <w:t xml:space="preserve">1.11 papunktis įsigalioja </w:t>
                  </w:r>
                  <w:r>
                    <w:t>2023 m. gegužės 26 d.;</w:t>
                  </w:r>
                </w:p>
              </w:sdtContent>
            </w:sdt>
            <w:sdt>
              <w:sdtPr>
                <w:alias w:val="2.3 pp."/>
                <w:tag w:val="part_e12a1799c11c408cb4c291080aa351a3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e12a1799c11c408cb4c291080aa351a3"/>
                      <w:lock w:val="sdtLocked"/>
                      <w:richText/>
                    </w:sdtPr>
                    <w:sdtContent>
                      <w:r>
                        <w:t>2.3</w:t>
                      </w:r>
                    </w:sdtContent>
                  </w:sdt>
                  <w:r>
                    <w:t>. šio įsakymo 1.12 papunktis įsigalioja 2025 m. gegužės 26 d.;</w:t>
                  </w:r>
                </w:p>
              </w:sdtContent>
            </w:sdt>
            <w:sdt>
              <w:sdtPr>
                <w:alias w:val="2.4 pp."/>
                <w:tag w:val="part_554db87b56954bf28a0e06d2add07cf5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554db87b56954bf28a0e06d2add07cf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šio įsakymo 1.13 papunktis įsigalioja 2027 m. gegužės 26 d.</w:t>
                  </w:r>
                </w:p>
                <w:p>
                  <w:pPr>
                    <w:widowControl w:val="0"/>
                    <w:tabs>
                      <w:tab w:val="right" w:pos="9498"/>
                    </w:tabs>
                  </w:pPr>
                </w:p>
                <w:p>
                  <w:pPr>
                    <w:widowControl w:val="0"/>
                    <w:tabs>
                      <w:tab w:val="right" w:pos="9498"/>
                    </w:tabs>
                  </w:pPr>
                </w:p>
              </w:sdtContent>
            </w:sdt>
          </w:sdtContent>
        </w:sdt>
        <w:sdt>
          <w:sdtPr>
            <w:alias w:val="signatura"/>
            <w:tag w:val="part_8741da15564347f7a1c1bdff63eb57ba"/>
            <w:lock w:val="sdtLocked"/>
            <w:richText/>
          </w:sdtPr>
          <w:sdtContent>
            <w:p>
              <w:pPr>
                <w:widowControl w:val="0"/>
                <w:tabs>
                  <w:tab w:val="right" w:pos="9498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</w:t>
                <w:tab/>
                <w:t>Arūnas Dulkys</w:t>
              </w:r>
            </w:p>
            <w:p>
              <w:pPr>
                <w:widowControl w:val="0"/>
                <w:tabs>
                  <w:tab w:val="right" w:pos="9498"/>
                </w:tabs>
                <w:rPr>
                  <w:szCs w:val="24"/>
                  <w:lang w:eastAsia="lt-LT"/>
                </w:rPr>
              </w:pPr>
            </w:p>
            <w:p>
              <w:pPr>
                <w:rPr>
                  <w:rFonts w:ascii="Calibri" w:hAnsi="Calibri" w:cs="Calibri"/>
                  <w:sz w:val="22"/>
                  <w:szCs w:val="22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Skelbti Teisės aktų registre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59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 w:val="22"/>
                  <w:szCs w:val="22"/>
                  <w:lang w:eastAsia="lt-LT"/>
                </w:rPr>
                <w:t>Parengė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567" w:bottom="1134" w:left="1701" w:header="709" w:footer="709" w:gutter="0"/>
      <w:cols w:space="708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3</w:t>
    </w:r>
    <w:r>
      <w:fldChar w:fldCharType="end"/>
    </w:r>
  </w:p>
  <w:p>
    <w:pPr>
      <w:tabs>
        <w:tab w:val="center" w:pos="4986"/>
        <w:tab w:val="right" w:pos="9972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6F1FFC9-AD8C-481E-99B0-1119C37F5FD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30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21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564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18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5581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8906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688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950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5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99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337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040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242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2738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4109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f1f8a34d2bd447c9257dca1be6b1271" PartId="8a3e3071a1794b7c86748f5740f67066">
    <Part Type="punktas" Nr="1" Abbr="1 p." DocPartId="2b1a31d5b6564718a1f281e7796e789e" PartId="9722ba16af7f4635b9caa065d113d956">
      <Part Type="papunktis" Nr="1.1" Abbr="1.1 pp." DocPartId="b624e193940249088ad4b8b1a21f76b3" PartId="1a073a25057a4e1a814e7708f8a25c9a">
        <Part Type="citata" DocPartId="f631a3421fcd42bb8a1d58ea07881c4b" PartId="d473d65e11294ccc9b065c210c5bd267">
          <Part Type="punktas" Nr="3" Abbr="3 p." DocPartId="adc4690ca3c7441384495c7bade88955" PartId="5273279533f44fc185f169db4054d094"/>
        </Part>
      </Part>
      <Part Type="papunktis" Nr="1.2" Abbr="1.2 pp." DocPartId="ae925a5926bb4b4c88437fb0b42d5814" PartId="09a096de38934dd58017af724adbda7b">
        <Part Type="citata" DocPartId="3a1b22ea95114beca7a3ad8337effdb0" PartId="c705a02d05094e1fb8bafcefe438d9b9">
          <Part Type="punktas" Nr="5" Abbr="5 p." DocPartId="5b1615f20cf942cbbebc76bf9022fd26" PartId="0437d6efcfac45d38456d5902aa83cb4"/>
        </Part>
      </Part>
      <Part Type="papunktis" Nr="1.3" Abbr="1.3 pp." DocPartId="68fe090d700c45619a9ef3937d2dbd9f" PartId="55aebe63df504e9f8c1af162119f2454">
        <Part Type="citata" DocPartId="8e1eb6349c7346b6b708a7ced8181148" PartId="1054fbc68fbf4ff39a67cf3509ddf9ff">
          <Part Type="punktas" Nr="6" Abbr="6 p." DocPartId="df365baa77344358953941348428a15c" PartId="10d4efa4fef34aefb9cafefb5afc3cb0"/>
        </Part>
      </Part>
      <Part Type="papunktis" Nr="1.4" Abbr="1.4 pp." DocPartId="564efe8e3f1a4a4d92bdb1a2dbd846ad" PartId="7e3d236abca24e878264b9439c3b1ed3">
        <Part Type="citata" DocPartId="f3ce7e87a2054b5d8cd77e6cf07afff9" PartId="f52866783b7b4ab9b6619c0b2a70cf81">
          <Part Type="punktas" Nr="36" Abbr="36 p." DocPartId="623e33f7873941fc8d2d509f743dfcef" PartId="3af63d19f8f544368ee3086de94dd872"/>
        </Part>
      </Part>
      <Part Type="papunktis" Nr="1.5" Abbr="1.5 pp." DocPartId="f9719501efb8456baf1912e7adf9925a" PartId="d88b0725223b46b58dbd50d6c47295f6">
        <Part Type="citata" DocPartId="9d63efeed79d4dffa6678e31ffd75c30" PartId="b4c6db8792ab401e9e89df7fd0d165c9">
          <Part Type="papunktis" Nr="38.3" Abbr="38.3 pp." DocPartId="1dbd0014598644dca1e5f405feb945a6" PartId="d3cc5b1d37324d04ab898386fb0a21a4"/>
        </Part>
      </Part>
      <Part Type="papunktis" Nr="1.6" Abbr="1.6 pp." DocPartId="47663946c04748629555e588d8f1a298" PartId="e14ba6f7f44046329153aac93c78b1ff">
        <Part Type="citata" DocPartId="071525c33b854d9690fdae4ee3d20458" PartId="990d91fd950c4411b6712d7301ed6af2">
          <Part Type="punktas" Nr="39" Abbr="39 p." DocPartId="fe4c93f062124c00be2792b52eb46543" PartId="e8e821cffe4b49d78eaa71fa20a18af6"/>
        </Part>
      </Part>
      <Part Type="papunktis" Nr="1.7" Abbr="1.7 pp." DocPartId="1aafba8627fb4f169b32d70f8d07b6ff" PartId="bec62225edd7404fbb9722b4e33f58aa">
        <Part Type="citata" DocPartId="d287776ede49471b8283cce04355d194" PartId="9389321d6f0944b9b949736daf11d4ad">
          <Part Type="papunktis" Nr="39.2" Abbr="39.2 pp." DocPartId="d215bb03b3aa4540927d075c40c48357" PartId="4349d80490314f2c9f99bf146f113714"/>
        </Part>
      </Part>
      <Part Type="papunktis" Nr="1.8" Abbr="1.8 pp." DocPartId="0f6a54c764b24cef9b4c409220b1f63e" PartId="35f239d6e05a420fbc6283dafc97150f">
        <Part Type="citata" DocPartId="b49c093f57094acc99ddc9743146852e" PartId="18aa7b7b69074a82a29fab2c4be09b05">
          <Part Type="papunktis" Nr="39.6" Abbr="39.6 pp." DocPartId="10e943da50e141f98be11c73f38653e6" PartId="c7c6776536734d63b47205b0ae9ee9fa"/>
        </Part>
      </Part>
      <Part Type="papunktis" Nr="1.9" Abbr="1.9 pp." DocPartId="68826db157394519a11c4ace66f98bfd" PartId="52830b1c42444f4e89d2c31f755b4fba">
        <Part Type="citata" DocPartId="0bd6883b7d14416989aa948860fb56e8" PartId="b584c900098446ec809cd5207160f82b">
          <Part Type="punktas" Nr="40-1" Abbr="40-1 p." DocPartId="55e4057b7219453ea7502f1522e1e6f9" PartId="85250fb6f9fd4176baede40f9be38471"/>
        </Part>
      </Part>
      <Part Type="papunktis" Nr="1.10" Abbr="1.10 pp." DocPartId="9deaf199803641b9a61b382f5c5f3f8d" PartId="b89c67e904e34026a82d498b1e4ac425">
        <Part Type="citata" DocPartId="0a0977e581b54513a15cbd49721157b4" PartId="1dc19b51c0b049619aa4ad8b94ee3bf4">
          <Part Type="punktas" Nr="41" Abbr="41 p." DocPartId="a206228c3dd941eebaa02f20a21dffa9" PartId="0db5c1d4bc9f49dfbcaf90b5847cece4"/>
        </Part>
      </Part>
      <Part Type="papunktis" Nr="1.11" Abbr="1.11 pp." DocPartId="37f8967534a441818fb02a6e01329cf9" PartId="9ceed9bc2a8340308b134bb5e8ae0991">
        <Part Type="citata" DocPartId="b2ab200a901f484f8b88b0c4fa83a581" PartId="9f2dc7e359664bf58daca86e9d16dde2">
          <Part Type="papunktis" Nr="43.6" Abbr="43.6 pp." DocPartId="2e7301b79127410e9e66ba179cb4debf" PartId="cee0ad956f6145c58bf7d65a47f7366a"/>
        </Part>
      </Part>
      <Part Type="papunktis" Nr="1.12" Abbr="1.12 pp." DocPartId="706f1eb1b12f4ab2aa92d70cb0649b32" PartId="c16ab1996866499aa312330db65b797c">
        <Part Type="citata" DocPartId="c009ecb280ef4370b8f16ab09e40fcaf" PartId="a3aef313f7064fa494929454a3f73a58">
          <Part Type="papunktis" Nr="43.6" Abbr="43.6 pp." DocPartId="1bd9996d081d4594953714d1d9d847c1" PartId="60e505e19ca944aeb44bb6598dfa6903"/>
        </Part>
      </Part>
      <Part Type="papunktis" Nr="1.13" Abbr="1.13 pp." DocPartId="fb8d9020ec9343ba9a4c77e8ddd565cf" PartId="a3390f3f411e43b483067a86799714fe">
        <Part Type="citata" DocPartId="840f0b6e65a54daebff8e8a233426f6e" PartId="ec0eae94b93b46c0adc6330d93e618f2">
          <Part Type="papunktis" Nr="43.6" Abbr="43.6 pp." DocPartId="8521023e38f84b78995900a3f406fbd1" PartId="c0b7faaeaed343d1a71959054c24affa"/>
        </Part>
      </Part>
      <Part Type="papunktis" Nr="1.14" Abbr="1.14 pp." DocPartId="d33bba4a4e0a4a4db1ce5d369d8f7e40" PartId="ec61ad7981ae44789d7eb70dbda3a1f1"/>
    </Part>
    <Part Type="punktas" Nr="2" Abbr="2 p." DocPartId="f0dc428ec1f84a539a612281bef59d57" PartId="bf39eee855b34a65beb4f16bb6e08fb9">
      <Part Type="papunktis" Nr="2.1" Abbr="2.1 pp." DocPartId="f22844ec24774284852e964e16013f79" PartId="0f4435c6147f45c487004bea345b30a9"/>
      <Part Type="papunktis" Nr="2.2" Abbr="2.2 pp." DocPartId="5d22c40913cc446f836582b101b7794c" PartId="8fa718e19b5e43f2a94aca4eb30f5cc8"/>
      <Part Type="papunktis" Nr="2.3" Abbr="2.3 pp." DocPartId="2deb54044608411293f911cfae6dcc46" PartId="e12a1799c11c408cb4c291080aa351a3"/>
      <Part Type="papunktis" Nr="2.4" Abbr="2.4 pp." DocPartId="f18dabb9f39e461cad67555605d78c1a" PartId="554db87b56954bf28a0e06d2add07cf5"/>
    </Part>
    <Part Type="signatura" DocPartId="5002820c7ce5444b9776f3409f147925" PartId="8741da15564347f7a1c1bdff63eb57ba"/>
  </Part>
</Parts>
</file>

<file path=customXml/itemProps1.xml><?xml version="1.0" encoding="utf-8"?>
<ds:datastoreItem xmlns:ds="http://schemas.openxmlformats.org/officeDocument/2006/customXml" ds:itemID="{54731187-D1EE-4797-BC73-0EBEB6478F4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44C20B-A8A6-4605-8713-4FD23DE089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541</Words>
  <Characters>3425</Characters>
  <Application>Microsoft Office Word</Application>
  <DocSecurity>4</DocSecurity>
  <Lines>92</Lines>
  <Paragraphs>48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>Teisines informacijos centras</Company>
  <LinksUpToDate>false</LinksUpToDate>
  <CharactersWithSpaces>3918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2022-02-08T08:50:00Z</dcterms:created>
  <dc:creator>Sandra</dc:creator>
  <lastModifiedBy>adlibuser</lastModifiedBy>
  <lastPrinted>2020-03-24T07:14:00Z</lastPrinted>
  <dcterms:modified xsi:type="dcterms:W3CDTF">2022-02-08T08:50:00Z</dcterms:modified>
  <revision>2</revision>
  <dc:title>LIETUVOS RESPUBLIKOS SVEIKATOS APSAUGOS MINISTRO</dc:title>
</coreProperties>
</file>