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b90eb9636149f7bcd91f3a318f8be6"/>
        <w:lock w:val="sdtLocked"/>
        <w:richText/>
      </w:sdtPr>
      <w:sdtContent>
        <w:p w14:paraId="1B6034ED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 w:cs="Tahoma"/>
              <w:sz w:val="20"/>
              <w:lang w:eastAsia="hi-IN" w:bidi="hi-IN"/>
            </w:rPr>
          </w:pPr>
        </w:p>
        <w:p w14:paraId="528EF8B3" w14:textId="77777777">
          <w:pPr>
            <w:widowControl w:val="0"/>
            <w:suppressAutoHyphens/>
            <w:jc w:val="right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Projektas</w:t>
          </w:r>
        </w:p>
        <w:p w14:paraId="528EF8B4" w14:textId="77777777">
          <w:pPr>
            <w:keepNext/>
            <w:widowControl w:val="0"/>
            <w:suppressAutoHyphens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</w:p>
        <w:p w14:paraId="528EF8B5" w14:textId="77777777">
          <w:pPr>
            <w:keepNext/>
            <w:widowControl w:val="0"/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ŠIAULIŲ MIESTO SAVIVALDYBĖS TARYBA</w:t>
          </w:r>
        </w:p>
        <w:p w14:paraId="528EF8B6" w14:textId="77777777"/>
        <w:p w14:paraId="528EF8B7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SPRENDIMAS</w:t>
          </w:r>
        </w:p>
        <w:p w14:paraId="528EF8B8" w14:textId="61A110D6">
          <w:pPr>
            <w:widowControl w:val="0"/>
            <w:tabs>
              <w:tab w:val="left" w:pos="6792"/>
            </w:tabs>
            <w:suppressAutoHyphens/>
            <w:ind w:left="709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DĖL ŠIAULIŲ</w:t>
          </w:r>
          <w:r>
            <w:rPr>
              <w:b/>
              <w:bCs/>
              <w:szCs w:val="24"/>
              <w:lang w:eastAsia="ar-SA"/>
            </w:rPr>
            <w:t xml:space="preserve"> TENISO AKADEMIJOS </w:t>
          </w: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NUOSTATŲ PATVIRTINIMO</w:t>
          </w:r>
        </w:p>
        <w:p w14:paraId="528EF8B9" w14:textId="77777777">
          <w:pPr>
            <w:widowControl w:val="0"/>
            <w:tabs>
              <w:tab w:val="left" w:pos="6792"/>
            </w:tabs>
            <w:suppressAutoHyphens/>
            <w:ind w:left="709" w:firstLine="124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</w:p>
        <w:p w14:paraId="528EF8BA" w14:textId="27BE4A40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 xml:space="preserve">2025 m.                  d. Nr. T-</w:t>
          </w:r>
        </w:p>
        <w:p w14:paraId="528EF8BB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>Šiauliai</w:t>
          </w:r>
        </w:p>
        <w:p w14:paraId="1883078A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</w:p>
        <w:sdt>
          <w:sdtPr>
            <w:alias w:val="preambule"/>
            <w:tag w:val="part_8a3aa8c28b314294b7abfbe83b3fe8f1"/>
            <w:lock w:val="sdtLocked"/>
            <w:richText/>
          </w:sdtPr>
          <w:sdtContent>
            <w:p w14:paraId="70D09E49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 punktu, Lietuvos Respublikos biudžetinių įstaigų įstatymo 5 straipsnio 3 dalies 1 punktu, 4 dalimi, 7 straipsniu,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09e2567635bf485f8477d1d77f5135ba"/>
            <w:lock w:val="sdtLocked"/>
            <w:richText/>
          </w:sdtPr>
          <w:sdtContent>
            <w:p w14:paraId="528EF8BF" w14:textId="2D45D217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09e2567635bf485f8477d1d77f5135b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Patvirtinti Šiaulių teniso akademijos nuostatus (pridedama).</w:t>
              </w:r>
            </w:p>
          </w:sdtContent>
        </w:sdt>
        <w:sdt>
          <w:sdtPr>
            <w:alias w:val="2 p."/>
            <w:tag w:val="part_45f5a2869ec4499fac9088f10fb39e1d"/>
            <w:lock w:val="sdtLocked"/>
            <w:richText/>
          </w:sdtPr>
          <w:sdtContent>
            <w:p w14:paraId="5E46C53A" w14:textId="354D6949">
              <w:pPr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45f5a2869ec4499fac9088f10fb39e1d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Pripažinti netekusiu galios Šiaulių miesto savivaldybės tarybos 2024 m. gegužės 2 d. sprendimą Nr. T-168 „Dėl Šiaulių teniso akademijos nuostatų patvirtinimo“.</w:t>
              </w:r>
            </w:p>
          </w:sdtContent>
        </w:sdt>
        <w:sdt>
          <w:sdtPr>
            <w:alias w:val="3 p."/>
            <w:tag w:val="part_1047666edf374382a3e00f7ecc749231"/>
            <w:lock w:val="sdtLocked"/>
            <w:richText/>
          </w:sdtPr>
          <w:sdtContent>
            <w:p w14:paraId="16B46DCD" w14:textId="3F7B4C60">
              <w:pPr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1047666edf374382a3e00f7ecc749231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Įgalioti Šiaulių teniso akademijos direktorių pateikti Juridinių asmenų registrui šio sprendimo identifikacinį kodą Teisės aktų registre per 30 dienų nuo šio sprendimo įsigaliojimo dienos.</w:t>
              </w:r>
            </w:p>
            <w:p w14:paraId="528EF8D0" w14:textId="47CE5856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  <w:br/>
                <w:br/>
                <w:br/>
                <w:br/>
              </w:r>
            </w:p>
          </w:sdtContent>
        </w:sdt>
        <w:sdt>
          <w:sdtPr>
            <w:alias w:val="signatura"/>
            <w:tag w:val="part_eaffd98f2ac04ae79ebfa806ab70c4c7"/>
            <w:lock w:val="sdtLocked"/>
            <w:richText/>
          </w:sdtPr>
          <w:sdtContent>
            <w:p w14:paraId="528EF8D1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Savivaldybės meras</w:t>
              </w:r>
            </w:p>
            <w:p w14:paraId="528EF8D2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3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4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EF8837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endnote>
  <w:endnote w:type="continuationSeparator" w:id="0">
    <w:p w14:paraId="4DA4F6D8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EAC40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5E9917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A48079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D7665F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footnote>
  <w:footnote w:type="continuationSeparator" w:id="0">
    <w:p w14:paraId="6FE733C0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F20CE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EF8D9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</w:p>
  <w:p w14:paraId="528EF8DA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  <w:r>
      <w:rPr>
        <w:rFonts w:eastAsia="Lucida Sans Unicode" w:cs="Tahoma"/>
        <w:szCs w:val="24"/>
        <w:lang w:eastAsia="hi-IN" w:bidi="hi-IN"/>
      </w:rPr>
      <w:fldChar w:fldCharType="begin"/>
    </w:r>
    <w:r>
      <w:rPr>
        <w:rFonts w:eastAsia="Lucida Sans Unicode" w:cs="Tahoma"/>
        <w:sz w:val="20"/>
        <w:lang w:eastAsia="hi-IN" w:bidi="hi-IN"/>
      </w:rPr>
      <w:instrText>PAGE</w:instrText>
    </w:r>
    <w:r>
      <w:rPr>
        <w:rFonts w:eastAsia="Lucida Sans Unicode" w:cs="Tahoma"/>
        <w:sz w:val="20"/>
        <w:lang w:eastAsia="hi-IN" w:bidi="hi-IN"/>
      </w:rPr>
      <w:fldChar w:fldCharType="separate"/>
    </w:r>
    <w:r>
      <w:rPr>
        <w:rFonts w:eastAsia="Lucida Sans Unicode" w:cs="Tahoma"/>
        <w:sz w:val="20"/>
        <w:lang w:eastAsia="hi-IN" w:bidi="hi-IN"/>
      </w:rPr>
      <w:t>2</w:t>
    </w:r>
    <w:r>
      <w:rPr>
        <w:rFonts w:eastAsia="Lucida Sans Unicode" w:cs="Tahoma"/>
        <w:sz w:val="20"/>
        <w:lang w:eastAsia="hi-IN" w:bidi="hi-IN"/>
      </w:rPr>
      <w:fldChar w:fldCharType="end"/>
    </w:r>
  </w:p>
  <w:p w14:paraId="528EF8DB" w14:textId="77777777">
    <w:pPr>
      <w:widowControl w:val="0"/>
      <w:suppressAutoHyphens/>
      <w:jc w:val="right"/>
      <w:rPr>
        <w:rFonts w:eastAsia="Lucida Sans Unicode" w:cs="Tahoma"/>
        <w:b/>
        <w:szCs w:val="24"/>
        <w:lang w:eastAsia="hi-IN" w:bidi="hi-I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AD90C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F8B3"/>
  <w15:docId w15:val="{DCDA0546-312D-4A14-88B6-85491E25BD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318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ec14d6c94744f4584e0123f8aa9eef2" PartId="f3b90eb9636149f7bcd91f3a318f8be6">
    <Part Type="preambule" DocPartId="81ce9d5e04b841d5b649f0def87f3e84" PartId="8a3aa8c28b314294b7abfbe83b3fe8f1"/>
    <Part Type="punktas" Nr="1" Abbr="1 p." DocPartId="70f5263ab81c46359365e3091955e27f" PartId="09e2567635bf485f8477d1d77f5135ba"/>
    <Part Type="punktas" Nr="2" Abbr="2 p." DocPartId="0935bc1e003a4af7ae84953c95038c67" PartId="45f5a2869ec4499fac9088f10fb39e1d"/>
    <Part Type="punktas" Nr="3" Abbr="3 p." DocPartId="2221cbc26ff54d01ad532d3059541c68" PartId="1047666edf374382a3e00f7ecc749231"/>
    <Part Type="signatura" DocPartId="eb77a63f89d741a989c3a09909bfb6db" PartId="eaffd98f2ac04ae79ebfa806ab70c4c7"/>
  </Part>
</Parts>
</file>

<file path=customXml/itemProps1.xml><?xml version="1.0" encoding="utf-8"?>
<ds:datastoreItem xmlns:ds="http://schemas.openxmlformats.org/officeDocument/2006/customXml" ds:itemID="{C1FD01B2-3439-4AA4-B78A-6C4F4D54FE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160A6A-0DC3-429D-BCB9-F5CB04142F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743</Characters>
  <Application>Microsoft Office Word</Application>
  <DocSecurity>4</DocSecurity>
  <Lines>28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840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2025-03-10T12:39:00Z</dcterms:created>
  <dc:creator>d.palkeviciene</dc:creator>
  <dc:language>en-US</dc:language>
  <lastModifiedBy>adlibuser</lastModifiedBy>
  <lastPrinted>2020-08-12T10:33:00Z</lastPrinted>
  <dcterms:modified xsi:type="dcterms:W3CDTF">2025-03-10T12:39:00Z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