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8a0d5f9d6042fb8bd791d488d30786"/>
        <w:lock w:val="sdtLocked"/>
        <w:richText/>
      </w:sdtPr>
      <w:sdtContent>
        <w:p w14:paraId="7486240D" w14:textId="77777777">
          <w:pPr>
            <w:tabs>
              <w:tab w:val="center" w:pos="4819"/>
              <w:tab w:val="right" w:pos="9638"/>
            </w:tabs>
            <w:suppressAutoHyphens/>
            <w:rPr>
              <w:rFonts w:cs="Calibri"/>
              <w:lang w:val="en-GB" w:eastAsia="ar-SA"/>
            </w:rPr>
          </w:pPr>
        </w:p>
        <w:p w14:paraId="79796653" w14:textId="77777777">
          <w:pPr>
            <w:tabs>
              <w:tab w:val="center" w:pos="4819"/>
              <w:tab w:val="right" w:pos="9638"/>
            </w:tabs>
            <w:suppressAutoHyphens/>
            <w:jc w:val="right"/>
            <w:rPr>
              <w:rFonts w:cs="Calibri"/>
              <w:b/>
              <w:bCs/>
              <w:lang w:eastAsia="ar-SA"/>
            </w:rPr>
          </w:pPr>
          <w:r>
            <w:rPr>
              <w:rFonts w:cs="Calibri"/>
              <w:b/>
              <w:bCs/>
              <w:lang w:eastAsia="ar-SA"/>
            </w:rPr>
            <w:t>Projektas</w:t>
          </w:r>
        </w:p>
        <w:p w14:paraId="2A2E3922" w14:textId="30D75AF3">
          <w:pPr>
            <w:keepNext/>
            <w:tabs>
              <w:tab w:val="num" w:pos="432"/>
            </w:tabs>
            <w:suppressAutoHyphens/>
            <w:ind w:left="432" w:hanging="432"/>
            <w:jc w:val="center"/>
            <w:rPr>
              <w:b/>
              <w:bCs/>
              <w:szCs w:val="24"/>
              <w:lang w:eastAsia="ar-SA"/>
            </w:rPr>
          </w:pPr>
        </w:p>
        <w:p w14:paraId="50C8DAD7" w14:textId="77777777">
          <w:pPr>
            <w:suppressAutoHyphens/>
            <w:rPr>
              <w:rFonts w:cs="Calibri"/>
              <w:lang w:eastAsia="ar-SA"/>
            </w:rPr>
          </w:pPr>
        </w:p>
        <w:p w14:paraId="578C049C" w14:textId="2F1A9761">
          <w:pPr>
            <w:keepNext/>
            <w:tabs>
              <w:tab w:val="num" w:pos="432"/>
            </w:tabs>
            <w:suppressAutoHyphens/>
            <w:ind w:left="432" w:hanging="432"/>
            <w:jc w:val="center"/>
            <w:rPr>
              <w:b/>
              <w:bCs/>
              <w:szCs w:val="24"/>
              <w:lang w:eastAsia="ar-SA"/>
            </w:rPr>
          </w:pPr>
          <w:r>
            <w:rPr>
              <w:b/>
              <w:bCs/>
              <w:szCs w:val="24"/>
              <w:lang w:eastAsia="ar-SA"/>
            </w:rPr>
            <w:t>ŠIAULIŲ MIESTO SAVIVALDYBĖS TARYBA</w:t>
          </w:r>
        </w:p>
        <w:p w14:paraId="3199BDF3" w14:textId="77777777">
          <w:pPr>
            <w:suppressAutoHyphens/>
            <w:jc w:val="center"/>
            <w:rPr>
              <w:rFonts w:cs="Calibri"/>
              <w:szCs w:val="24"/>
              <w:lang w:eastAsia="ar-SA"/>
            </w:rPr>
          </w:pPr>
        </w:p>
        <w:p w14:paraId="7218CE9E" w14:textId="77777777">
          <w:pPr>
            <w:keepNext/>
            <w:tabs>
              <w:tab w:val="num" w:pos="432"/>
            </w:tabs>
            <w:suppressAutoHyphens/>
            <w:ind w:left="432" w:hanging="432"/>
            <w:jc w:val="center"/>
            <w:rPr>
              <w:b/>
              <w:bCs/>
              <w:szCs w:val="24"/>
              <w:lang w:eastAsia="ar-SA"/>
            </w:rPr>
          </w:pPr>
          <w:r>
            <w:rPr>
              <w:b/>
              <w:bCs/>
              <w:szCs w:val="24"/>
              <w:lang w:eastAsia="ar-SA"/>
            </w:rPr>
            <w:t>SPRENDIMAS</w:t>
          </w:r>
        </w:p>
        <w:p w14:paraId="3CBB7E35" w14:textId="1925BFBE">
          <w:pPr>
            <w:keepNext/>
            <w:tabs>
              <w:tab w:val="left" w:pos="1296"/>
            </w:tabs>
            <w:suppressAutoHyphens/>
            <w:ind w:left="432"/>
            <w:jc w:val="center"/>
            <w:rPr>
              <w:b/>
              <w:bCs/>
              <w:szCs w:val="24"/>
              <w:lang w:eastAsia="ar-SA"/>
            </w:rPr>
          </w:pPr>
          <w:r>
            <w:rPr>
              <w:b/>
              <w:bCs/>
              <w:szCs w:val="24"/>
              <w:lang w:eastAsia="ar-SA"/>
            </w:rPr>
            <w:t xml:space="preserve">DĖL ŠIAULIŲ MIESTO SAVIVALDYBĖS TARYBOS 2022 M. LIEPOS 7 D. SPRENDIMO NR. T-285 „DĖL ŽEMĖS NUOMOS MOKESČIO IR PRIEDO UŽ VALSTYBINĖS ŽEMĖS NUOMĄ IR NAUDOJIMĄ APSKAIČIAVIMO, MOKĖJIMO IR APSKAITOS TAISYKLIŲ PATVIRTINIMO“ PAKEITIMO </w:t>
          </w:r>
        </w:p>
        <w:p w14:paraId="7FE58600" w14:textId="77777777">
          <w:pPr>
            <w:suppressAutoHyphens/>
            <w:rPr>
              <w:rFonts w:cs="Calibri"/>
              <w:szCs w:val="24"/>
              <w:lang w:eastAsia="ar-SA"/>
            </w:rPr>
          </w:pPr>
        </w:p>
        <w:p w14:paraId="2352AA88" w14:textId="471D4406">
          <w:pPr>
            <w:suppressAutoHyphens/>
            <w:jc w:val="center"/>
            <w:rPr>
              <w:rFonts w:cs="Calibri"/>
              <w:szCs w:val="24"/>
              <w:lang w:eastAsia="ar-SA"/>
            </w:rPr>
          </w:pPr>
          <w:r>
            <w:rPr>
              <w:rFonts w:cs="Calibri"/>
              <w:szCs w:val="24"/>
              <w:lang w:eastAsia="ar-SA"/>
            </w:rPr>
            <w:t xml:space="preserve">2025 m.                d. Nr. T-</w:t>
          </w:r>
        </w:p>
        <w:p w14:paraId="3564F90D" w14:textId="77777777">
          <w:pPr>
            <w:suppressAutoHyphens/>
            <w:jc w:val="center"/>
            <w:rPr>
              <w:rFonts w:cs="Calibri"/>
              <w:szCs w:val="24"/>
              <w:lang w:eastAsia="ar-SA"/>
            </w:rPr>
          </w:pPr>
          <w:r>
            <w:rPr>
              <w:rFonts w:cs="Calibri"/>
              <w:szCs w:val="24"/>
              <w:lang w:eastAsia="ar-SA"/>
            </w:rPr>
            <w:t>Šiauliai</w:t>
          </w:r>
        </w:p>
        <w:p w14:paraId="7DB332CC" w14:textId="77777777">
          <w:pPr>
            <w:suppressAutoHyphens/>
            <w:jc w:val="both"/>
            <w:rPr>
              <w:rFonts w:cs="Calibri"/>
              <w:szCs w:val="24"/>
              <w:lang w:eastAsia="ar-SA"/>
            </w:rPr>
          </w:pPr>
        </w:p>
        <w:sdt>
          <w:sdtPr>
            <w:alias w:val="preambule"/>
            <w:tag w:val="part_8360b9102a194351869b4f91310fab38"/>
            <w:lock w:val="sdtLocked"/>
            <w:richText/>
          </w:sdtPr>
          <w:sdtContent>
            <w:p w14:paraId="3FFCAB74" w14:textId="6EC8F2DC">
              <w:pPr>
                <w:ind w:firstLine="629"/>
                <w:jc w:val="both"/>
              </w:pPr>
              <w:r>
                <w:t>Vadovaudamasi Lietuvos Respublikos vietos savivaldos įstatymo 15 straipsnio 2 dalies 28 punktu, 16 straipsnio 1 dalimi, Kitos paskirties valstybinės žemės sklypų, parduodamų ar išnuomojamų ne aukciono būdu, administravimo metodika, patvirtinta Lietuvos Respublikos aplinkos ministro 2024 m. liepos 19 d. įsakymu Nr. D1-247 „Dėl Kitos paskirties valstybinės žemės sklypų, parduodamų ar išnuomojamų ne aukciono būdu, administravimo metodikos patvirtinimo“,</w:t>
              </w:r>
              <w:r>
                <w:rPr>
                  <w:b/>
                  <w:bCs/>
                </w:rPr>
                <w:t xml:space="preserve">  </w:t>
              </w:r>
              <w:r>
                <w:t xml:space="preserve">Šiaulių miesto savivaldybės taryba </w:t>
              </w:r>
              <w:r>
                <w:rPr>
                  <w:spacing w:val="40"/>
                </w:rPr>
                <w:t>nusprendži</w:t>
              </w:r>
              <w:r>
                <w:t>a:</w:t>
              </w:r>
            </w:p>
          </w:sdtContent>
        </w:sdt>
        <w:sdt>
          <w:sdtPr>
            <w:alias w:val="pastraipa"/>
            <w:tag w:val="part_c7b6bf8caaf54e5c89cca34f8c1fb526"/>
            <w:lock w:val="sdtLocked"/>
            <w:richText/>
          </w:sdtPr>
          <w:sdtContent>
            <w:p w14:paraId="494B122E" w14:textId="207B7A6A">
              <w:pPr>
                <w:ind w:firstLine="567"/>
                <w:jc w:val="both"/>
              </w:pPr>
              <w:r>
                <w:t>Pakeisti Šiaulių miesto savivaldybės tarybos 2022 m. liepos 7 d. sprendimą Nr. T-285 „Dėl Žemės nuomos mokesčio ir priedo už valstybinės žemės nuomą ir naudojimą apskaičiavimo, mokėjimo ir apskaitos taisyklių patvirtinimo“:</w:t>
              </w:r>
            </w:p>
          </w:sdtContent>
        </w:sdt>
        <w:sdt>
          <w:sdtPr>
            <w:alias w:val="1 p."/>
            <w:tag w:val="part_fa26263523b749bda6855ab9be74adc1"/>
            <w:lock w:val="sdtLocked"/>
            <w:richText/>
          </w:sdtPr>
          <w:sdtContent>
            <w:p w14:paraId="497C7480" w14:textId="615706F3">
              <w:pPr>
                <w:ind w:firstLine="567"/>
                <w:jc w:val="both"/>
              </w:pPr>
              <w:sdt>
                <w:sdtPr>
                  <w:alias w:val="Numeris"/>
                  <w:tag w:val="nr_fa26263523b749bda6855ab9be74adc1"/>
                  <w:lock w:val="sdtLocked"/>
                  <w:richText/>
                </w:sdtPr>
                <w:sdtContent>
                  <w:r>
                    <w:t>1</w:t>
                  </w:r>
                </w:sdtContent>
              </w:sdt>
              <w:r>
                <w:t>. Pakeisti nurodyto sprendimo 1 punktu patvirtintas Žemės nuomos mokesčio ir priedo už valstybinės žemės nuomą ir naudojimą apskaičiavimo, mokėjimo ir apskaitos taisykles:</w:t>
              </w:r>
            </w:p>
            <w:sdt>
              <w:sdtPr>
                <w:alias w:val="1.1 pp."/>
                <w:tag w:val="part_c5c92e7cbe274cba973fa7ce70bd440f"/>
                <w:lock w:val="sdtLocked"/>
                <w:richText/>
              </w:sdtPr>
              <w:sdtContent>
                <w:p w14:paraId="06650A63" w14:textId="757223FA">
                  <w:pPr>
                    <w:ind w:firstLine="567"/>
                    <w:jc w:val="both"/>
                  </w:pPr>
                  <w:sdt>
                    <w:sdtPr>
                      <w:alias w:val="Numeris"/>
                      <w:tag w:val="nr_c5c92e7cbe274cba973fa7ce70bd440f"/>
                      <w:lock w:val="sdtLocked"/>
                      <w:richText/>
                    </w:sdtPr>
                    <w:sdtContent>
                      <w:r>
                        <w:t>1.1</w:t>
                      </w:r>
                    </w:sdtContent>
                  </w:sdt>
                  <w:r>
                    <w:t>. pakeisti 1 punktą ir jį išdėstyti taip:</w:t>
                  </w:r>
                </w:p>
                <w:sdt>
                  <w:sdtPr>
                    <w:alias w:val="citata"/>
                    <w:tag w:val="part_28ffaa0f1e7648448744a61495dd68db"/>
                    <w:lock w:val="sdtLocked"/>
                    <w:richText/>
                  </w:sdtPr>
                  <w:sdtContent>
                    <w:sdt>
                      <w:sdtPr>
                        <w:alias w:val="1 p."/>
                        <w:tag w:val="part_ed12d7ba70824c0fa5d189b290ef908d"/>
                        <w:lock w:val="sdtLocked"/>
                        <w:richText/>
                      </w:sdtPr>
                      <w:sdtContent>
                        <w:p w14:paraId="7B741E3C" w14:textId="4874D771">
                          <w:pPr>
                            <w:tabs>
                              <w:tab w:val="left" w:pos="567"/>
                              <w:tab w:val="left" w:pos="1134"/>
                            </w:tabs>
                            <w:ind w:firstLine="567"/>
                            <w:jc w:val="both"/>
                          </w:pPr>
                          <w:r>
                            <w:t>„</w:t>
                          </w:r>
                          <w:sdt>
                            <w:sdtPr>
                              <w:alias w:val="Numeris"/>
                              <w:tag w:val="nr_ed12d7ba70824c0fa5d189b290ef908d"/>
                              <w:lock w:val="sdtLocked"/>
                              <w:richText/>
                            </w:sdtPr>
                            <w:sdtContent>
                              <w:r>
                                <w:t>1</w:t>
                              </w:r>
                            </w:sdtContent>
                          </w:sdt>
                          <w:r>
                            <w:t xml:space="preserve">. </w:t>
                          </w:r>
                          <w:r>
                            <w:rPr>
                              <w:rFonts w:eastAsia="Cumberland"/>
                            </w:rPr>
                            <w:t xml:space="preserve">Žemės nuomos mokesčio ir žemės nuomos mokesčio priedo už valstybinės žemės nuomą ir naudojimą, </w:t>
                          </w:r>
                          <w:r>
                            <w:t>apskaičiavimo, mokėjimo ir apskaitos taisyklės (toliau – Taisyklės) nustato žemės nuomos mokesčio (toliau – nuomos mokestis) ir žemės nuomos mokesčio priedo (toliau – priedas) už valstybinės žemės sklypus, išnuomotus ne aukciono būdu, aukciono būdu ir už naudojamą valstybinę žemę, suteiktą teisės aktų nustatyta tvarka, arba už sklypus, kuriais naudotis leista valstybinę žemę administruojančių institucijų sprendimais, nesudarius valstybinės žemės nuomos sutarties, apskaičiavimo, mokėjimo, apskaitos, lengvatų taikymo, skolų pripažinimo beviltiškomis Šiaulių miesto savivaldybėje</w:t>
                          </w:r>
                          <w:r>
                            <w:rPr>
                              <w:color w:val="EE0000"/>
                            </w:rPr>
                            <w:t xml:space="preserve"> </w:t>
                          </w:r>
                          <w:r>
                            <w:t>tvarką.“;</w:t>
                          </w:r>
                        </w:p>
                      </w:sdtContent>
                    </w:sdt>
                  </w:sdtContent>
                </w:sdt>
              </w:sdtContent>
            </w:sdt>
            <w:sdt>
              <w:sdtPr>
                <w:alias w:val="1.2 pp."/>
                <w:tag w:val="part_7cac1f11807f45839c130c910d633e2c"/>
                <w:lock w:val="sdtLocked"/>
                <w:richText/>
              </w:sdtPr>
              <w:sdtContent>
                <w:p w14:paraId="3383F8C5" w14:textId="762892E5">
                  <w:pPr>
                    <w:tabs>
                      <w:tab w:val="left" w:pos="567"/>
                      <w:tab w:val="left" w:pos="1134"/>
                    </w:tabs>
                    <w:ind w:firstLine="567"/>
                    <w:jc w:val="both"/>
                  </w:pPr>
                  <w:sdt>
                    <w:sdtPr>
                      <w:alias w:val="Numeris"/>
                      <w:tag w:val="nr_7cac1f11807f45839c130c910d633e2c"/>
                      <w:lock w:val="sdtLocked"/>
                      <w:richText/>
                    </w:sdtPr>
                    <w:sdtContent>
                      <w:r>
                        <w:t>1.2</w:t>
                      </w:r>
                    </w:sdtContent>
                  </w:sdt>
                  <w:r>
                    <w:t>. pakeisti 2 punktą ir jį išdėstyti taip:</w:t>
                  </w:r>
                </w:p>
                <w:sdt>
                  <w:sdtPr>
                    <w:alias w:val="citata"/>
                    <w:tag w:val="part_302c1aaa89214076a36149aa1dbacb7c"/>
                    <w:lock w:val="sdtLocked"/>
                    <w:richText/>
                  </w:sdtPr>
                  <w:sdtContent>
                    <w:sdt>
                      <w:sdtPr>
                        <w:alias w:val="2 p."/>
                        <w:tag w:val="part_78e2d88cbe1b4eb18c01cbc51432bb92"/>
                        <w:lock w:val="sdtLocked"/>
                        <w:richText/>
                      </w:sdtPr>
                      <w:sdtContent>
                        <w:p w14:paraId="3258E117" w14:textId="34953C11">
                          <w:pPr>
                            <w:ind w:firstLine="567"/>
                            <w:jc w:val="both"/>
                          </w:pPr>
                          <w:r>
                            <w:t>„</w:t>
                          </w:r>
                          <w:sdt>
                            <w:sdtPr>
                              <w:alias w:val="Numeris"/>
                              <w:tag w:val="nr_78e2d88cbe1b4eb18c01cbc51432bb92"/>
                              <w:lock w:val="sdtLocked"/>
                              <w:richText/>
                            </w:sdtPr>
                            <w:sdtContent>
                              <w:r>
                                <w:t>2</w:t>
                              </w:r>
                            </w:sdtContent>
                          </w:sdt>
                          <w:r>
                            <w:t>. Taisyklės parengtos vadovaujantis Lietuvos Respublikos vietos savivaldos įstatymu, Lietuvos Respublikos civiliniu kodeksu</w:t>
                          </w:r>
                          <w:r>
                            <w:rPr>
                              <w:bCs/>
                            </w:rPr>
                            <w:t>,</w:t>
                          </w:r>
                          <w:r>
                            <w:t xml:space="preserve"> Lietuvos Respublikos žemės</w:t>
                          </w:r>
                          <w:r>
                            <w:rPr>
                              <w:bCs/>
                              <w:iCs/>
                            </w:rPr>
                            <w:t xml:space="preserve"> </w:t>
                          </w:r>
                          <w:r>
                            <w:t>įstatymu, Lietuvos Respublikos žemės reformos įstatymu, Lietuvos Respublikos laisvųjų ekonominių zonų pagrindų įstatymu, Lietuvos Respublikos Vyriausybės 1999 m. vasario 24 d. nutarimu Nr. 205 „Dėl žemės įvertinimo tvarkos“, Lietuvos Respublikos Vyriausybės 1999 m. kovo 9 d. nutarimu Nr. 260 „Dėl Kitos paskirties valstybinės žemės sklypų pardavimo ir nuomos taisyklių patvirtinimo“, Lietuvos Respublikos Vyriausybės 2002 m. lapkričio 19 d. nutarimu Nr. 1798 „Dėl nuomos mokesčio ir žemės nuomos mokesčio priedo</w:t>
                          </w:r>
                          <w:r>
                            <w:rPr>
                              <w:b/>
                              <w:bCs/>
                            </w:rPr>
                            <w:t xml:space="preserve"> </w:t>
                          </w:r>
                          <w:r>
                            <w:t xml:space="preserve">už valstybinę žemę“, Lietuvos Respublikos Vyriausybės 2003 m. lapkričio 10 d. nutarimu Nr. 1387 „Dėl žemės nuomos mokesčio už valstybinės žemės sklypų naudojimą“, </w:t>
                          </w:r>
                          <w:r>
                            <w:rPr>
                              <w:szCs w:val="24"/>
                            </w:rPr>
                            <w:t xml:space="preserve">Lietuvos Respublikos aplinkos ministro </w:t>
                          </w:r>
                          <w:r>
                            <w:t xml:space="preserve">2024 m. liepos 19 d. įsakymu Nr. D1-247 „Dėl Kitos paskirties valstybinės žemės sklypų, parduodamų ar išnuomojamų ne aukciono būdu, administravimo metodikos patvirtinimo“ ir kitais </w:t>
                          </w:r>
                          <w:r>
                            <w:rPr>
                              <w:bCs/>
                              <w:iCs/>
                            </w:rPr>
                            <w:t>Lietuvos</w:t>
                          </w:r>
                          <w:r>
                            <w:t xml:space="preserve"> Respublikos teisės aktais.“;</w:t>
                          </w:r>
                        </w:p>
                      </w:sdtContent>
                    </w:sdt>
                  </w:sdtContent>
                </w:sdt>
              </w:sdtContent>
            </w:sdt>
            <w:sdt>
              <w:sdtPr>
                <w:alias w:val="1.3 pp."/>
                <w:tag w:val="part_765efc3411d849e8b712f524600e4e1b"/>
                <w:lock w:val="sdtLocked"/>
                <w:richText/>
              </w:sdtPr>
              <w:sdtContent>
                <w:p w14:paraId="69C0E6DC" w14:textId="06303CD6">
                  <w:pPr>
                    <w:tabs>
                      <w:tab w:val="left" w:pos="567"/>
                      <w:tab w:val="left" w:pos="1134"/>
                    </w:tabs>
                    <w:ind w:firstLine="567"/>
                    <w:jc w:val="both"/>
                  </w:pPr>
                  <w:sdt>
                    <w:sdtPr>
                      <w:alias w:val="Numeris"/>
                      <w:tag w:val="nr_765efc3411d849e8b712f524600e4e1b"/>
                      <w:lock w:val="sdtLocked"/>
                      <w:richText/>
                    </w:sdtPr>
                    <w:sdtContent>
                      <w:r>
                        <w:t>1.3</w:t>
                      </w:r>
                    </w:sdtContent>
                  </w:sdt>
                  <w:r>
                    <w:t>. pakeisti 8.8 papunktį ir jį išdėstyti taip:</w:t>
                  </w:r>
                </w:p>
                <w:sdt>
                  <w:sdtPr>
                    <w:alias w:val="citata"/>
                    <w:tag w:val="part_f011db09dfce4ff9823aa4f450d2eb5a"/>
                    <w:lock w:val="sdtLocked"/>
                    <w:richText/>
                  </w:sdtPr>
                  <w:sdtContent>
                    <w:sdt>
                      <w:sdtPr>
                        <w:alias w:val="8.8 pp."/>
                        <w:tag w:val="part_2d0d6f8105e44d33b57e784da815a83b"/>
                        <w:lock w:val="sdtLocked"/>
                        <w:richText/>
                      </w:sdtPr>
                      <w:sdtContent>
                        <w:p w14:paraId="08E7E9E1" w14:textId="01A509EC">
                          <w:pPr>
                            <w:tabs>
                              <w:tab w:val="left" w:pos="567"/>
                              <w:tab w:val="left" w:pos="1134"/>
                            </w:tabs>
                            <w:ind w:firstLine="567"/>
                            <w:jc w:val="both"/>
                          </w:pPr>
                          <w:r>
                            <w:t>„</w:t>
                          </w:r>
                          <w:sdt>
                            <w:sdtPr>
                              <w:alias w:val="Numeris"/>
                              <w:tag w:val="nr_2d0d6f8105e44d33b57e784da815a83b"/>
                              <w:lock w:val="sdtLocked"/>
                              <w:richText/>
                            </w:sdtPr>
                            <w:sdtContent>
                              <w:r>
                                <w:t>8.8</w:t>
                              </w:r>
                            </w:sdtContent>
                          </w:sdt>
                          <w:r>
                            <w:t>. gavus sutikimus leisti statyti laikinuosius nesudėtingus statinius, įrengti įrenginius valstybinėje žemėje;“;</w:t>
                          </w:r>
                        </w:p>
                      </w:sdtContent>
                    </w:sdt>
                  </w:sdtContent>
                </w:sdt>
              </w:sdtContent>
            </w:sdt>
            <w:sdt>
              <w:sdtPr>
                <w:alias w:val="1.4 pp."/>
                <w:tag w:val="part_d7b0465acc5d4999b417fd069cb51659"/>
                <w:lock w:val="sdtLocked"/>
                <w:richText/>
              </w:sdtPr>
              <w:sdtContent>
                <w:p w14:paraId="1CCD37A2" w14:textId="5D880E95">
                  <w:pPr>
                    <w:tabs>
                      <w:tab w:val="left" w:pos="567"/>
                      <w:tab w:val="left" w:pos="1134"/>
                    </w:tabs>
                    <w:ind w:firstLine="567"/>
                    <w:jc w:val="both"/>
                  </w:pPr>
                  <w:sdt>
                    <w:sdtPr>
                      <w:alias w:val="Numeris"/>
                      <w:tag w:val="nr_d7b0465acc5d4999b417fd069cb51659"/>
                      <w:lock w:val="sdtLocked"/>
                      <w:richText/>
                    </w:sdtPr>
                    <w:sdtContent>
                      <w:r>
                        <w:t>1.4</w:t>
                      </w:r>
                    </w:sdtContent>
                  </w:sdt>
                  <w:r>
                    <w:t>. pakeisti 8.9 papunktį ir jį išdėstyti taip:</w:t>
                  </w:r>
                </w:p>
                <w:sdt>
                  <w:sdtPr>
                    <w:alias w:val="citata"/>
                    <w:tag w:val="part_0faba24c882344dc9393522a7a94e714"/>
                    <w:lock w:val="sdtLocked"/>
                    <w:richText/>
                  </w:sdtPr>
                  <w:sdtContent>
                    <w:sdt>
                      <w:sdtPr>
                        <w:alias w:val="8.9 pp."/>
                        <w:tag w:val="part_3077e51fcfce4ac2818fa8b6080d8bfb"/>
                        <w:lock w:val="sdtLocked"/>
                        <w:richText/>
                      </w:sdtPr>
                      <w:sdtContent>
                        <w:p w14:paraId="6515C8A3" w14:textId="6A31B9C1">
                          <w:pPr>
                            <w:tabs>
                              <w:tab w:val="left" w:pos="567"/>
                              <w:tab w:val="left" w:pos="1134"/>
                            </w:tabs>
                            <w:ind w:firstLine="567"/>
                            <w:jc w:val="both"/>
                          </w:pPr>
                          <w:r>
                            <w:t>„</w:t>
                          </w:r>
                          <w:sdt>
                            <w:sdtPr>
                              <w:alias w:val="Numeris"/>
                              <w:tag w:val="nr_3077e51fcfce4ac2818fa8b6080d8bfb"/>
                              <w:lock w:val="sdtLocked"/>
                              <w:richText/>
                            </w:sdtPr>
                            <w:sdtContent>
                              <w:r>
                                <w:t>8.9</w:t>
                              </w:r>
                            </w:sdtContent>
                          </w:sdt>
                          <w:r>
                            <w:t>. gavus sutikimą leisti laikinai naudotis valstybine žemė statybos metu.“;</w:t>
                          </w:r>
                        </w:p>
                      </w:sdtContent>
                    </w:sdt>
                  </w:sdtContent>
                </w:sdt>
              </w:sdtContent>
            </w:sdt>
            <w:sdt>
              <w:sdtPr>
                <w:alias w:val="1.5 pp."/>
                <w:tag w:val="part_b2344ac1df694503b550eb45facd4b19"/>
                <w:lock w:val="sdtLocked"/>
                <w:richText/>
              </w:sdtPr>
              <w:sdtContent>
                <w:p w14:paraId="619B2076" w14:textId="03E751BC">
                  <w:pPr>
                    <w:ind w:firstLine="567"/>
                    <w:jc w:val="both"/>
                  </w:pPr>
                  <w:sdt>
                    <w:sdtPr>
                      <w:alias w:val="Numeris"/>
                      <w:tag w:val="nr_b2344ac1df694503b550eb45facd4b19"/>
                      <w:lock w:val="sdtLocked"/>
                      <w:richText/>
                    </w:sdtPr>
                    <w:sdtContent>
                      <w:r>
                        <w:t>1.5</w:t>
                      </w:r>
                    </w:sdtContent>
                  </w:sdt>
                  <w:r>
                    <w:t>. pakeisti 14 punktą ir jį išdėstyti taip:</w:t>
                  </w:r>
                </w:p>
                <w:sdt>
                  <w:sdtPr>
                    <w:alias w:val="citata"/>
                    <w:tag w:val="part_d899856d63d44aa3bcae7d9db1817657"/>
                    <w:lock w:val="sdtLocked"/>
                    <w:richText/>
                  </w:sdtPr>
                  <w:sdtContent>
                    <w:sdt>
                      <w:sdtPr>
                        <w:alias w:val="14 p."/>
                        <w:tag w:val="part_c11219f7f8814c6bbb7d0bc1872de2ec"/>
                        <w:lock w:val="sdtLocked"/>
                        <w:richText/>
                      </w:sdtPr>
                      <w:sdtContent>
                        <w:p w14:paraId="24630246" w14:textId="3337A8A3">
                          <w:pPr>
                            <w:tabs>
                              <w:tab w:val="left" w:pos="567"/>
                              <w:tab w:val="left" w:pos="709"/>
                              <w:tab w:val="left" w:pos="851"/>
                              <w:tab w:val="left" w:pos="1134"/>
                            </w:tabs>
                            <w:ind w:firstLine="567"/>
                            <w:jc w:val="both"/>
                            <w:rPr>
                              <w:rFonts w:eastAsia="Cumberland"/>
                            </w:rPr>
                          </w:pPr>
                          <w:r>
                            <w:rPr>
                              <w:rFonts w:eastAsia="Cumberland"/>
                            </w:rPr>
                            <w:t>„</w:t>
                          </w:r>
                          <w:sdt>
                            <w:sdtPr>
                              <w:alias w:val="Numeris"/>
                              <w:tag w:val="nr_c11219f7f8814c6bbb7d0bc1872de2ec"/>
                              <w:lock w:val="sdtLocked"/>
                              <w:richText/>
                            </w:sdtPr>
                            <w:sdtContent>
                              <w:r>
                                <w:rPr>
                                  <w:rFonts w:eastAsia="Cumberland"/>
                                </w:rPr>
                                <w:t>14</w:t>
                              </w:r>
                            </w:sdtContent>
                          </w:sdt>
                          <w:r>
                            <w:rPr>
                              <w:rFonts w:eastAsia="Cumberland"/>
                            </w:rPr>
                            <w:t xml:space="preserve">. Pateikta mokėtojo deklaracija </w:t>
                          </w:r>
                          <w:r>
                            <w:t>registruojama Savivaldybės administracijos</w:t>
                          </w:r>
                          <w:r>
                            <w:rPr>
                              <w:b/>
                              <w:bCs/>
                            </w:rPr>
                            <w:t xml:space="preserve"> </w:t>
                          </w:r>
                          <w:r>
                            <w:t>dokumentų valdymo sistemos „Avilys“ (toliau – „Avilys“). Jei pateiktos ankstesnio laikotarpio mokėtojo deklaracijos duomenys nesikeičia, naujos mokėtojo deklaracijos pateikti nereikia, išskyrus bendrijas, kurios mokėtojo deklaracijas teikia kasmet iki rugsėjo 1 dienos.</w:t>
                          </w:r>
                          <w:r>
                            <w:rPr>
                              <w:rFonts w:eastAsia="Cumberland"/>
                            </w:rPr>
                            <w:t xml:space="preserve">“; </w:t>
                          </w:r>
                        </w:p>
                      </w:sdtContent>
                    </w:sdt>
                  </w:sdtContent>
                </w:sdt>
              </w:sdtContent>
            </w:sdt>
            <w:sdt>
              <w:sdtPr>
                <w:alias w:val="1.6 pp."/>
                <w:tag w:val="part_772e8bc7ab5342deac386c0f9c385cb6"/>
                <w:lock w:val="sdtLocked"/>
                <w:richText/>
              </w:sdtPr>
              <w:sdtContent>
                <w:p w14:paraId="67ABEEAA" w14:textId="6FE78BBA">
                  <w:pPr>
                    <w:tabs>
                      <w:tab w:val="left" w:pos="567"/>
                      <w:tab w:val="left" w:pos="709"/>
                      <w:tab w:val="left" w:pos="851"/>
                      <w:tab w:val="left" w:pos="1134"/>
                    </w:tabs>
                    <w:ind w:firstLine="567"/>
                    <w:jc w:val="both"/>
                    <w:rPr>
                      <w:rFonts w:eastAsia="Cumberland"/>
                    </w:rPr>
                  </w:pPr>
                  <w:sdt>
                    <w:sdtPr>
                      <w:alias w:val="Numeris"/>
                      <w:tag w:val="nr_772e8bc7ab5342deac386c0f9c385cb6"/>
                      <w:lock w:val="sdtLocked"/>
                      <w:richText/>
                    </w:sdtPr>
                    <w:sdtContent>
                      <w:r>
                        <w:rPr>
                          <w:rFonts w:eastAsia="Cumberland"/>
                        </w:rPr>
                        <w:t>1.6</w:t>
                      </w:r>
                    </w:sdtContent>
                  </w:sdt>
                  <w:r>
                    <w:rPr>
                      <w:rFonts w:eastAsia="Cumberland"/>
                    </w:rPr>
                    <w:t>. pakeisti 21.2 papunktį ir jį išdėstyti taip:</w:t>
                  </w:r>
                </w:p>
                <w:sdt>
                  <w:sdtPr>
                    <w:alias w:val="citata"/>
                    <w:tag w:val="part_ca7fda8416b24ba2bec4a436cbd722b9"/>
                    <w:lock w:val="sdtLocked"/>
                    <w:richText/>
                  </w:sdtPr>
                  <w:sdtContent>
                    <w:sdt>
                      <w:sdtPr>
                        <w:alias w:val="21.2 pp."/>
                        <w:tag w:val="part_3fdbbe6c697d4714b4961084bb4ca334"/>
                        <w:lock w:val="sdtLocked"/>
                        <w:richText/>
                      </w:sdtPr>
                      <w:sdtContent>
                        <w:p w14:paraId="3F499BF9" w14:textId="52EC9D5F">
                          <w:pPr>
                            <w:tabs>
                              <w:tab w:val="left" w:pos="567"/>
                              <w:tab w:val="left" w:pos="709"/>
                              <w:tab w:val="left" w:pos="851"/>
                              <w:tab w:val="left" w:pos="1134"/>
                            </w:tabs>
                            <w:ind w:firstLine="567"/>
                            <w:jc w:val="both"/>
                          </w:pPr>
                          <w:r>
                            <w:rPr>
                              <w:rFonts w:eastAsia="Cumberland"/>
                            </w:rPr>
                            <w:t>„</w:t>
                          </w:r>
                          <w:sdt>
                            <w:sdtPr>
                              <w:alias w:val="Numeris"/>
                              <w:tag w:val="nr_3fdbbe6c697d4714b4961084bb4ca334"/>
                              <w:lock w:val="sdtLocked"/>
                              <w:richText/>
                            </w:sdtPr>
                            <w:sdtContent>
                              <w:r>
                                <w:rPr>
                                  <w:rFonts w:eastAsia="Cumberland"/>
                                </w:rPr>
                                <w:t>21.2</w:t>
                              </w:r>
                            </w:sdtContent>
                          </w:sdt>
                          <w:r>
                            <w:rPr>
                              <w:rFonts w:eastAsia="Cumberland"/>
                            </w:rPr>
                            <w:t xml:space="preserve">. Jeigu </w:t>
                          </w:r>
                          <w:r>
                            <w:t>žemės sklypas suformuotas ir jame yra keli pastatai (statiniai), priklausantys skirtingiems savininkams, ir jie nėra sudarę valstybinės žemės nuomos sutarčių (ir Nacionalinės žemės tarnybos prie Aplinkos ministerijos direktoriaus įsakymu ar Savivaldybės tarybos sprendimu, ar pagal Kitos paskirties valstybinės žemės sklypų, parduodamų ar išnuomojamų ne aukciono būdu, administravimo metodiką, patvirtintą Lietuvos Respublikos aplinkos ministro 2024 m. liepos 19 d. įsakymu Nr. D1-247 „Dėl Kitos paskirties valstybinės žemės sklypų, parduodamų ar išnuomojamų ne aukciono būdu, administravimo metodikos patvirtinimo“, nėra nustatytos žemės sklypo dalys statiniams eksploatuoti), naudojamos sklypo dalys, reikalingos pastatams (statiniams) eksploatuoti, nustatomos proporcingai visų esamų sklype pastatų (statinių) bendro ploto, apskaičiuojamo pastato (statinio) ar patalpų ploto ir viso suformuoto žemės sklypo ploto santykiui. Jeigu žemės sklypas yra suformuotas ir jame yra pastatai (statiniai), priklausantys vienam savininkui, nuomos mokestis skaičiuojamas už visą suformuoto žemės sklypo plotą. Sutarčiai nutrūkus ar pasibaigus, nuomos mokestis skaičiuojamas už tą patį plotą, kaip buvo nustatyta nuomos sutartyje.“;</w:t>
                          </w:r>
                        </w:p>
                      </w:sdtContent>
                    </w:sdt>
                  </w:sdtContent>
                </w:sdt>
              </w:sdtContent>
            </w:sdt>
            <w:sdt>
              <w:sdtPr>
                <w:alias w:val="1.7 pp."/>
                <w:tag w:val="part_4cf2b6703b934381b4282d74c5cef28e"/>
                <w:lock w:val="sdtLocked"/>
                <w:richText/>
              </w:sdtPr>
              <w:sdtContent>
                <w:p w14:paraId="191C6A2C" w14:textId="0AF6615F">
                  <w:pPr>
                    <w:tabs>
                      <w:tab w:val="left" w:pos="567"/>
                      <w:tab w:val="left" w:pos="709"/>
                      <w:tab w:val="left" w:pos="851"/>
                      <w:tab w:val="left" w:pos="1134"/>
                    </w:tabs>
                    <w:ind w:firstLine="567"/>
                    <w:jc w:val="both"/>
                    <w:rPr>
                      <w:rFonts w:eastAsia="Cumberland"/>
                    </w:rPr>
                  </w:pPr>
                  <w:sdt>
                    <w:sdtPr>
                      <w:alias w:val="Numeris"/>
                      <w:tag w:val="nr_4cf2b6703b934381b4282d74c5cef28e"/>
                      <w:lock w:val="sdtLocked"/>
                      <w:richText/>
                    </w:sdtPr>
                    <w:sdtContent>
                      <w:r>
                        <w:rPr>
                          <w:rFonts w:eastAsia="Cumberland"/>
                        </w:rPr>
                        <w:t>1.7</w:t>
                      </w:r>
                    </w:sdtContent>
                  </w:sdt>
                  <w:r>
                    <w:rPr>
                      <w:rFonts w:eastAsia="Cumberland"/>
                    </w:rPr>
                    <w:t>. pakeisti 22 punktą ir jį išdėstyti taip:</w:t>
                  </w:r>
                </w:p>
              </w:sdtContent>
            </w:sdt>
          </w:sdtContent>
        </w:sdt>
        <w:sdt>
          <w:sdtPr>
            <w:alias w:val="22 p."/>
            <w:tag w:val="part_15a58a392cb7462896bf2d39eefbb0c1"/>
            <w:lock w:val="sdtLocked"/>
            <w:richText/>
          </w:sdtPr>
          <w:sdtContent>
            <w:p w14:paraId="7E11E7F3" w14:textId="1C49AAC2">
              <w:pPr>
                <w:tabs>
                  <w:tab w:val="left" w:pos="6237"/>
                </w:tabs>
                <w:ind w:firstLine="567"/>
                <w:jc w:val="both"/>
                <w:rPr>
                  <w:szCs w:val="24"/>
                </w:rPr>
              </w:pPr>
              <w:sdt>
                <w:sdtPr>
                  <w:alias w:val="Numeris"/>
                  <w:tag w:val="nr_15a58a392cb7462896bf2d39eefbb0c1"/>
                  <w:lock w:val="sdtLocked"/>
                  <w:richText/>
                </w:sdtPr>
                <w:sdtContent>
                  <w:r>
                    <w:rPr>
                      <w:szCs w:val="24"/>
                    </w:rPr>
                    <w:t>22</w:t>
                  </w:r>
                </w:sdtContent>
              </w:sdt>
              <w:r>
                <w:rPr>
                  <w:szCs w:val="24"/>
                </w:rPr>
                <w:t xml:space="preserve">. Nuomos mokesčio priedas apskaičiuojamas ir mokamas, kaip nustatyta Žemės įstatymo 9 straipsnio 20 dalyje.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
              <w:sdtPr>
                <w:alias w:val="1.8 pp."/>
                <w:tag w:val="part_bba4200a35be42418bd86bdc5a12475e"/>
                <w:lock w:val="sdtLocked"/>
                <w:richText/>
              </w:sdtPr>
              <w:sdtContent>
                <w:p w14:paraId="2C67E429" w14:textId="533CDAD0">
                  <w:pPr>
                    <w:tabs>
                      <w:tab w:val="left" w:pos="567"/>
                      <w:tab w:val="left" w:pos="709"/>
                      <w:tab w:val="left" w:pos="851"/>
                      <w:tab w:val="left" w:pos="1134"/>
                    </w:tabs>
                    <w:ind w:firstLine="567"/>
                    <w:jc w:val="both"/>
                    <w:rPr>
                      <w:rFonts w:eastAsia="Cumberland"/>
                    </w:rPr>
                  </w:pPr>
                  <w:sdt>
                    <w:sdtPr>
                      <w:alias w:val="Numeris"/>
                      <w:tag w:val="nr_bba4200a35be42418bd86bdc5a12475e"/>
                      <w:lock w:val="sdtLocked"/>
                      <w:richText/>
                    </w:sdtPr>
                    <w:sdtContent>
                      <w:r>
                        <w:rPr>
                          <w:rFonts w:eastAsia="Cumberland"/>
                        </w:rPr>
                        <w:t>1.8</w:t>
                      </w:r>
                    </w:sdtContent>
                  </w:sdt>
                  <w:r>
                    <w:rPr>
                      <w:rFonts w:eastAsia="Cumberland"/>
                    </w:rPr>
                    <w:t>. pakeisti 50 punktą ir jį išdėstyti taip:</w:t>
                  </w:r>
                </w:p>
                <w:sdt>
                  <w:sdtPr>
                    <w:alias w:val="citata"/>
                    <w:tag w:val="part_a5c18a1eb1794d52ad6c9de568c2c032"/>
                    <w:lock w:val="sdtLocked"/>
                    <w:richText/>
                  </w:sdtPr>
                  <w:sdtContent>
                    <w:sdt>
                      <w:sdtPr>
                        <w:alias w:val="50 p."/>
                        <w:tag w:val="part_63e0ad083c0642afa18f4f6018445fd1"/>
                        <w:lock w:val="sdtLocked"/>
                        <w:richText/>
                      </w:sdtPr>
                      <w:sdtContent>
                        <w:p w14:paraId="0E81C664" w14:textId="59459859">
                          <w:pPr>
                            <w:tabs>
                              <w:tab w:val="left" w:pos="567"/>
                              <w:tab w:val="left" w:pos="709"/>
                              <w:tab w:val="left" w:pos="851"/>
                              <w:tab w:val="left" w:pos="1134"/>
                            </w:tabs>
                            <w:ind w:firstLine="629"/>
                            <w:jc w:val="both"/>
                          </w:pPr>
                          <w:r>
                            <w:rPr>
                              <w:szCs w:val="24"/>
                            </w:rPr>
                            <w:t>„</w:t>
                          </w:r>
                          <w:sdt>
                            <w:sdtPr>
                              <w:alias w:val="Numeris"/>
                              <w:tag w:val="nr_63e0ad083c0642afa18f4f6018445fd1"/>
                              <w:lock w:val="sdtLocked"/>
                              <w:richText/>
                            </w:sdtPr>
                            <w:sdtContent>
                              <w:r>
                                <w:rPr>
                                  <w:szCs w:val="24"/>
                                </w:rPr>
                                <w:t>50</w:t>
                              </w:r>
                            </w:sdtContent>
                          </w:sdt>
                          <w:r>
                            <w:rPr>
                              <w:szCs w:val="24"/>
                            </w:rPr>
                            <w:t xml:space="preserve">. </w:t>
                          </w:r>
                          <w:r>
                            <w:t xml:space="preserve">Žemės valdymo skyrius mokesčio mokėtojo (ar Nacionalinės žemės tarnybos prie Aplinkos ministerijos) prašymu  per 20 darbo dienų išduoda pažymą, patvirtinančią atsiskaitymą už valstybinės žemės nuomą.“</w:t>
                          </w:r>
                        </w:p>
                      </w:sdtContent>
                    </w:sdt>
                  </w:sdtContent>
                </w:sdt>
              </w:sdtContent>
            </w:sdt>
          </w:sdtContent>
        </w:sdt>
        <w:sdt>
          <w:sdtPr>
            <w:alias w:val="2 p."/>
            <w:tag w:val="part_37118395098c481686ff1c0a8da4aa8e"/>
            <w:lock w:val="sdtLocked"/>
            <w:richText/>
          </w:sdtPr>
          <w:sdtContent>
            <w:p w14:paraId="7753A59F" w14:textId="37F7FC3A">
              <w:pPr>
                <w:tabs>
                  <w:tab w:val="left" w:pos="567"/>
                  <w:tab w:val="left" w:pos="709"/>
                  <w:tab w:val="left" w:pos="851"/>
                  <w:tab w:val="left" w:pos="1134"/>
                </w:tabs>
                <w:ind w:firstLine="567"/>
                <w:jc w:val="both"/>
              </w:pPr>
              <w:sdt>
                <w:sdtPr>
                  <w:alias w:val="Numeris"/>
                  <w:tag w:val="nr_37118395098c481686ff1c0a8da4aa8e"/>
                  <w:lock w:val="sdtLocked"/>
                  <w:richText/>
                </w:sdtPr>
                <w:sdtContent>
                  <w:r>
                    <w:t>2</w:t>
                  </w:r>
                </w:sdtContent>
              </w:sdt>
              <w:r>
                <w:t>. Pakeisti nurodyto sprendimo 2 punktu patvirtintos Nuomos mokesčio už valstybinę žemę skolos sumokėjimo pavyzdinės sutarties formą ir V skyriaus lentelės pirmąją skiltį išdėstyti taip:</w:t>
              </w:r>
            </w:p>
            <w:p w14:paraId="49D2B5BA" w14:textId="60E291E5">
              <w:pPr>
                <w:tabs>
                  <w:tab w:val="left" w:pos="567"/>
                  <w:tab w:val="left" w:pos="709"/>
                  <w:tab w:val="left" w:pos="851"/>
                  <w:tab w:val="left" w:pos="1134"/>
                </w:tabs>
                <w:ind w:firstLine="567"/>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tblGrid>
              <w:tr w14:paraId="306ED48E" w14:textId="77777777">
                <w:tc>
                  <w:tcPr>
                    <w:tcW w:w="5240" w:type="dxa"/>
                    <w:tcBorders>
                      <w:top w:val="single" w:sz="4" w:space="0" w:color="auto"/>
                      <w:left w:val="single" w:sz="4" w:space="0" w:color="auto"/>
                      <w:bottom w:val="single" w:sz="4" w:space="0" w:color="auto"/>
                      <w:right w:val="single" w:sz="4" w:space="0" w:color="auto"/>
                    </w:tcBorders>
                    <w:hideMark/>
                  </w:tcPr>
                  <w:p w14:paraId="513319BA" w14:textId="77777777">
                    <w:pPr>
                      <w:suppressAutoHyphens/>
                      <w:ind w:left="1080"/>
                      <w:jc w:val="both"/>
                      <w:rPr>
                        <w:bCs/>
                        <w:position w:val="3"/>
                        <w:szCs w:val="24"/>
                        <w:lang w:val="en-GB" w:eastAsia="ar-SA"/>
                      </w:rPr>
                    </w:pPr>
                    <w:r>
                      <w:rPr>
                        <w:bCs/>
                        <w:szCs w:val="24"/>
                        <w:lang w:eastAsia="lt-LT"/>
                      </w:rPr>
                      <w:t xml:space="preserve">„Savivaldybė </w:t>
                    </w:r>
                  </w:p>
                </w:tc>
              </w:tr>
              <w:tr w14:paraId="7495FC46" w14:textId="77777777">
                <w:tc>
                  <w:tcPr>
                    <w:tcW w:w="5240" w:type="dxa"/>
                    <w:tcBorders>
                      <w:top w:val="single" w:sz="4" w:space="0" w:color="auto"/>
                      <w:left w:val="single" w:sz="4" w:space="0" w:color="auto"/>
                      <w:bottom w:val="single" w:sz="4" w:space="0" w:color="auto"/>
                      <w:right w:val="single" w:sz="4" w:space="0" w:color="auto"/>
                    </w:tcBorders>
                    <w:hideMark/>
                  </w:tcPr>
                  <w:p w14:paraId="26DD1937" w14:textId="77777777">
                    <w:pPr>
                      <w:jc w:val="both"/>
                      <w:rPr>
                        <w:position w:val="3"/>
                        <w:szCs w:val="24"/>
                        <w:lang w:val="en-GB" w:eastAsia="ar-SA"/>
                      </w:rPr>
                    </w:pPr>
                    <w:r>
                      <w:rPr>
                        <w:szCs w:val="24"/>
                        <w:lang w:eastAsia="lt-LT"/>
                      </w:rPr>
                      <w:t>Šiaulių miesto savivaldybė,</w:t>
                    </w:r>
                  </w:p>
                  <w:p w14:paraId="0B1D0D5A" w14:textId="77777777">
                    <w:pPr>
                      <w:suppressAutoHyphens/>
                      <w:jc w:val="both"/>
                      <w:rPr>
                        <w:b/>
                        <w:bCs/>
                        <w:position w:val="3"/>
                        <w:szCs w:val="24"/>
                        <w:lang w:val="en-GB" w:eastAsia="ar-SA"/>
                      </w:rPr>
                    </w:pPr>
                    <w:r>
                      <w:rPr>
                        <w:szCs w:val="24"/>
                        <w:lang w:eastAsia="lt-LT"/>
                      </w:rPr>
                      <w:t>kodas 111109429</w:t>
                    </w:r>
                  </w:p>
                </w:tc>
              </w:tr>
              <w:tr w14:paraId="38A5969E" w14:textId="77777777">
                <w:tc>
                  <w:tcPr>
                    <w:tcW w:w="5240" w:type="dxa"/>
                    <w:tcBorders>
                      <w:top w:val="single" w:sz="4" w:space="0" w:color="auto"/>
                      <w:left w:val="single" w:sz="4" w:space="0" w:color="auto"/>
                      <w:bottom w:val="single" w:sz="4" w:space="0" w:color="auto"/>
                      <w:right w:val="single" w:sz="4" w:space="0" w:color="auto"/>
                    </w:tcBorders>
                    <w:hideMark/>
                  </w:tcPr>
                  <w:p w14:paraId="38FC0DAE" w14:textId="77777777">
                    <w:pPr>
                      <w:suppressAutoHyphens/>
                      <w:jc w:val="both"/>
                      <w:rPr>
                        <w:b/>
                        <w:bCs/>
                        <w:position w:val="3"/>
                        <w:szCs w:val="24"/>
                        <w:lang w:val="en-GB" w:eastAsia="ar-SA"/>
                      </w:rPr>
                    </w:pPr>
                    <w:r>
                      <w:rPr>
                        <w:szCs w:val="24"/>
                        <w:lang w:eastAsia="lt-LT"/>
                      </w:rPr>
                      <w:t>Vasario 16-osios g. 62, Šiauliai</w:t>
                    </w:r>
                  </w:p>
                </w:tc>
              </w:tr>
              <w:tr w14:paraId="0385509C" w14:textId="77777777">
                <w:tc>
                  <w:tcPr>
                    <w:tcW w:w="5240" w:type="dxa"/>
                    <w:tcBorders>
                      <w:top w:val="single" w:sz="4" w:space="0" w:color="auto"/>
                      <w:left w:val="single" w:sz="4" w:space="0" w:color="auto"/>
                      <w:bottom w:val="single" w:sz="4" w:space="0" w:color="auto"/>
                      <w:right w:val="single" w:sz="4" w:space="0" w:color="auto"/>
                    </w:tcBorders>
                    <w:hideMark/>
                  </w:tcPr>
                  <w:p w14:paraId="438FED09" w14:textId="7C8FE317">
                    <w:pPr>
                      <w:suppressAutoHyphens/>
                      <w:jc w:val="both"/>
                      <w:rPr>
                        <w:bCs/>
                        <w:position w:val="3"/>
                        <w:szCs w:val="24"/>
                        <w:lang w:val="en-GB" w:eastAsia="ar-SA"/>
                      </w:rPr>
                    </w:pPr>
                    <w:r>
                      <w:rPr>
                        <w:szCs w:val="24"/>
                        <w:lang w:eastAsia="lt-LT"/>
                      </w:rPr>
                      <w:t xml:space="preserve">Tel. +370 41 59 62 00, faks. +370 41  52 41 15</w:t>
                    </w:r>
                  </w:p>
                </w:tc>
              </w:tr>
              <w:tr w14:paraId="52A7A950" w14:textId="77777777">
                <w:tc>
                  <w:tcPr>
                    <w:tcW w:w="5240" w:type="dxa"/>
                    <w:tcBorders>
                      <w:top w:val="single" w:sz="4" w:space="0" w:color="auto"/>
                      <w:left w:val="single" w:sz="4" w:space="0" w:color="auto"/>
                      <w:bottom w:val="single" w:sz="4" w:space="0" w:color="auto"/>
                      <w:right w:val="single" w:sz="4" w:space="0" w:color="auto"/>
                    </w:tcBorders>
                    <w:hideMark/>
                  </w:tcPr>
                  <w:p w14:paraId="2C721816" w14:textId="77777777">
                    <w:pPr>
                      <w:jc w:val="both"/>
                      <w:rPr>
                        <w:szCs w:val="24"/>
                        <w:lang w:eastAsia="lt-LT"/>
                      </w:rPr>
                    </w:pPr>
                    <w:r>
                      <w:rPr>
                        <w:szCs w:val="24"/>
                        <w:lang w:eastAsia="lt-LT"/>
                      </w:rPr>
                      <w:t>Šiaulių miesto savivaldybės administracija,</w:t>
                    </w:r>
                  </w:p>
                  <w:p w14:paraId="3012CC4D" w14:textId="77777777">
                    <w:pPr>
                      <w:jc w:val="both"/>
                      <w:rPr>
                        <w:szCs w:val="24"/>
                        <w:lang w:eastAsia="lt-LT"/>
                      </w:rPr>
                    </w:pPr>
                    <w:r>
                      <w:rPr>
                        <w:szCs w:val="24"/>
                        <w:lang w:eastAsia="lt-LT"/>
                      </w:rPr>
                      <w:t xml:space="preserve">kodas 188771865, </w:t>
                    </w:r>
                  </w:p>
                  <w:p w14:paraId="5C346450" w14:textId="77777777">
                    <w:pPr>
                      <w:jc w:val="both"/>
                      <w:rPr>
                        <w:position w:val="3"/>
                        <w:szCs w:val="24"/>
                        <w:lang w:eastAsia="ar-SA"/>
                      </w:rPr>
                    </w:pPr>
                    <w:r>
                      <w:rPr>
                        <w:szCs w:val="24"/>
                        <w:lang w:eastAsia="lt-LT"/>
                      </w:rPr>
                      <w:t xml:space="preserve">a. s. LT647300010002408966, </w:t>
                    </w:r>
                  </w:p>
                  <w:p w14:paraId="60F92FB2" w14:textId="77777777">
                    <w:pPr>
                      <w:suppressAutoHyphens/>
                      <w:jc w:val="both"/>
                      <w:rPr>
                        <w:b/>
                        <w:bCs/>
                        <w:position w:val="3"/>
                        <w:szCs w:val="24"/>
                        <w:lang w:eastAsia="ar-SA"/>
                      </w:rPr>
                    </w:pPr>
                    <w:r>
                      <w:rPr>
                        <w:szCs w:val="24"/>
                        <w:lang w:eastAsia="lt-LT"/>
                      </w:rPr>
                      <w:t>AB „Swedbank“, kodas 73000</w:t>
                    </w:r>
                  </w:p>
                </w:tc>
              </w:tr>
              <w:tr w14:paraId="3A36F2B1" w14:textId="77777777">
                <w:tc>
                  <w:tcPr>
                    <w:tcW w:w="5240" w:type="dxa"/>
                    <w:tcBorders>
                      <w:top w:val="single" w:sz="4" w:space="0" w:color="auto"/>
                      <w:left w:val="single" w:sz="4" w:space="0" w:color="auto"/>
                      <w:bottom w:val="single" w:sz="4" w:space="0" w:color="auto"/>
                      <w:right w:val="single" w:sz="4" w:space="0" w:color="auto"/>
                    </w:tcBorders>
                    <w:hideMark/>
                  </w:tcPr>
                  <w:p w14:paraId="05174040" w14:textId="77777777">
                    <w:pPr>
                      <w:suppressAutoHyphens/>
                      <w:jc w:val="both"/>
                      <w:rPr>
                        <w:szCs w:val="24"/>
                        <w:lang w:eastAsia="lt-LT"/>
                      </w:rPr>
                    </w:pPr>
                    <w:r>
                      <w:rPr>
                        <w:szCs w:val="24"/>
                        <w:lang w:eastAsia="lt-LT"/>
                      </w:rPr>
                      <w:t>Šiaulių miesto savivaldybės administracija,</w:t>
                    </w:r>
                  </w:p>
                  <w:p w14:paraId="68089716" w14:textId="77777777">
                    <w:pPr>
                      <w:suppressAutoHyphens/>
                      <w:jc w:val="both"/>
                      <w:rPr>
                        <w:szCs w:val="24"/>
                        <w:lang w:eastAsia="lt-LT"/>
                      </w:rPr>
                    </w:pPr>
                    <w:r>
                      <w:rPr>
                        <w:szCs w:val="24"/>
                        <w:lang w:eastAsia="lt-LT"/>
                      </w:rPr>
                      <w:t xml:space="preserve">kodas 188771865, </w:t>
                    </w:r>
                  </w:p>
                  <w:p w14:paraId="2C991DE8" w14:textId="77777777">
                    <w:pPr>
                      <w:suppressAutoHyphens/>
                      <w:jc w:val="both"/>
                      <w:rPr>
                        <w:szCs w:val="24"/>
                        <w:lang w:eastAsia="lt-LT"/>
                      </w:rPr>
                    </w:pPr>
                    <w:r>
                      <w:rPr>
                        <w:szCs w:val="24"/>
                        <w:lang w:eastAsia="lt-LT"/>
                      </w:rPr>
                      <w:t xml:space="preserve">a. s. LT327180000000142105, </w:t>
                    </w:r>
                  </w:p>
                  <w:p w14:paraId="091D0AE0" w14:textId="4831A9C0">
                    <w:pPr>
                      <w:suppressAutoHyphens/>
                      <w:jc w:val="both"/>
                      <w:rPr>
                        <w:b/>
                        <w:bCs/>
                        <w:position w:val="3"/>
                        <w:szCs w:val="24"/>
                        <w:lang w:eastAsia="ar-SA"/>
                      </w:rPr>
                    </w:pPr>
                    <w:r>
                      <w:rPr>
                        <w:szCs w:val="24"/>
                        <w:lang w:eastAsia="lt-LT"/>
                      </w:rPr>
                      <w:t>AB „Artea“ bankas, kodas 71800</w:t>
                    </w:r>
                  </w:p>
                </w:tc>
              </w:tr>
              <w:tr w14:paraId="217A1AC4" w14:textId="77777777">
                <w:tc>
                  <w:tcPr>
                    <w:tcW w:w="5240" w:type="dxa"/>
                    <w:tcBorders>
                      <w:top w:val="single" w:sz="4" w:space="0" w:color="auto"/>
                      <w:left w:val="single" w:sz="4" w:space="0" w:color="auto"/>
                      <w:bottom w:val="single" w:sz="4" w:space="0" w:color="auto"/>
                      <w:right w:val="single" w:sz="4" w:space="0" w:color="auto"/>
                    </w:tcBorders>
                    <w:hideMark/>
                  </w:tcPr>
                  <w:p w14:paraId="6909366E" w14:textId="77777777">
                    <w:pPr>
                      <w:suppressAutoHyphens/>
                      <w:jc w:val="both"/>
                      <w:rPr>
                        <w:b/>
                        <w:bCs/>
                        <w:position w:val="3"/>
                        <w:szCs w:val="24"/>
                        <w:lang w:eastAsia="ar-SA"/>
                      </w:rPr>
                    </w:pPr>
                    <w:r>
                      <w:rPr>
                        <w:bCs/>
                        <w:szCs w:val="24"/>
                        <w:lang w:eastAsia="lt-LT"/>
                      </w:rPr>
                      <w:t xml:space="preserve">Savivaldybės </w:t>
                    </w:r>
                    <w:r>
                      <w:rPr>
                        <w:szCs w:val="24"/>
                        <w:lang w:eastAsia="lt-LT"/>
                      </w:rPr>
                      <w:t>meras ar jo įgaliotas asmuo</w:t>
                    </w:r>
                    <w:r>
                      <w:rPr>
                        <w:position w:val="3"/>
                        <w:szCs w:val="24"/>
                        <w:lang w:eastAsia="ar-SA"/>
                      </w:rPr>
                      <w:t>“</w:t>
                    </w:r>
                  </w:p>
                </w:tc>
              </w:tr>
            </w:tbl>
            <w:p w14:paraId="538FDD8C" w14:textId="77777777">
              <w:pPr>
                <w:tabs>
                  <w:tab w:val="left" w:pos="567"/>
                  <w:tab w:val="left" w:pos="709"/>
                  <w:tab w:val="left" w:pos="851"/>
                  <w:tab w:val="left" w:pos="1134"/>
                </w:tabs>
                <w:ind w:firstLine="567"/>
                <w:jc w:val="both"/>
                <w:rPr>
                  <w:rFonts w:eastAsia="Cumberland"/>
                </w:rPr>
              </w:pPr>
            </w:p>
            <w:p w14:paraId="647A7B96" w14:textId="3898DD90">
              <w:pPr>
                <w:suppressAutoHyphens/>
                <w:ind w:left="720" w:firstLine="467"/>
                <w:jc w:val="both"/>
                <w:rPr>
                  <w:rFonts w:cs="Calibri"/>
                  <w:szCs w:val="24"/>
                  <w:lang w:eastAsia="ar-SA"/>
                </w:rPr>
              </w:pPr>
            </w:p>
            <w:p w14:paraId="2B413D0F" w14:textId="70D0E512">
              <w:pPr>
                <w:suppressAutoHyphens/>
                <w:ind w:firstLine="629"/>
                <w:jc w:val="both"/>
                <w:rPr>
                  <w:rFonts w:cs="Calibri"/>
                  <w:lang w:eastAsia="ar-SA"/>
                </w:rPr>
              </w:pPr>
            </w:p>
            <w:p w14:paraId="428130DF" w14:textId="77777777">
              <w:pPr>
                <w:tabs>
                  <w:tab w:val="left" w:pos="993"/>
                </w:tabs>
                <w:suppressAutoHyphens/>
                <w:ind w:left="709"/>
                <w:jc w:val="both"/>
                <w:rPr>
                  <w:rFonts w:cs="Calibri"/>
                  <w:szCs w:val="24"/>
                  <w:lang w:eastAsia="ar-SA"/>
                </w:rPr>
              </w:pPr>
            </w:p>
          </w:sdtContent>
        </w:sdt>
        <w:sdt>
          <w:sdtPr>
            <w:alias w:val="signatura"/>
            <w:tag w:val="part_d093b3ee6ee14a8ab34cfa33a7a8739c"/>
            <w:lock w:val="sdtLocked"/>
            <w:richText/>
          </w:sdtPr>
          <w:sdtContent>
            <w:p w14:paraId="7DD66E2D" w14:textId="4DAE3466">
              <w:pPr>
                <w:suppressAutoHyphens/>
                <w:jc w:val="both"/>
                <w:rPr>
                  <w:rFonts w:cs="Calibri"/>
                  <w:b/>
                  <w:szCs w:val="24"/>
                  <w:lang w:eastAsia="ar-SA"/>
                </w:rPr>
              </w:pPr>
              <w:r>
                <w:rPr>
                  <w:rFonts w:cs="Calibri"/>
                  <w:szCs w:val="24"/>
                  <w:lang w:eastAsia="ar-SA"/>
                </w:rPr>
                <w:t xml:space="preserve">Savivaldybės meras </w:t>
              </w:r>
            </w:p>
            <w:p w14:paraId="264D9E4C" w14:textId="77777777">
              <w:pPr>
                <w:suppressAutoHyphens/>
                <w:jc w:val="both"/>
                <w:rPr>
                  <w:rFonts w:cs="Calibri"/>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AFC6C9" w14:textId="77777777">
      <w:pPr>
        <w:suppressAutoHyphens/>
        <w:rPr>
          <w:rFonts w:cs="Calibri"/>
          <w:lang w:val="en-GB" w:eastAsia="ar-SA"/>
        </w:rPr>
      </w:pPr>
      <w:r>
        <w:rPr>
          <w:rFonts w:cs="Calibri"/>
          <w:lang w:val="en-GB" w:eastAsia="ar-SA"/>
        </w:rPr>
        <w:separator/>
      </w:r>
    </w:p>
  </w:endnote>
  <w:endnote w:type="continuationSeparator" w:id="0">
    <w:p w14:paraId="249922C6"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umberland">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B75B7" w14:textId="77777777">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236D8" w14:textId="77777777">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36666F" w14:textId="77777777">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723015" w14:textId="77777777">
      <w:pPr>
        <w:suppressAutoHyphens/>
        <w:rPr>
          <w:rFonts w:cs="Calibri"/>
          <w:lang w:val="en-GB" w:eastAsia="ar-SA"/>
        </w:rPr>
      </w:pPr>
      <w:r>
        <w:rPr>
          <w:rFonts w:cs="Calibri"/>
          <w:lang w:val="en-GB" w:eastAsia="ar-SA"/>
        </w:rPr>
        <w:separator/>
      </w:r>
    </w:p>
  </w:footnote>
  <w:footnote w:type="continuationSeparator" w:id="0">
    <w:p w14:paraId="058DC914"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025E6" w14:textId="77777777">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50F8B1" w14:textId="12E0042D">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4118915B" w14:textId="77777777">
    <w:pPr>
      <w:tabs>
        <w:tab w:val="center" w:pos="4819"/>
        <w:tab w:val="right" w:pos="9638"/>
      </w:tabs>
      <w:suppressAutoHyphens/>
      <w:rPr>
        <w:rFonts w:cs="Calibri"/>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5BF8A" w14:textId="4157888C">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AB4ECB"/>
  <w15:docId w15:val="{3B990FC7-2B96-46A7-B7D6-BBF06716C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8909210">
      <w:bodyDiv w:val="1"/>
      <w:marLeft w:val="0"/>
      <w:marRight w:val="0"/>
      <w:marTop w:val="0"/>
      <w:marBottom w:val="0"/>
      <w:divBdr>
        <w:top w:val="none" w:sz="0" w:space="0" w:color="auto"/>
        <w:left w:val="none" w:sz="0" w:space="0" w:color="auto"/>
        <w:bottom w:val="none" w:sz="0" w:space="0" w:color="auto"/>
        <w:right w:val="none" w:sz="0" w:space="0" w:color="auto"/>
      </w:divBdr>
    </w:div>
    <w:div w:id="1816755851">
      <w:bodyDiv w:val="1"/>
      <w:marLeft w:val="0"/>
      <w:marRight w:val="0"/>
      <w:marTop w:val="0"/>
      <w:marBottom w:val="0"/>
      <w:divBdr>
        <w:top w:val="none" w:sz="0" w:space="0" w:color="auto"/>
        <w:left w:val="none" w:sz="0" w:space="0" w:color="auto"/>
        <w:bottom w:val="none" w:sz="0" w:space="0" w:color="auto"/>
        <w:right w:val="none" w:sz="0" w:space="0" w:color="auto"/>
      </w:divBdr>
    </w:div>
    <w:div w:id="1877161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c1bb41b1f2a4d538de1782528546af5" PartId="348a0d5f9d6042fb8bd791d488d30786">
    <Part Type="preambule" DocPartId="62a606e5dad9463babdc6b290d4faa1b" PartId="8360b9102a194351869b4f91310fab38"/>
    <Part Type="pastraipa" DocPartId="40ee720131f64090b3a96cf737136afa" PartId="c7b6bf8caaf54e5c89cca34f8c1fb526"/>
    <Part Type="punktas" Nr="1" Abbr="1 p." DocPartId="1a2e85484e2c443a87a7c0c33152b48a" PartId="fa26263523b749bda6855ab9be74adc1">
      <Part Type="papunktis" Nr="1.1" Abbr="1.1 pp." DocPartId="21c1bceb40b542fda83a77ee46ae1a21" PartId="c5c92e7cbe274cba973fa7ce70bd440f">
        <Part Type="citata" DocPartId="bfe82b68e6054957828ce2491d476cd4" PartId="28ffaa0f1e7648448744a61495dd68db">
          <Part Type="punktas" Nr="1" Abbr="1 p." DocPartId="1246254287284b209cfe1bc8501129ea" PartId="ed12d7ba70824c0fa5d189b290ef908d"/>
        </Part>
      </Part>
      <Part Type="papunktis" Nr="1.2" Abbr="1.2 pp." DocPartId="d030ed1f4d6647beb0910fee871b022e" PartId="7cac1f11807f45839c130c910d633e2c">
        <Part Type="citata" DocPartId="4c66ffa4420e4a4c9501bc25eaf926b3" PartId="302c1aaa89214076a36149aa1dbacb7c">
          <Part Type="punktas" Nr="2" Abbr="2 p." DocPartId="b312b0b6dc0c4c7ebc97098340ff1107" PartId="78e2d88cbe1b4eb18c01cbc51432bb92"/>
        </Part>
      </Part>
      <Part Type="papunktis" Nr="1.3" Abbr="1.3 pp." DocPartId="22b2f3a39c0b46d3ac8c0e1ca29bb23f" PartId="765efc3411d849e8b712f524600e4e1b">
        <Part Type="citata" DocPartId="d88c685dc6cb44508786707d16022f9a" PartId="f011db09dfce4ff9823aa4f450d2eb5a">
          <Part Type="papunktis" Nr="8.8" Abbr="8.8 pp." DocPartId="77ae4789060340f9957e976b3d08d75e" PartId="2d0d6f8105e44d33b57e784da815a83b"/>
        </Part>
      </Part>
      <Part Type="papunktis" Nr="1.4" Abbr="1.4 pp." DocPartId="07d98a76f6d2408a8eb8b8fe2119f11a" PartId="d7b0465acc5d4999b417fd069cb51659">
        <Part Type="citata" DocPartId="3ee76cd6ae9e459bb7a9b162ace8bf35" PartId="0faba24c882344dc9393522a7a94e714">
          <Part Type="papunktis" Nr="8.9" Abbr="8.9 pp." DocPartId="4d4b50447e7f4a669c3ee8015669b324" PartId="3077e51fcfce4ac2818fa8b6080d8bfb"/>
        </Part>
      </Part>
      <Part Type="papunktis" Nr="1.5" Abbr="1.5 pp." DocPartId="0e86e1b33dbf439193aca42afd310bf9" PartId="b2344ac1df694503b550eb45facd4b19">
        <Part Type="citata" DocPartId="3f1d2328913849cdb392f552a6bd0494" PartId="d899856d63d44aa3bcae7d9db1817657">
          <Part Type="punktas" Nr="14" Abbr="14 p." DocPartId="9ddaec4199d448378f85234db7ae57b5" PartId="c11219f7f8814c6bbb7d0bc1872de2ec"/>
        </Part>
      </Part>
      <Part Type="papunktis" Nr="1.6" Abbr="1.6 pp." DocPartId="a5a2f6c58b8f4873990776f5ee18e02e" PartId="772e8bc7ab5342deac386c0f9c385cb6">
        <Part Type="citata" DocPartId="66e0423ff01940399d03bf629387ecfa" PartId="ca7fda8416b24ba2bec4a436cbd722b9">
          <Part Type="papunktis" Nr="21.2" Abbr="21.2 pp." DocPartId="cb274b3e91dc43569a684879143370f5" PartId="3fdbbe6c697d4714b4961084bb4ca334"/>
        </Part>
      </Part>
      <Part Type="papunktis" Nr="1.7" Abbr="1.7 pp." DocPartId="4dea5ace83644029a185311e49bc765e" PartId="4cf2b6703b934381b4282d74c5cef28e"/>
    </Part>
    <Part Type="punktas" Nr="22" Abbr="22 p." Notes="Numeris ne iš eilės. Trūksta dalių? [DocDalys]" DocPartId="75c30fff78114977b8bb24c356dff57d" PartId="15a58a392cb7462896bf2d39eefbb0c1">
      <Part Type="papunktis" Nr="1.8" Abbr="1.8 pp." DocPartId="0ba62f7070b340c3a2d478497dd48200" PartId="bba4200a35be42418bd86bdc5a12475e">
        <Part Type="citata" DocPartId="7e95d37ec372494a85050c1fcb7b5a91" PartId="a5c18a1eb1794d52ad6c9de568c2c032">
          <Part Type="punktas" Nr="50" Abbr="50 p." DocPartId="d3f6aada78b14f8f901429403f53bc44" PartId="63e0ad083c0642afa18f4f6018445fd1"/>
        </Part>
      </Part>
    </Part>
    <Part Type="punktas" Nr="2" Abbr="2 p." Notes="Numeris ne iš eilės. Trūksta dalių? [DocDalys]" DocPartId="360da585d94f4f17b164a0db5f6fd5ca" PartId="37118395098c481686ff1c0a8da4aa8e"/>
    <Part Type="signatura" DocPartId="0de07c5bcd8a476ead6ab5f3dd842dc0" PartId="d093b3ee6ee14a8ab34cfa33a7a8739c"/>
  </Part>
</Parts>
</file>

<file path=customXml/itemProps1.xml><?xml version="1.0" encoding="utf-8"?>
<ds:datastoreItem xmlns:ds="http://schemas.openxmlformats.org/officeDocument/2006/customXml" ds:itemID="{3954B99D-FCD0-400D-A8B7-227FE0829061}">
  <ds:schemaRefs>
    <ds:schemaRef ds:uri="http://schemas.openxmlformats.org/officeDocument/2006/bibliography"/>
  </ds:schemaRefs>
</ds:datastoreItem>
</file>

<file path=customXml/itemProps2.xml><?xml version="1.0" encoding="utf-8"?>
<ds:datastoreItem xmlns:ds="http://schemas.openxmlformats.org/officeDocument/2006/customXml" ds:itemID="{D4EC44EA-C519-43E5-B787-2C83382F78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958</Words>
  <Characters>6457</Characters>
  <Application>Microsoft Office Word</Application>
  <DocSecurity>4</DocSecurity>
  <Lines>115</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7368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2025-10-29T08:24:00Z</dcterms:created>
  <dc:creator>Irena Paliulytė</dc:creator>
  <lastModifiedBy>adlibuser</lastModifiedBy>
  <lastPrinted>2025-10-28T07:24:00Z</lastPrinted>
  <dcterms:modified xsi:type="dcterms:W3CDTF">2025-10-29T08:24:00Z</dcterms:modified>
  <revision>2</revision>
</coreProperties>
</file>