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1b1dca2b234811af88479b787c78af"/>
        <w:lock w:val="sdtLocked"/>
        <w:richText/>
      </w:sdtPr>
      <w:sdtContent>
        <w:p w14:paraId="1046A592" w14:textId="77777777">
          <w:pPr>
            <w:tabs>
              <w:tab w:val="center" w:pos="4153"/>
              <w:tab w:val="right" w:pos="8306"/>
            </w:tabs>
            <w:spacing w:line="259" w:lineRule="auto"/>
            <w:jc w:val="center"/>
            <w:rPr>
              <w:kern w:val="2"/>
              <w:sz w:val="20"/>
            </w:rPr>
          </w:pPr>
          <w:r>
            <w:rPr>
              <w:kern w:val="2"/>
              <w:sz w:val="22"/>
              <w:szCs w:val="22"/>
              <w:lang w:val="en-US"/>
            </w:rPr>
            <w:drawing>
              <wp:inline distT="0" distB="0" distL="0" distR="0" wp14:anchorId="4FF1921C" wp14:editId="017F0DD9">
                <wp:extent cx="624840" cy="694785"/>
                <wp:effectExtent l="0" t="0" r="381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644570" cy="716724"/>
                        </a:xfrm>
                        <a:prstGeom prst="rect">
                          <a:avLst/>
                        </a:prstGeom>
                        <a:noFill/>
                        <a:ln>
                          <a:noFill/>
                        </a:ln>
                      </pic:spPr>
                    </pic:pic>
                  </a:graphicData>
                </a:graphic>
              </wp:inline>
            </w:drawing>
          </w:r>
        </w:p>
        <w:p w14:paraId="014A9122" w14:textId="77777777">
          <w:pPr>
            <w:tabs>
              <w:tab w:val="center" w:pos="4153"/>
              <w:tab w:val="right" w:pos="8306"/>
            </w:tabs>
            <w:spacing w:line="259" w:lineRule="auto"/>
            <w:jc w:val="center"/>
            <w:rPr>
              <w:kern w:val="2"/>
              <w:sz w:val="20"/>
            </w:rPr>
          </w:pPr>
        </w:p>
        <w:p w14:paraId="24AE7695" w14:textId="77777777">
          <w:pPr>
            <w:tabs>
              <w:tab w:val="center" w:pos="4153"/>
              <w:tab w:val="right" w:pos="8306"/>
            </w:tabs>
            <w:spacing w:line="259" w:lineRule="auto"/>
            <w:jc w:val="center"/>
            <w:rPr>
              <w:b/>
              <w:bCs/>
              <w:color w:val="000000"/>
              <w:kern w:val="2"/>
              <w:sz w:val="28"/>
              <w:szCs w:val="28"/>
            </w:rPr>
          </w:pPr>
          <w:r>
            <w:rPr>
              <w:b/>
              <w:bCs/>
              <w:color w:val="000000"/>
              <w:kern w:val="2"/>
              <w:sz w:val="28"/>
              <w:szCs w:val="28"/>
            </w:rPr>
            <w:t>LIETUVOS RESPUBLIKOS SVEIKATOS APSAUGOS MINISTERIJA</w:t>
          </w:r>
        </w:p>
        <w:p w14:paraId="5407F291" w14:textId="77777777">
          <w:pPr>
            <w:tabs>
              <w:tab w:val="center" w:pos="4153"/>
              <w:tab w:val="right" w:pos="8306"/>
            </w:tabs>
            <w:spacing w:line="259" w:lineRule="auto"/>
            <w:jc w:val="center"/>
            <w:rPr>
              <w:color w:val="000000"/>
              <w:kern w:val="2"/>
              <w:szCs w:val="24"/>
            </w:rPr>
          </w:pPr>
        </w:p>
        <w:p w14:paraId="6CDDE64F" w14:textId="77777777">
          <w:pPr>
            <w:spacing w:line="259" w:lineRule="auto"/>
            <w:rPr>
              <w:rFonts w:eastAsia="Calibri"/>
              <w:color w:val="2C3335"/>
              <w:szCs w:val="24"/>
              <w:lang w:val="en-US"/>
            </w:rPr>
          </w:pPr>
        </w:p>
        <w:tbl>
          <w:tblPr>
            <w:tblW w:w="9639" w:type="dxa"/>
            <w:jc w:val="center"/>
            <w:tblLayout w:type="fixed"/>
            <w:tblCellMar>
              <w:left w:w="0" w:type="dxa"/>
              <w:right w:w="0" w:type="dxa"/>
            </w:tblCellMar>
            <w:tblLook w:val="0000" w:firstRow="0" w:lastRow="0" w:firstColumn="0" w:lastColumn="0" w:noHBand="0" w:noVBand="0"/>
          </w:tblPr>
          <w:tblGrid>
            <w:gridCol w:w="5538"/>
            <w:gridCol w:w="1425"/>
            <w:gridCol w:w="426"/>
            <w:gridCol w:w="2250"/>
          </w:tblGrid>
          <w:tr w14:paraId="0638ECBC" w14:textId="77777777">
            <w:trPr>
              <w:cantSplit/>
              <w:trHeight w:val="270"/>
              <w:jc w:val="center"/>
            </w:trPr>
            <w:tc>
              <w:tcPr>
                <w:tcW w:w="5529" w:type="dxa"/>
                <w:vMerge w:val="restart"/>
              </w:tcPr>
              <w:p w14:paraId="1661BCB3" w14:textId="5E28DAB2">
                <w:pPr>
                  <w:ind w:right="708"/>
                  <w:rPr>
                    <w:rFonts w:eastAsia="Calibri"/>
                    <w:color w:val="000000"/>
                    <w:szCs w:val="24"/>
                  </w:rPr>
                </w:pPr>
                <w:r>
                  <w:rPr>
                    <w:rFonts w:eastAsia="Calibri"/>
                    <w:color w:val="000000"/>
                    <w:szCs w:val="24"/>
                  </w:rPr>
                  <w:t>Lietuvos Respublikos Vyriausybei</w:t>
                </w:r>
              </w:p>
              <w:p w14:paraId="4681D4F5" w14:textId="31911415">
                <w:pPr>
                  <w:ind w:right="708"/>
                  <w:rPr>
                    <w:rFonts w:eastAsia="Calibri"/>
                    <w:color w:val="000000"/>
                    <w:szCs w:val="24"/>
                  </w:rPr>
                </w:pPr>
              </w:p>
              <w:p w14:paraId="0BE5EC06" w14:textId="5AAC6D5E">
                <w:pPr>
                  <w:ind w:right="708"/>
                  <w:rPr>
                    <w:rFonts w:eastAsia="Calibri"/>
                    <w:color w:val="000000"/>
                    <w:szCs w:val="24"/>
                  </w:rPr>
                </w:pPr>
              </w:p>
            </w:tc>
            <w:tc>
              <w:tcPr>
                <w:tcW w:w="1422" w:type="dxa"/>
              </w:tcPr>
              <w:p w14:paraId="0E9C518A" w14:textId="741EE32A">
                <w:pPr>
                  <w:rPr>
                    <w:rFonts w:eastAsia="Calibri"/>
                    <w:color w:val="000000"/>
                    <w:szCs w:val="24"/>
                  </w:rPr>
                </w:pPr>
                <w:r>
                  <w:rPr>
                    <w:rFonts w:eastAsia="Calibri"/>
                    <w:color w:val="000000"/>
                    <w:szCs w:val="24"/>
                  </w:rPr>
                  <w:t>2026-</w:t>
                </w:r>
              </w:p>
            </w:tc>
            <w:tc>
              <w:tcPr>
                <w:tcW w:w="425" w:type="dxa"/>
              </w:tcPr>
              <w:p w14:paraId="1DF0C6D2" w14:textId="77777777">
                <w:pPr>
                  <w:rPr>
                    <w:rFonts w:eastAsia="Calibri"/>
                    <w:color w:val="000000"/>
                    <w:szCs w:val="24"/>
                  </w:rPr>
                </w:pPr>
                <w:r>
                  <w:rPr>
                    <w:rFonts w:eastAsia="Calibri"/>
                    <w:color w:val="000000"/>
                    <w:szCs w:val="24"/>
                  </w:rPr>
                  <w:t>Nr.</w:t>
                </w:r>
              </w:p>
            </w:tc>
            <w:tc>
              <w:tcPr>
                <w:tcW w:w="2246" w:type="dxa"/>
              </w:tcPr>
              <w:p w14:paraId="390815CB" w14:textId="788AB24D">
                <w:pPr>
                  <w:rPr>
                    <w:rFonts w:eastAsia="Calibri"/>
                    <w:color w:val="000000"/>
                    <w:szCs w:val="24"/>
                  </w:rPr>
                </w:pPr>
              </w:p>
            </w:tc>
          </w:tr>
          <w:tr w14:paraId="6A150433" w14:textId="77777777">
            <w:trPr>
              <w:cantSplit/>
              <w:trHeight w:val="270"/>
              <w:jc w:val="center"/>
            </w:trPr>
            <w:tc>
              <w:tcPr>
                <w:tcW w:w="5529" w:type="dxa"/>
                <w:vMerge/>
              </w:tcPr>
              <w:p w14:paraId="50DE8F8F" w14:textId="77777777">
                <w:pPr>
                  <w:ind w:right="708"/>
                  <w:rPr>
                    <w:rFonts w:eastAsia="Calibri"/>
                    <w:color w:val="000000"/>
                    <w:szCs w:val="24"/>
                  </w:rPr>
                </w:pPr>
              </w:p>
            </w:tc>
            <w:tc>
              <w:tcPr>
                <w:tcW w:w="1422" w:type="dxa"/>
              </w:tcPr>
              <w:p w14:paraId="053641B0" w14:textId="21F73E95">
                <w:pPr>
                  <w:ind w:right="-142"/>
                  <w:rPr>
                    <w:rFonts w:eastAsia="Calibri"/>
                    <w:color w:val="000000"/>
                    <w:szCs w:val="24"/>
                  </w:rPr>
                </w:pPr>
              </w:p>
            </w:tc>
            <w:tc>
              <w:tcPr>
                <w:tcW w:w="425" w:type="dxa"/>
              </w:tcPr>
              <w:p w14:paraId="0D829D29" w14:textId="7228CAC1">
                <w:pPr>
                  <w:rPr>
                    <w:rFonts w:eastAsia="Calibri"/>
                    <w:color w:val="000000"/>
                    <w:szCs w:val="24"/>
                  </w:rPr>
                </w:pPr>
              </w:p>
            </w:tc>
            <w:tc>
              <w:tcPr>
                <w:tcW w:w="2246" w:type="dxa"/>
              </w:tcPr>
              <w:p w14:paraId="66D3E56A" w14:textId="0CB7619F">
                <w:pPr>
                  <w:rPr>
                    <w:rFonts w:eastAsia="Calibri"/>
                    <w:color w:val="000000"/>
                    <w:szCs w:val="24"/>
                  </w:rPr>
                </w:pPr>
              </w:p>
            </w:tc>
          </w:tr>
        </w:tbl>
        <w:p w14:paraId="434EF98F" w14:textId="77777777">
          <w:pPr>
            <w:jc w:val="both"/>
            <w:rPr>
              <w:rFonts w:eastAsia="Calibri"/>
              <w:color w:val="2C3335"/>
              <w:szCs w:val="24"/>
            </w:rPr>
          </w:pPr>
        </w:p>
        <w:sdt>
          <w:sdtPr>
            <w:alias w:val="skirsnis"/>
            <w:tag w:val="part_7472ff1cd74c4556aa557930ae06c0ab"/>
            <w:lock w:val="sdtLocked"/>
            <w:richText/>
          </w:sdtPr>
          <w:sdtContent>
            <w:p w14:paraId="47C8C568" w14:textId="3CA85B60">
              <w:pPr>
                <w:jc w:val="both"/>
                <w:rPr>
                  <w:rFonts w:eastAsia="Calibri"/>
                  <w:b/>
                  <w:bCs/>
                  <w:szCs w:val="24"/>
                </w:rPr>
              </w:pPr>
              <w:sdt>
                <w:sdtPr>
                  <w:alias w:val="Pavadinimas"/>
                  <w:tag w:val="title_7472ff1cd74c4556aa557930ae06c0ab"/>
                  <w:lock w:val="sdtLocked"/>
                  <w:richText/>
                </w:sdtPr>
                <w:sdtContent>
                  <w:r>
                    <w:rPr>
                      <w:rFonts w:eastAsia="Calibri"/>
                      <w:b/>
                      <w:bCs/>
                      <w:szCs w:val="24"/>
                    </w:rPr>
                    <w:t>DĖL LIETUVOS RESPUBLIKOS VYRIAUSYBĖS NUTARIMO</w:t>
                  </w:r>
                </w:sdtContent>
              </w:sdt>
            </w:p>
            <w:p w14:paraId="7C49F42E" w14:textId="77777777">
              <w:pPr>
                <w:tabs>
                  <w:tab w:val="left" w:pos="7860"/>
                </w:tabs>
                <w:jc w:val="both"/>
                <w:rPr>
                  <w:rFonts w:eastAsia="Calibri"/>
                  <w:szCs w:val="24"/>
                </w:rPr>
              </w:pPr>
            </w:p>
            <w:p w14:paraId="67AC750B" w14:textId="3DA24778">
              <w:pPr>
                <w:spacing w:line="276" w:lineRule="auto"/>
                <w:ind w:firstLine="709"/>
                <w:jc w:val="both"/>
                <w:rPr>
                  <w:rFonts w:eastAsia="Calibri"/>
                  <w:szCs w:val="24"/>
                </w:rPr>
              </w:pPr>
              <w:r>
                <w:rPr>
                  <w:rFonts w:eastAsia="Calibri"/>
                  <w:szCs w:val="24"/>
                </w:rPr>
                <w:t xml:space="preserve">Lietuvos Respublikos sveikatos apsaugos ministerija teikia Lietuvos Respublikos Vyriausybės nutarimo „Dėl Lietuvos Respublikos Vyriausybės 2005 m. birželio 23 d. nutarimo Nr. 690 „Dėl Sveikatos priežiūros ir farmacijos specialistų praktikos licencijų registro reorganizavimo ir Sveikatos priežiūros ir farmacijos specialistų praktikos licencijų registro nuostatų patvirtinimo“ pripažinimo netekusiu galios“ projektą (toliau – Nutarimo projektas). </w:t>
              </w:r>
            </w:p>
            <w:p w14:paraId="268D16A3" w14:textId="34BDD441">
              <w:pPr>
                <w:spacing w:line="276" w:lineRule="auto"/>
                <w:ind w:firstLine="709"/>
                <w:jc w:val="both"/>
                <w:rPr>
                  <w:rFonts w:eastAsia="Calibri"/>
                  <w:szCs w:val="24"/>
                </w:rPr>
              </w:pPr>
              <w:r>
                <w:rPr>
                  <w:rFonts w:eastAsia="Calibri"/>
                  <w:szCs w:val="24"/>
                </w:rPr>
                <w:t xml:space="preserve">Nutarimo projektas parengtas siekiant įgyvendinti Lietuvos Respublikos valstybės informacinių išteklių valdymo įstatymo 27 straipsnio 1 dalies 1 punktą, kuriuo numatoma, kad informacinės sistemos nuostatus tvirtina informacinės sistemos valdytojas. Nutarimo projektu siūloma pripažinti netekusiais galios Vyriausybės patvirtintus Sveikatos priežiūros ir farmacijos specialistų praktikos licencijų registro nuostatus. </w:t>
              </w:r>
            </w:p>
            <w:p w14:paraId="5405FEED" w14:textId="189187AF">
              <w:pPr>
                <w:spacing w:line="276" w:lineRule="auto"/>
                <w:ind w:firstLine="709"/>
                <w:jc w:val="both"/>
                <w:rPr>
                  <w:rFonts w:eastAsia="Calibri"/>
                  <w:szCs w:val="24"/>
                </w:rPr>
              </w:pPr>
              <w:r>
                <w:rPr>
                  <w:rFonts w:eastAsia="Calibri"/>
                  <w:szCs w:val="24"/>
                </w:rPr>
                <w:t xml:space="preserve">Pažymėtina, kad vadovaujantis Lietuvos Respublikos medicinos praktikos įstatymo Nr. I-1555 4 straipsnio pakeitimo įstatymo 2 straipsnio 3 dalimi nuo 2027 m. sausio 1 d. Sveikatos priežiūros ir farmacijos specialistų praktikos licencijų registras likviduojamas, o jo duomenys perduodami į Lietuvos sveikatos priežiūros specialistų kompetencijų platformos informacinę sistemą, kurios valdytojas yra Valstybinės akreditavimo sveikatos priežiūros veiklai tarnyba prie Sveikatos apsaugos ministerijos. Lietuvos sveikatos priežiūros specialistų kompetencijų platformos informacinės sistemos nuostatai, patvirtinti Valstybinės akreditavimo sveikatos priežiūros veiklai tarnybos prie Sveikatos apsaugos ministerijos direktoriaus 2022 m. birželio 6 d. įsakymu Nr. T1-1869 „Dėl Lietuvos sveikatos priežiūros specialistų kompetencijų platformos informacinės sistemos nuostatų patvirtinimo“, bus pakeisti ir įsigalios 2027 m. sausio 1 d. </w:t>
              </w:r>
            </w:p>
            <w:p w14:paraId="0DAA2417" w14:textId="560E7C96">
              <w:pPr>
                <w:spacing w:line="276" w:lineRule="auto"/>
                <w:ind w:firstLine="709"/>
                <w:jc w:val="both"/>
                <w:rPr>
                  <w:rFonts w:eastAsia="Calibri"/>
                  <w:szCs w:val="24"/>
                </w:rPr>
              </w:pPr>
              <w:r>
                <w:rPr>
                  <w:rFonts w:eastAsia="Calibri"/>
                  <w:szCs w:val="24"/>
                </w:rPr>
                <w:t>Nutarimo projektas neprieštarauja Dvidešimtosios Lietuvos Respublikos Vyriausybės programos nuostatoms.</w:t>
              </w:r>
            </w:p>
            <w:p w14:paraId="533734A9" w14:textId="66334665">
              <w:pPr>
                <w:spacing w:line="276" w:lineRule="auto"/>
                <w:ind w:firstLine="709"/>
                <w:jc w:val="both"/>
                <w:rPr>
                  <w:rFonts w:eastAsia="Calibri"/>
                  <w:szCs w:val="24"/>
                </w:rPr>
              </w:pPr>
              <w:r>
                <w:rPr>
                  <w:rFonts w:eastAsia="Calibri"/>
                  <w:szCs w:val="24"/>
                </w:rPr>
                <w:t>Priėmus Nutarimo projektą, neigiamų pasekmių nenumatoma.</w:t>
              </w:r>
            </w:p>
            <w:p w14:paraId="07D3ABA9" w14:textId="54129CDC">
              <w:pPr>
                <w:spacing w:line="276" w:lineRule="auto"/>
                <w:ind w:firstLine="709"/>
                <w:jc w:val="both"/>
                <w:rPr>
                  <w:rFonts w:eastAsia="Calibri"/>
                  <w:szCs w:val="24"/>
                </w:rPr>
              </w:pPr>
              <w:r>
                <w:rPr>
                  <w:rFonts w:eastAsia="Calibri"/>
                  <w:szCs w:val="24"/>
                </w:rPr>
                <w:t>Antikorupcinis vertinimas neatliekamas, nes Nutarimo projekte nenumatyta reguliuoti visuomeninių santykių, nustatytų Lietuvos Respublikos korupcijos prevencijos įstatymo 8 straipsnio 1 dalyje.</w:t>
              </w:r>
            </w:p>
            <w:p w14:paraId="5E6D26C5" w14:textId="77777777">
              <w:pPr>
                <w:spacing w:line="276" w:lineRule="auto"/>
                <w:ind w:firstLine="709"/>
                <w:jc w:val="both"/>
                <w:rPr>
                  <w:rFonts w:eastAsia="Calibri"/>
                  <w:szCs w:val="24"/>
                </w:rPr>
              </w:pPr>
              <w:r>
                <w:rPr>
                  <w:rFonts w:eastAsia="Calibri"/>
                  <w:szCs w:val="24"/>
                </w:rPr>
                <w:t>Numatomo teisinio reguliavimo poveikio vertinimas pagal Numatomo teisinio reguliavimo poveikio vertinimo metodiką, patvirtintą Lietuvos Respublikos Vyriausybės 2003 m. vasario 26 d. nutarimu Nr. 276 „Dėl Numatomo teisinio reguliavimo poveikio vertinimo metodikos patvirtinimo“, neatliekamas.</w:t>
              </w:r>
            </w:p>
            <w:p w14:paraId="1C752C22" w14:textId="3D54112E">
              <w:pPr>
                <w:spacing w:line="276" w:lineRule="auto"/>
                <w:ind w:firstLine="709"/>
                <w:jc w:val="both"/>
                <w:rPr>
                  <w:rFonts w:eastAsia="Calibri"/>
                  <w:szCs w:val="24"/>
                </w:rPr>
              </w:pPr>
              <w:r>
                <w:rPr>
                  <w:rFonts w:eastAsia="Calibri"/>
                  <w:szCs w:val="24"/>
                </w:rPr>
                <w:t>Nutarimo projekto administracinės naštos vertinimas neatliekamas. Poveikis konkurencijai nenumatomas.</w:t>
              </w:r>
            </w:p>
            <w:p w14:paraId="562AE2A7" w14:textId="5D1C2667">
              <w:pPr>
                <w:spacing w:line="276" w:lineRule="auto"/>
                <w:ind w:firstLine="709"/>
                <w:jc w:val="both"/>
                <w:rPr>
                  <w:rFonts w:eastAsia="Calibri"/>
                  <w:szCs w:val="24"/>
                </w:rPr>
              </w:pPr>
              <w:r>
                <w:rPr>
                  <w:rFonts w:eastAsia="Calibri"/>
                  <w:szCs w:val="24"/>
                </w:rPr>
                <w:t>Nutarimo projektu neperkeliami ir neįgyvendinami Europos Sąjungos teisės aktai. Nutarimo projektas nenotifikuotinas Europos Komisijai pagal Lietuvos Respublikos Vyriausybės 1999 m. gegužės 20 d. nutarimo Nr. 617 „Dėl Keitimosi informacija apie standartus, techninius reglamentus ir atitikties įvertinimo procedūras taisyklių patvirtinimo“ reikalavimus.</w:t>
              </w:r>
            </w:p>
            <w:p w14:paraId="4645F364" w14:textId="1888296A">
              <w:pPr>
                <w:spacing w:line="276" w:lineRule="auto"/>
                <w:ind w:firstLine="709"/>
                <w:jc w:val="both"/>
                <w:rPr>
                  <w:rFonts w:eastAsia="Calibri"/>
                  <w:szCs w:val="24"/>
                </w:rPr>
              </w:pPr>
              <w:r>
                <w:rPr>
                  <w:rFonts w:eastAsia="Calibri"/>
                  <w:szCs w:val="24"/>
                </w:rPr>
                <w:t>Nutarimo projektui įgyvendinti papildomų valstybės biudžeto lėšų nereikės.</w:t>
              </w:r>
            </w:p>
            <w:p w14:paraId="04970B30" w14:textId="3220175B">
              <w:pPr>
                <w:spacing w:line="276" w:lineRule="auto"/>
                <w:ind w:firstLine="709"/>
                <w:jc w:val="both"/>
                <w:rPr>
                  <w:rFonts w:eastAsia="Calibri"/>
                  <w:szCs w:val="24"/>
                </w:rPr>
              </w:pPr>
              <w:r>
                <w:rPr>
                  <w:rFonts w:eastAsia="Calibri"/>
                  <w:szCs w:val="24"/>
                </w:rPr>
                <w:t>Nutarimo projekte neapibrėžiamos sąvokos ir jas įvardijantys terminai, kurie turėtų būti įvertinti Lietuvos Respublikos terminų banko įstatymo ir jo įgyvendinamųjų teisės aktų nustatyta tvarka.</w:t>
              </w:r>
            </w:p>
            <w:p w14:paraId="3194EB55" w14:textId="4AB878AC">
              <w:pPr>
                <w:spacing w:line="276" w:lineRule="auto"/>
                <w:ind w:firstLine="709"/>
                <w:jc w:val="both"/>
                <w:rPr>
                  <w:rFonts w:eastAsia="Calibri"/>
                  <w:szCs w:val="24"/>
                </w:rPr>
              </w:pPr>
              <w:r>
                <w:rPr>
                  <w:rFonts w:eastAsia="Calibri"/>
                  <w:szCs w:val="24"/>
                </w:rPr>
                <w:t xml:space="preserve">Nutarimo projektas (TAIS Nr. 26-7034) skelbtas Lietuvos Respublikos Seimo kanceliarijos teisės aktų informacinėje sistemoje (TAIS) derinimui nuo  2026 m. gegužės 12 d. iki 2026 m. gegužės  26 d. Buvo pateiktas derinti Lietuvos Respublikos ekonomikos ir inovacijų ministerijai, Lietuvos Respublikos teisingumo ministerijai ir Valstybės skaitmeninių sprendimų agentūrai. Šios institucijos pateiktam Nutarimo projektui pastabų ir pasiūlymų neturėjo.  Kitų pastabų nebuvo gauta. </w:t>
              </w:r>
            </w:p>
            <w:p w14:paraId="2BF37593" w14:textId="6201D1E8">
              <w:pPr>
                <w:spacing w:line="276" w:lineRule="auto"/>
                <w:ind w:firstLine="709"/>
                <w:jc w:val="both"/>
                <w:rPr>
                  <w:rFonts w:eastAsia="Calibri"/>
                  <w:szCs w:val="24"/>
                </w:rPr>
              </w:pPr>
              <w:r>
                <w:rPr>
                  <w:rFonts w:eastAsia="Calibri"/>
                  <w:szCs w:val="24"/>
                </w:rPr>
                <w:t>Nutarimo projektą rengė Valstybinės akreditavimo sveikatos priežiūros veiklai tarnybos prie Sveikatos apsaugos ministerijos (direktorius Tadas Žentelis (tel. 0 660 94682, el. p. tadas.zentelis@vaspvt.gov.lt) Teisės ir administravimo skyriaus vedėjas Darius Giruckas (tel. 0 616 91632, el. p. darius.giruckas@vaspvt.gov.lt), vyr. specialistė Lina Žongolavičiūtė (tel. 0 637 85567, el. p. lina.zongolaviciute@vaspvt.gov.lt).</w:t>
              </w:r>
            </w:p>
            <w:p w14:paraId="476C2BD9" w14:textId="77777777">
              <w:pPr>
                <w:tabs>
                  <w:tab w:val="right" w:pos="9498"/>
                </w:tabs>
                <w:spacing w:line="276" w:lineRule="auto"/>
                <w:ind w:firstLine="709"/>
                <w:jc w:val="both"/>
                <w:rPr>
                  <w:rFonts w:eastAsia="Calibri"/>
                  <w:szCs w:val="24"/>
                </w:rPr>
              </w:pPr>
            </w:p>
            <w:p w14:paraId="04776F4E" w14:textId="77777777">
              <w:pPr>
                <w:tabs>
                  <w:tab w:val="right" w:pos="9498"/>
                </w:tabs>
                <w:spacing w:line="276" w:lineRule="auto"/>
                <w:ind w:firstLine="709"/>
                <w:jc w:val="both"/>
                <w:rPr>
                  <w:rFonts w:eastAsia="Calibri"/>
                  <w:szCs w:val="24"/>
                </w:rPr>
              </w:pPr>
            </w:p>
            <w:p w14:paraId="5FE4BF5F" w14:textId="77777777">
              <w:pPr>
                <w:tabs>
                  <w:tab w:val="right" w:pos="9498"/>
                </w:tabs>
                <w:spacing w:line="276" w:lineRule="auto"/>
                <w:ind w:firstLine="709"/>
                <w:jc w:val="both"/>
                <w:rPr>
                  <w:rFonts w:eastAsia="Calibri"/>
                  <w:szCs w:val="24"/>
                </w:rPr>
              </w:pPr>
              <w:r>
                <w:rPr>
                  <w:rFonts w:eastAsia="Calibri"/>
                  <w:szCs w:val="24"/>
                </w:rPr>
                <w:t>PRIDEDAMA:</w:t>
              </w:r>
            </w:p>
            <w:sdt>
              <w:sdtPr>
                <w:alias w:val="1 p."/>
                <w:tag w:val="part_19fbf69ee06b4c3da6271e922bb92aff"/>
                <w:lock w:val="sdtLocked"/>
                <w:richText/>
              </w:sdtPr>
              <w:sdtContent>
                <w:p w14:paraId="2D28BEB5" w14:textId="4119FCB7">
                  <w:pPr>
                    <w:tabs>
                      <w:tab w:val="right" w:pos="9498"/>
                    </w:tabs>
                    <w:spacing w:line="276" w:lineRule="auto"/>
                    <w:ind w:left="1069" w:hanging="360"/>
                    <w:jc w:val="both"/>
                    <w:rPr>
                      <w:rFonts w:eastAsia="Calibri"/>
                      <w:szCs w:val="24"/>
                    </w:rPr>
                  </w:pPr>
                  <w:sdt>
                    <w:sdtPr>
                      <w:alias w:val="Numeris"/>
                      <w:tag w:val="nr_19fbf69ee06b4c3da6271e922bb92aff"/>
                      <w:lock w:val="sdtLocked"/>
                      <w:richText/>
                    </w:sdtPr>
                    <w:sdtContent>
                      <w:r>
                        <w:rPr>
                          <w:rFonts w:eastAsia="Calibri"/>
                          <w:szCs w:val="24"/>
                        </w:rPr>
                        <w:t>1</w:t>
                      </w:r>
                    </w:sdtContent>
                  </w:sdt>
                  <w:r>
                    <w:rPr>
                      <w:rFonts w:eastAsia="Calibri"/>
                      <w:szCs w:val="24"/>
                    </w:rPr>
                    <w:t>.</w:t>
                    <w:tab/>
                    <w:t xml:space="preserve">Nutarimo projektas,1 lapas. </w:t>
                  </w:r>
                </w:p>
              </w:sdtContent>
            </w:sdt>
            <w:sdt>
              <w:sdtPr>
                <w:alias w:val="2 p."/>
                <w:tag w:val="part_da7d35ff8fce46f0b1512e0f1c72010c"/>
                <w:lock w:val="sdtLocked"/>
                <w:richText/>
              </w:sdtPr>
              <w:sdtContent>
                <w:p w14:paraId="7BAEE5EA" w14:textId="2AFEBFF8">
                  <w:pPr>
                    <w:tabs>
                      <w:tab w:val="right" w:pos="9498"/>
                    </w:tabs>
                    <w:spacing w:line="276" w:lineRule="auto"/>
                    <w:ind w:left="1069" w:hanging="360"/>
                    <w:jc w:val="both"/>
                    <w:rPr>
                      <w:rFonts w:eastAsia="Calibri"/>
                      <w:szCs w:val="24"/>
                    </w:rPr>
                  </w:pPr>
                  <w:sdt>
                    <w:sdtPr>
                      <w:alias w:val="Numeris"/>
                      <w:tag w:val="nr_da7d35ff8fce46f0b1512e0f1c72010c"/>
                      <w:lock w:val="sdtLocked"/>
                      <w:richText/>
                    </w:sdtPr>
                    <w:sdtContent>
                      <w:r>
                        <w:rPr>
                          <w:rFonts w:eastAsia="Calibri"/>
                          <w:szCs w:val="24"/>
                        </w:rPr>
                        <w:t>2</w:t>
                      </w:r>
                    </w:sdtContent>
                  </w:sdt>
                  <w:r>
                    <w:rPr>
                      <w:rFonts w:eastAsia="Calibri"/>
                      <w:szCs w:val="24"/>
                    </w:rPr>
                    <w:t>.</w:t>
                    <w:tab/>
                    <w:t xml:space="preserve">Derinimo raštai, 6 lapai. </w:t>
                  </w:r>
                </w:p>
                <w:p w14:paraId="75ABA5C7" w14:textId="77777777">
                  <w:pPr>
                    <w:tabs>
                      <w:tab w:val="right" w:pos="9498"/>
                    </w:tabs>
                    <w:spacing w:line="276" w:lineRule="auto"/>
                    <w:rPr>
                      <w:rFonts w:eastAsia="Calibri"/>
                      <w:szCs w:val="24"/>
                    </w:rPr>
                  </w:pPr>
                </w:p>
                <w:p w14:paraId="4635A67D" w14:textId="77777777">
                  <w:pPr>
                    <w:tabs>
                      <w:tab w:val="right" w:pos="9498"/>
                    </w:tabs>
                    <w:spacing w:line="276" w:lineRule="auto"/>
                    <w:rPr>
                      <w:rFonts w:eastAsia="Calibri"/>
                      <w:szCs w:val="24"/>
                    </w:rPr>
                  </w:pPr>
                </w:p>
                <w:p w14:paraId="1F15E9BD" w14:textId="77777777">
                  <w:pPr>
                    <w:tabs>
                      <w:tab w:val="right" w:pos="9498"/>
                    </w:tabs>
                    <w:spacing w:line="276" w:lineRule="auto"/>
                    <w:rPr>
                      <w:rFonts w:eastAsia="Calibri"/>
                      <w:szCs w:val="24"/>
                    </w:rPr>
                  </w:pPr>
                </w:p>
              </w:sdtContent>
            </w:sdt>
          </w:sdtContent>
        </w:sdt>
        <w:sdt>
          <w:sdtPr>
            <w:alias w:val="signatura"/>
            <w:tag w:val="part_4853347802c84d2abc670b03e39c5a35"/>
            <w:lock w:val="sdtLocked"/>
            <w:richText/>
          </w:sdtPr>
          <w:sdtContent>
            <w:p w14:paraId="26B4AE23" w14:textId="25E4FCB3">
              <w:pPr>
                <w:tabs>
                  <w:tab w:val="right" w:pos="9498"/>
                </w:tabs>
                <w:spacing w:line="276" w:lineRule="auto"/>
                <w:rPr>
                  <w:rFonts w:eastAsia="Calibri"/>
                  <w:szCs w:val="24"/>
                </w:rPr>
              </w:pPr>
              <w:r>
                <w:rPr>
                  <w:rFonts w:eastAsia="Calibri"/>
                  <w:szCs w:val="24"/>
                </w:rPr>
                <w:t xml:space="preserve">Laikinai einanti sveikatos apsaugos ministro pareigas </w:t>
                <w:tab/>
                <w:t xml:space="preserve">Marija Jakubauskienė </w:t>
              </w:r>
            </w:p>
            <w:p w14:paraId="7C892A36" w14:textId="77777777">
              <w:pPr>
                <w:spacing w:line="259" w:lineRule="auto"/>
                <w:rPr>
                  <w:rFonts w:eastAsia="Calibri"/>
                  <w:szCs w:val="24"/>
                </w:rPr>
              </w:pPr>
            </w:p>
            <w:p w14:paraId="35254DFB" w14:textId="77777777">
              <w:pPr>
                <w:spacing w:line="259" w:lineRule="auto"/>
                <w:rPr>
                  <w:rFonts w:eastAsia="Calibri"/>
                  <w:szCs w:val="24"/>
                </w:rPr>
              </w:pPr>
            </w:p>
            <w:p w14:paraId="732D7377" w14:textId="77777777">
              <w:pPr>
                <w:spacing w:line="259" w:lineRule="auto"/>
                <w:rPr>
                  <w:rFonts w:eastAsia="Calibri"/>
                  <w:szCs w:val="24"/>
                </w:rPr>
              </w:pPr>
            </w:p>
            <w:p w14:paraId="5FF9B505" w14:textId="769C7932">
              <w:pPr>
                <w:spacing w:line="259" w:lineRule="auto"/>
                <w:rPr>
                  <w:rFonts w:eastAsia="Calibri"/>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849" w:bottom="1134" w:left="1701" w:header="1134" w:footer="1134" w:gutter="0"/>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6F0FDA" w14:textId="77777777">
      <w:pPr>
        <w:rPr>
          <w:kern w:val="2"/>
          <w:sz w:val="22"/>
          <w:szCs w:val="22"/>
        </w:rPr>
      </w:pPr>
      <w:r>
        <w:rPr>
          <w:kern w:val="2"/>
          <w:sz w:val="22"/>
          <w:szCs w:val="22"/>
        </w:rPr>
        <w:separator/>
      </w:r>
    </w:p>
  </w:endnote>
  <w:endnote w:type="continuationSeparator" w:id="0">
    <w:p w14:paraId="37E29D2E" w14:textId="77777777">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venir Next">
    <w:altName w:val="Calibri"/>
    <w:charset w:val="00"/>
    <w:family w:val="swiss"/>
    <w:pitch w:val="variable"/>
    <w:sig w:usb0="8000002F" w:usb1="5000204A" w:usb2="00000000" w:usb3="00000000" w:csb0="0000009B"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F122F" w14:textId="77777777">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0D46D" w14:textId="77777777">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E2BA4" w14:textId="77777777">
    <w:pPr>
      <w:tabs>
        <w:tab w:val="right" w:pos="9638"/>
      </w:tabs>
      <w:spacing w:line="360" w:lineRule="auto"/>
      <w:rPr>
        <w:rFonts w:ascii="Avenir Next" w:eastAsia="Calibri" w:hAnsi="Avenir Next"/>
        <w:kern w:val="2"/>
        <w:sz w:val="2"/>
        <w:szCs w:val="2"/>
        <w:lang w:eastAsia="lt-LT"/>
      </w:rPr>
    </w:pPr>
  </w:p>
  <w:tbl>
    <w:tblPr>
      <w:tblW w:w="0" w:type="auto"/>
      <w:tblBorders>
        <w:top w:val="single" w:sz="4" w:space="0" w:color="auto"/>
      </w:tblBorders>
      <w:tblLook w:val="04A0" w:firstRow="1" w:lastRow="0" w:firstColumn="1" w:lastColumn="0" w:noHBand="0" w:noVBand="1"/>
    </w:tblPr>
    <w:tblGrid>
      <w:gridCol w:w="1528"/>
      <w:gridCol w:w="1795"/>
      <w:gridCol w:w="3572"/>
      <w:gridCol w:w="2461"/>
    </w:tblGrid>
    <w:tr w14:paraId="48908C71" w14:textId="77777777">
      <w:tc>
        <w:tcPr>
          <w:tcW w:w="1555" w:type="dxa"/>
          <w:vAlign w:val="center"/>
        </w:tcPr>
        <w:p w14:paraId="08ED059A" w14:textId="77777777">
          <w:pPr>
            <w:rPr>
              <w:sz w:val="10"/>
              <w:szCs w:val="10"/>
            </w:rPr>
          </w:pPr>
        </w:p>
        <w:p w14:paraId="07FCA251" w14:textId="77777777">
          <w:pPr>
            <w:rPr>
              <w:sz w:val="22"/>
              <w:szCs w:val="22"/>
            </w:rPr>
          </w:pPr>
          <w:r>
            <w:rPr>
              <w:sz w:val="22"/>
              <w:szCs w:val="22"/>
              <w:lang w:val="en-US"/>
            </w:rPr>
            <w:drawing>
              <wp:inline distT="0" distB="0" distL="0" distR="0" wp14:anchorId="739CD5E7" wp14:editId="62C6FC32">
                <wp:extent cx="533400" cy="628608"/>
                <wp:effectExtent l="0" t="0" r="0" b="635"/>
                <wp:docPr id="172559070"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14:paraId="01EBA7D7" w14:textId="77777777">
          <w:pPr>
            <w:rPr>
              <w:rFonts w:eastAsia="Calibri"/>
              <w:color w:val="000000"/>
              <w:sz w:val="18"/>
              <w:szCs w:val="18"/>
              <w:lang w:eastAsia="lt-LT"/>
            </w:rPr>
          </w:pPr>
          <w:r>
            <w:rPr>
              <w:rFonts w:eastAsia="Calibri"/>
              <w:color w:val="000000"/>
              <w:sz w:val="18"/>
              <w:szCs w:val="18"/>
              <w:lang w:eastAsia="lt-LT"/>
            </w:rPr>
            <w:t>Biudžetinė įstaiga</w:t>
          </w:r>
        </w:p>
        <w:p w14:paraId="48928F3D" w14:textId="77777777">
          <w:pPr>
            <w:rPr>
              <w:rFonts w:eastAsia="Calibri"/>
              <w:color w:val="000000"/>
              <w:sz w:val="18"/>
              <w:szCs w:val="18"/>
              <w:lang w:eastAsia="lt-LT"/>
            </w:rPr>
          </w:pPr>
          <w:r>
            <w:rPr>
              <w:rFonts w:eastAsia="Calibri"/>
              <w:color w:val="000000"/>
              <w:sz w:val="18"/>
              <w:szCs w:val="18"/>
              <w:lang w:eastAsia="lt-LT"/>
            </w:rPr>
            <w:t>Vilniaus g. 33</w:t>
          </w:r>
        </w:p>
        <w:p w14:paraId="398DF07A" w14:textId="77777777">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14:paraId="154F5695" w14:textId="573C868C">
          <w:pPr>
            <w:rPr>
              <w:rFonts w:eastAsia="Calibri"/>
              <w:color w:val="000000"/>
              <w:sz w:val="18"/>
              <w:szCs w:val="18"/>
              <w:lang w:eastAsia="lt-LT"/>
            </w:rPr>
          </w:pPr>
          <w:r>
            <w:rPr>
              <w:rFonts w:eastAsia="Calibri"/>
              <w:color w:val="000000"/>
              <w:sz w:val="18"/>
              <w:szCs w:val="18"/>
              <w:lang w:eastAsia="lt-LT"/>
            </w:rPr>
            <w:t>Tel. +370 800 66 004</w:t>
          </w:r>
        </w:p>
        <w:p w14:paraId="1FB958F0" w14:textId="77777777">
          <w:pPr>
            <w:rPr>
              <w:rFonts w:eastAsia="Calibri"/>
              <w:sz w:val="18"/>
              <w:szCs w:val="18"/>
              <w:lang w:eastAsia="lt-LT"/>
            </w:rPr>
          </w:pPr>
          <w:r>
            <w:rPr>
              <w:rFonts w:eastAsia="Calibri"/>
              <w:color w:val="000000"/>
              <w:sz w:val="18"/>
              <w:szCs w:val="18"/>
              <w:lang w:eastAsia="lt-LT"/>
            </w:rPr>
            <w:t xml:space="preserve">El. p. </w:t>
          </w:r>
          <w:r>
            <w:rPr>
              <w:rFonts w:eastAsia="Calibri"/>
              <w:sz w:val="18"/>
              <w:szCs w:val="18"/>
              <w:lang w:eastAsia="lt-LT"/>
            </w:rPr>
            <w:t>ministerija@sam.lt</w:t>
          </w:r>
          <w:r>
            <w:rPr>
              <w:rFonts w:eastAsia="Calibri"/>
              <w:color w:val="000000"/>
              <w:sz w:val="18"/>
              <w:szCs w:val="18"/>
              <w:lang w:eastAsia="lt-LT"/>
            </w:rPr>
            <w:t xml:space="preserve">, </w:t>
          </w:r>
          <w:r>
            <w:rPr>
              <w:rFonts w:eastAsia="Calibri"/>
              <w:sz w:val="18"/>
              <w:szCs w:val="18"/>
              <w:lang w:eastAsia="lt-LT"/>
            </w:rPr>
            <w:t>https://sam.lrv.lt</w:t>
          </w:r>
        </w:p>
        <w:p w14:paraId="2495BB9E" w14:textId="77777777">
          <w:pPr>
            <w:rPr>
              <w:sz w:val="22"/>
              <w:szCs w:val="22"/>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545" w:type="dxa"/>
          <w:vAlign w:val="center"/>
        </w:tcPr>
        <w:p w14:paraId="1F4B5A5E" w14:textId="77777777">
          <w:pPr>
            <w:rPr>
              <w:rFonts w:eastAsia="Calibri"/>
              <w:color w:val="000000"/>
              <w:sz w:val="18"/>
              <w:szCs w:val="18"/>
              <w:lang w:eastAsia="lt-LT"/>
            </w:rPr>
          </w:pPr>
          <w:r>
            <w:rPr>
              <w:rFonts w:eastAsia="Calibri"/>
              <w:color w:val="000000"/>
              <w:sz w:val="18"/>
              <w:szCs w:val="18"/>
              <w:lang w:eastAsia="lt-LT"/>
            </w:rPr>
            <w:t>Duomenys kaupiami ir saugomi Juridinių asmenų registre</w:t>
          </w:r>
        </w:p>
        <w:p w14:paraId="28D683F1" w14:textId="77777777">
          <w:pPr>
            <w:rPr>
              <w:sz w:val="22"/>
              <w:szCs w:val="22"/>
            </w:rPr>
          </w:pPr>
          <w:r>
            <w:rPr>
              <w:rFonts w:eastAsia="Calibri"/>
              <w:color w:val="000000"/>
              <w:sz w:val="18"/>
              <w:szCs w:val="18"/>
              <w:lang w:eastAsia="lt-LT"/>
            </w:rPr>
            <w:t>Kodas 188603472</w:t>
          </w:r>
        </w:p>
      </w:tc>
    </w:tr>
  </w:tbl>
  <w:p w14:paraId="6C68A75C" w14:textId="77777777">
    <w:pPr>
      <w:tabs>
        <w:tab w:val="right" w:pos="9638"/>
      </w:tabs>
      <w:spacing w:line="360" w:lineRule="auto"/>
      <w:rPr>
        <w:rFonts w:ascii="Avenir Next" w:eastAsia="Calibri" w:hAnsi="Avenir Next"/>
        <w:kern w:val="2"/>
        <w:sz w:val="2"/>
        <w:szCs w:val="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A264F2" w14:textId="77777777">
      <w:pPr>
        <w:rPr>
          <w:kern w:val="2"/>
          <w:sz w:val="22"/>
          <w:szCs w:val="22"/>
        </w:rPr>
      </w:pPr>
      <w:r>
        <w:rPr>
          <w:kern w:val="2"/>
          <w:sz w:val="22"/>
          <w:szCs w:val="22"/>
        </w:rPr>
        <w:separator/>
      </w:r>
    </w:p>
  </w:footnote>
  <w:footnote w:type="continuationSeparator" w:id="0">
    <w:p w14:paraId="069AD428" w14:textId="77777777">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25DBB" w14:textId="77777777">
    <w:pPr>
      <w:framePr w:wrap="auto" w:vAnchor="text" w:hAnchor="margin" w:xAlign="center" w:y="1"/>
      <w:tabs>
        <w:tab w:val="center" w:pos="4819"/>
        <w:tab w:val="right" w:pos="9638"/>
      </w:tabs>
      <w:rPr>
        <w:kern w:val="2"/>
        <w:sz w:val="22"/>
        <w:szCs w:val="22"/>
      </w:rPr>
    </w:pPr>
    <w:r>
      <w:rPr>
        <w:kern w:val="2"/>
        <w:sz w:val="22"/>
        <w:szCs w:val="22"/>
      </w:rPr>
      <w:fldChar w:fldCharType="begin"/>
    </w:r>
    <w:r>
      <w:rPr>
        <w:kern w:val="2"/>
        <w:sz w:val="22"/>
        <w:szCs w:val="22"/>
      </w:rPr>
      <w:instrText xml:space="preserve">PAGE  </w:instrText>
    </w:r>
    <w:r>
      <w:rPr>
        <w:kern w:val="2"/>
        <w:sz w:val="22"/>
        <w:szCs w:val="22"/>
      </w:rPr>
      <w:fldChar w:fldCharType="end"/>
    </w:r>
  </w:p>
  <w:p w14:paraId="34F28B67" w14:textId="77777777">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D1931" w14:textId="77777777">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14:paraId="491C67FC" w14:textId="77777777">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A41833" w14:textId="13DBCF15">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20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0306C"/>
  <w15:chartTrackingRefBased/>
  <w15:docId w15:val="{7D580E9B-AB95-4912-817B-25895DBFCF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7" Type="http://schemas.openxmlformats.org/officeDocument/2006/relationships/image" TargetMode="External" Target="cid:image010.jpg@01DA495F.B01CF720"/>
  <Relationship Id="rId8" Type="http://schemas.openxmlformats.org/officeDocument/2006/relationships/header" Target="header1.xml"/>
  <Relationship Id="rId9" Type="http://schemas.openxmlformats.org/officeDocument/2006/relationships/header" Target="header2.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3626ff3998f460c9f1a58f5519e5611" PartId="591b1dca2b234811af88479b787c78af">
    <Part Type="skirsnis" Title="DĖL LIETUVOS RESPUBLIKOS VYRIAUSYBĖS NUTARIMO" DocPartId="de8073c33e6041428901ec1924d27002" PartId="7472ff1cd74c4556aa557930ae06c0ab">
      <Part Type="punktas" Nr="1" Abbr="1 p." DocPartId="b0db65ff14bf494db2aa6a331ef8bb95" PartId="19fbf69ee06b4c3da6271e922bb92aff"/>
      <Part Type="punktas" Nr="2" Abbr="2 p." DocPartId="6e6b710db788404889edc82b64400350" PartId="da7d35ff8fce46f0b1512e0f1c72010c"/>
    </Part>
    <Part Type="signatura" DocPartId="953e891076fb4d4f96c87e37aee9ce77" PartId="4853347802c84d2abc670b03e39c5a35"/>
  </Part>
</Parts>
</file>

<file path=customXml/itemProps1.xml><?xml version="1.0" encoding="utf-8"?>
<ds:datastoreItem xmlns:ds="http://schemas.openxmlformats.org/officeDocument/2006/customXml" ds:itemID="{F8F5D90B-9640-4BD8-BECE-BEC5BF449B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497</Words>
  <Characters>3881</Characters>
  <Application>Microsoft Office Word</Application>
  <DocSecurity>4</DocSecurity>
  <Lines>79</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2026-07-03T12:18:00Z</dcterms:created>
  <dc:creator>Oksana Kavaliauskienė</dc:creator>
  <lastModifiedBy>adlibuser</lastModifiedBy>
  <dcterms:modified xsi:type="dcterms:W3CDTF">2026-07-03T12:18:00Z</dcterms:modified>
  <revision>2</revision>
</coreProperties>
</file>