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ab9c16542ad4f0eb49b7490592da609"/>
        <w:lock w:val="sdtLocked"/>
        <w:richText/>
      </w:sdtPr>
      <w:sdtContent>
        <w:p>
          <w:pPr>
            <w:ind w:left="1305" w:hanging="360"/>
            <w:jc w:val="right"/>
            <w:rPr>
              <w:b/>
              <w:bCs/>
              <w:szCs w:val="24"/>
              <w:lang w:eastAsia="lt-LT"/>
            </w:rPr>
          </w:pPr>
          <w:r>
            <w:rPr>
              <w:b/>
              <w:bCs/>
              <w:szCs w:val="24"/>
              <w:lang w:eastAsia="lt-LT"/>
            </w:rPr>
            <w:t>Projektas XIIP-1862(2)</w:t>
          </w:r>
        </w:p>
        <w:p>
          <w:pPr>
            <w:ind w:left="1305" w:hanging="360"/>
            <w:jc w:val="center"/>
            <w:rPr>
              <w:b/>
              <w:bCs/>
              <w:szCs w:val="24"/>
              <w:lang w:eastAsia="lt-LT"/>
            </w:rPr>
          </w:pPr>
        </w:p>
        <w:p>
          <w:pPr>
            <w:ind w:left="1305" w:hanging="360"/>
            <w:jc w:val="center"/>
            <w:rPr>
              <w:b/>
              <w:bCs/>
              <w:szCs w:val="24"/>
              <w:lang w:eastAsia="lt-LT"/>
            </w:rPr>
          </w:pPr>
        </w:p>
        <w:p>
          <w:pPr>
            <w:ind w:left="1305" w:hanging="360"/>
            <w:jc w:val="center"/>
            <w:rPr>
              <w:b/>
              <w:bCs/>
              <w:szCs w:val="24"/>
              <w:lang w:eastAsia="lt-LT"/>
            </w:rPr>
          </w:pPr>
          <w:r>
            <w:rPr>
              <w:b/>
              <w:bCs/>
              <w:szCs w:val="24"/>
              <w:lang w:eastAsia="lt-LT"/>
            </w:rPr>
            <w:t>LIETUVOS RESPUBLIKOS</w:t>
          </w:r>
        </w:p>
        <w:p>
          <w:pPr>
            <w:ind w:left="1305" w:hanging="360"/>
            <w:jc w:val="center"/>
            <w:rPr>
              <w:b/>
              <w:bCs/>
              <w:szCs w:val="24"/>
              <w:lang w:eastAsia="lt-LT"/>
            </w:rPr>
          </w:pPr>
          <w:r>
            <w:rPr>
              <w:b/>
              <w:bCs/>
              <w:szCs w:val="24"/>
              <w:lang w:eastAsia="lt-LT"/>
            </w:rPr>
            <w:t xml:space="preserve">ŽEMĖS ŪKIO PASKIRTIES ŽEMĖS ĮSIGIJIMO ĮSTATYMO </w:t>
          </w:r>
        </w:p>
        <w:p>
          <w:pPr>
            <w:ind w:left="1305" w:hanging="360"/>
            <w:jc w:val="center"/>
            <w:rPr>
              <w:b/>
              <w:bCs/>
              <w:szCs w:val="24"/>
              <w:lang w:eastAsia="lt-LT"/>
            </w:rPr>
          </w:pPr>
          <w:r>
            <w:rPr>
              <w:b/>
              <w:bCs/>
              <w:szCs w:val="24"/>
              <w:lang w:eastAsia="lt-LT"/>
            </w:rPr>
            <w:t>NR. XII-1314 2 STRAIPSNIO PAKEITIMO</w:t>
          </w:r>
        </w:p>
        <w:p>
          <w:pPr>
            <w:ind w:left="1305" w:hanging="360"/>
            <w:jc w:val="center"/>
            <w:rPr>
              <w:b/>
              <w:bCs/>
              <w:szCs w:val="24"/>
              <w:lang w:eastAsia="lt-LT"/>
            </w:rPr>
          </w:pPr>
          <w:r>
            <w:rPr>
              <w:b/>
              <w:bCs/>
              <w:szCs w:val="24"/>
              <w:lang w:eastAsia="lt-LT"/>
            </w:rPr>
            <w:t>ĮSTATYMAS</w:t>
          </w:r>
        </w:p>
        <w:p>
          <w:pPr>
            <w:ind w:left="1305" w:hanging="360"/>
            <w:jc w:val="center"/>
            <w:rPr>
              <w:b/>
              <w:bCs/>
              <w:szCs w:val="24"/>
              <w:lang w:eastAsia="lt-LT"/>
            </w:rPr>
          </w:pPr>
        </w:p>
        <w:p>
          <w:pPr>
            <w:ind w:left="1305" w:hanging="360"/>
            <w:jc w:val="center"/>
            <w:rPr>
              <w:bCs/>
              <w:szCs w:val="24"/>
              <w:lang w:eastAsia="lt-LT"/>
            </w:rPr>
          </w:pPr>
          <w:r>
            <w:rPr>
              <w:bCs/>
              <w:szCs w:val="24"/>
              <w:lang w:eastAsia="lt-LT"/>
            </w:rPr>
            <w:t xml:space="preserve">2014 m.         mėn.    d.</w:t>
          </w:r>
        </w:p>
        <w:p>
          <w:pPr>
            <w:ind w:left="1305" w:hanging="360"/>
            <w:jc w:val="both"/>
            <w:rPr>
              <w:b/>
              <w:bCs/>
              <w:szCs w:val="24"/>
              <w:lang w:eastAsia="lt-LT"/>
            </w:rPr>
          </w:pPr>
        </w:p>
        <w:sdt>
          <w:sdtPr>
            <w:alias w:val="1 str."/>
            <w:tag w:val="part_5156716ed3e84414ae4b7e91fbfa5ecb"/>
            <w:lock w:val="sdtLocked"/>
            <w:richText/>
          </w:sdtPr>
          <w:sdtContent>
            <w:p>
              <w:pPr>
                <w:ind w:firstLine="945"/>
                <w:jc w:val="both"/>
                <w:rPr>
                  <w:b/>
                  <w:bCs/>
                  <w:szCs w:val="24"/>
                  <w:lang w:eastAsia="lt-LT"/>
                </w:rPr>
              </w:pPr>
              <w:sdt>
                <w:sdtPr>
                  <w:alias w:val="Numeris"/>
                  <w:tag w:val="nr_5156716ed3e84414ae4b7e91fbfa5ecb"/>
                  <w:lock w:val="sdtLocked"/>
                  <w:richText/>
                </w:sdtPr>
                <w:sdtContent>
                  <w:r>
                    <w:rPr>
                      <w:b/>
                      <w:bCs/>
                      <w:szCs w:val="24"/>
                      <w:lang w:eastAsia="lt-LT"/>
                    </w:rPr>
                    <w:t>1</w:t>
                  </w:r>
                </w:sdtContent>
              </w:sdt>
              <w:r>
                <w:rPr>
                  <w:b/>
                  <w:bCs/>
                  <w:szCs w:val="24"/>
                  <w:lang w:eastAsia="lt-LT"/>
                </w:rPr>
                <w:t xml:space="preserve"> straipsnis. </w:t>
              </w:r>
              <w:sdt>
                <w:sdtPr>
                  <w:alias w:val="Pavadinimas"/>
                  <w:tag w:val="title_5156716ed3e84414ae4b7e91fbfa5ecb"/>
                  <w:lock w:val="sdtLocked"/>
                  <w:richText/>
                </w:sdtPr>
                <w:sdtContent>
                  <w:r>
                    <w:rPr>
                      <w:b/>
                      <w:bCs/>
                      <w:szCs w:val="24"/>
                      <w:lang w:eastAsia="lt-LT"/>
                    </w:rPr>
                    <w:t>2 straipsnio pakeitimas</w:t>
                  </w:r>
                </w:sdtContent>
              </w:sdt>
            </w:p>
            <w:sdt>
              <w:sdtPr>
                <w:alias w:val="1 str. 1 d."/>
                <w:tag w:val="part_6c3c95acd4674ce3bd567906eaeca85a"/>
                <w:lock w:val="sdtLocked"/>
                <w:richText/>
              </w:sdtPr>
              <w:sdtContent>
                <w:p>
                  <w:pPr>
                    <w:spacing w:line="276" w:lineRule="auto"/>
                    <w:ind w:firstLine="945"/>
                    <w:jc w:val="both"/>
                    <w:rPr>
                      <w:rFonts w:cs="Courier New"/>
                      <w:szCs w:val="24"/>
                      <w:lang w:eastAsia="lt-LT"/>
                    </w:rPr>
                  </w:pPr>
                  <w:r>
                    <w:rPr>
                      <w:rFonts w:cs="Courier New"/>
                      <w:szCs w:val="24"/>
                      <w:lang w:eastAsia="lt-LT"/>
                    </w:rPr>
                    <w:t>Pakeisti 2 straipsnio 5 dalį ir ją išdėstyti taip:</w:t>
                  </w:r>
                </w:p>
                <w:sdt>
                  <w:sdtPr>
                    <w:alias w:val="citata"/>
                    <w:tag w:val="part_41bfb6818d5b492cb4533feaf3a96000"/>
                    <w:lock w:val="sdtLocked"/>
                    <w:richText/>
                  </w:sdtPr>
                  <w:sdtContent>
                    <w:sdt>
                      <w:sdtPr>
                        <w:alias w:val="5 d."/>
                        <w:tag w:val="part_620bca5f5dff41c7a2d530a6cf56dc61"/>
                        <w:lock w:val="sdtLocked"/>
                        <w:richText/>
                      </w:sdtPr>
                      <w:sdtContent>
                        <w:p>
                          <w:pPr>
                            <w:spacing w:line="276" w:lineRule="auto"/>
                            <w:ind w:firstLine="945"/>
                            <w:jc w:val="both"/>
                            <w:rPr>
                              <w:rFonts w:cs="Courier New"/>
                              <w:szCs w:val="24"/>
                            </w:rPr>
                          </w:pPr>
                          <w:r>
                            <w:rPr>
                              <w:rFonts w:cs="Courier New"/>
                              <w:szCs w:val="24"/>
                              <w:lang w:eastAsia="lt-LT"/>
                            </w:rPr>
                            <w:t>„</w:t>
                          </w:r>
                          <w:sdt>
                            <w:sdtPr>
                              <w:alias w:val="Numeris"/>
                              <w:tag w:val="nr_620bca5f5dff41c7a2d530a6cf56dc61"/>
                              <w:lock w:val="sdtLocked"/>
                              <w:richText/>
                            </w:sdtPr>
                            <w:sdtContent>
                              <w:r>
                                <w:rPr>
                                  <w:rFonts w:cs="Courier New"/>
                                  <w:color w:val="000000"/>
                                  <w:szCs w:val="24"/>
                                  <w:shd w:val="clear" w:color="auto" w:fill="FFFFFF"/>
                                </w:rPr>
                                <w:t>5</w:t>
                              </w:r>
                            </w:sdtContent>
                          </w:sdt>
                          <w:r>
                            <w:rPr>
                              <w:rFonts w:cs="Courier New"/>
                              <w:color w:val="000000"/>
                              <w:szCs w:val="24"/>
                              <w:shd w:val="clear" w:color="auto" w:fill="FFFFFF"/>
                            </w:rPr>
                            <w:t xml:space="preserve">. Šiame straipsnyje nustatyti reikalavimai netaikomi ir leidimas neprivalomas, kai žemės ūkio paskirties žemė </w:t>
                          </w:r>
                          <w:r>
                            <w:rPr>
                              <w:rFonts w:cs="Courier New"/>
                              <w:szCs w:val="24"/>
                            </w:rPr>
                            <w:t xml:space="preserve">dovanojama Civilinio Kodekso 3.135 straipsnyje nustatytiems </w:t>
                          </w:r>
                          <w:r>
                            <w:rPr>
                              <w:rFonts w:cs="Courier New"/>
                              <w:bCs/>
                              <w:color w:val="000000"/>
                              <w:szCs w:val="24"/>
                              <w:shd w:val="clear" w:color="auto" w:fill="FFFFFF"/>
                            </w:rPr>
                            <w:t>artimiesiems giminaičiams (tėvai ir vaikai, seneliai ir vaikaičiai, broliai ir seserys)</w:t>
                          </w:r>
                          <w:r>
                            <w:rPr>
                              <w:rFonts w:cs="Courier New"/>
                              <w:color w:val="000000"/>
                              <w:szCs w:val="24"/>
                              <w:shd w:val="clear" w:color="auto" w:fill="FFFFFF"/>
                            </w:rPr>
                            <w:t> </w:t>
                          </w:r>
                          <w:r>
                            <w:rPr>
                              <w:rFonts w:cs="Courier New"/>
                              <w:bCs/>
                              <w:color w:val="000000"/>
                              <w:szCs w:val="24"/>
                              <w:shd w:val="clear" w:color="auto" w:fill="FFFFFF"/>
                            </w:rPr>
                            <w:t>taip pat sutuoktiniams, įtėviams, įvaikiams</w:t>
                          </w:r>
                          <w:r>
                            <w:rPr>
                              <w:rFonts w:cs="Courier New"/>
                              <w:szCs w:val="24"/>
                            </w:rPr>
                            <w:t>, kai</w:t>
                          </w:r>
                          <w:r>
                            <w:rPr>
                              <w:rFonts w:cs="Courier New"/>
                              <w:color w:val="000000"/>
                              <w:szCs w:val="24"/>
                              <w:shd w:val="clear" w:color="auto" w:fill="FFFFFF"/>
                            </w:rPr>
                            <w:t xml:space="preserve"> nuosavybėn įsigyjama tiek žemės, kad sudarius žemės ūkio paskirties žemės perleidimo sandorį asmeniui priklausantis žemės ūkio paskirties žemės plotas Lietuvos teritorijoje neviršija 10 ha kartu su jau turima tos pačios paskirties žeme, kai įsigyjami žemės ūkio paskirties žemės sklypai, naudojami nuosavybės teise turimiems ar kartu su žemės sklypu įsigyjamiems statiniams ir įrenginiams eksploatuoti, kai Žemės įstatymo nustatyta tvarka pirmumo teise perkami žemės sklypai, priskirti žemės konsolidacijos projekto teritorijai, kai pagal šį įstatymą perkami tarp nuosavybės teise valdomų žemės sklypų įsiterpę valstybiniai žemės ūkio paskirties žemės plotai arba kai privatizuojama naudojama asmeninio ūkio žemė Lietuvos Respublikos žemės reformos įstatymo (toliau – Žemės reformos įstatymas) nustatyta tvarka, arba kai įsigyjamas žemės sklypas patenka į teritoriją, kurioje pagal savivaldybės lygmens ir vietovės lygmens bendruosius planus žemę numatyta naudoti ne žemės ūkio veiklai, arba kai žemės ūkio paskirties žemės sklypas Lietuvos Respublikos civilinio kodekso (toliau – Civilinis kodeksas) 4.192 straipsnyje nustatyta tvarka perduodamas kredito įstaigai pagal sudarytą hipotekos sandorį. Perduotą kredito įstaigai žemės sklypą kredito įstaiga privalo realizuoti ne vėliau kaip per trejus metus nuo žemės sklypo įsigijimo.</w:t>
                          </w:r>
                          <w:r>
                            <w:rPr>
                              <w:rFonts w:cs="Courier New"/>
                              <w:szCs w:val="24"/>
                            </w:rPr>
                            <w:t>“</w:t>
                          </w:r>
                        </w:p>
                        <w:p>
                          <w:pPr>
                            <w:ind w:left="1305" w:hanging="360"/>
                            <w:jc w:val="both"/>
                            <w:rPr>
                              <w:szCs w:val="24"/>
                              <w:lang w:eastAsia="lt-LT"/>
                            </w:rPr>
                          </w:pPr>
                        </w:p>
                        <w:p>
                          <w:pPr>
                            <w:ind w:left="1305" w:hanging="360"/>
                            <w:jc w:val="both"/>
                            <w:rPr>
                              <w:szCs w:val="24"/>
                              <w:lang w:eastAsia="lt-LT"/>
                            </w:rPr>
                          </w:pPr>
                        </w:p>
                      </w:sdtContent>
                    </w:sdt>
                  </w:sdtContent>
                </w:sdt>
              </w:sdtContent>
            </w:sdt>
          </w:sdtContent>
        </w:sdt>
        <w:sdt>
          <w:sdtPr>
            <w:alias w:val="signatura"/>
            <w:tag w:val="part_5101e9054ba149a6828b0f5e6eea910b"/>
            <w:lock w:val="sdtLocked"/>
            <w:richText/>
          </w:sdtPr>
          <w:sdtContent>
            <w:p>
              <w:pPr>
                <w:ind w:left="1305" w:hanging="360"/>
                <w:jc w:val="both"/>
                <w:rPr>
                  <w:i/>
                  <w:szCs w:val="24"/>
                  <w:lang w:eastAsia="lt-LT"/>
                </w:rPr>
              </w:pPr>
              <w:r>
                <w:rPr>
                  <w:i/>
                  <w:szCs w:val="24"/>
                  <w:lang w:eastAsia="lt-LT"/>
                </w:rPr>
                <w:t>Skelbiu šį Lietuvos Respublikos Seimo priimtą įstatymą.</w:t>
              </w:r>
            </w:p>
            <w:p>
              <w:pPr>
                <w:ind w:left="1305" w:hanging="360"/>
                <w:jc w:val="both"/>
                <w:rPr>
                  <w:szCs w:val="24"/>
                  <w:lang w:eastAsia="lt-LT"/>
                </w:rPr>
              </w:pPr>
            </w:p>
            <w:p>
              <w:pPr>
                <w:ind w:left="1305" w:hanging="360"/>
                <w:jc w:val="both"/>
                <w:rPr>
                  <w:szCs w:val="24"/>
                  <w:lang w:eastAsia="lt-LT"/>
                </w:rPr>
              </w:pPr>
              <w:r>
                <w:rPr>
                  <w:szCs w:val="24"/>
                  <w:lang w:eastAsia="lt-LT"/>
                </w:rPr>
                <w:t>Respublikos Prezidentė</w:t>
              </w:r>
            </w:p>
            <w:p>
              <w:pPr>
                <w:ind w:left="1305" w:hanging="360"/>
                <w:jc w:val="both"/>
                <w:rPr>
                  <w:szCs w:val="24"/>
                  <w:lang w:eastAsia="lt-LT"/>
                </w:rPr>
              </w:pPr>
            </w:p>
            <w:p>
              <w:pPr>
                <w:spacing w:line="276" w:lineRule="auto"/>
                <w:rPr>
                  <w:szCs w:val="24"/>
                  <w:lang w:eastAsia="lt-LT"/>
                </w:rPr>
              </w:pPr>
            </w:p>
            <w:p>
              <w:pPr>
                <w:rPr>
                  <w:sz w:val="18"/>
                  <w:szCs w:val="18"/>
                </w:rPr>
              </w:pPr>
            </w:p>
          </w:sdtContent>
        </w:sdt>
        <w:sdt>
          <w:sdtPr>
            <w:alias w:val="signatura"/>
            <w:tag w:val="part_6a2e63becd114fe48523752215c707eb"/>
            <w:lock w:val="sdtLocked"/>
            <w:richText/>
          </w:sdtPr>
          <w:sdtContent>
            <w:p>
              <w:pPr>
                <w:spacing w:line="276" w:lineRule="auto"/>
                <w:rPr>
                  <w:szCs w:val="24"/>
                  <w:lang w:eastAsia="lt-LT"/>
                </w:rPr>
              </w:pPr>
              <w:r>
                <w:rPr>
                  <w:szCs w:val="24"/>
                  <w:lang w:eastAsia="lt-LT"/>
                </w:rPr>
                <w:t>Teikia:</w:t>
              </w:r>
            </w:p>
            <w:p>
              <w:pPr>
                <w:rPr>
                  <w:sz w:val="18"/>
                  <w:szCs w:val="18"/>
                </w:rPr>
              </w:pPr>
            </w:p>
          </w:sdtContent>
        </w:sdt>
        <w:sdt>
          <w:sdtPr>
            <w:alias w:val="signatura"/>
            <w:tag w:val="part_48b9a1e59a5f43b395eb96a8916ec974"/>
            <w:lock w:val="sdtLocked"/>
            <w:richText/>
          </w:sdtPr>
          <w:sdtContent>
            <w:p>
              <w:pPr>
                <w:spacing w:line="276" w:lineRule="auto"/>
                <w:rPr>
                  <w:rFonts w:cs="Courier New"/>
                  <w:szCs w:val="21"/>
                </w:rPr>
              </w:pPr>
              <w:r>
                <w:rPr>
                  <w:szCs w:val="24"/>
                  <w:lang w:eastAsia="lt-LT"/>
                </w:rPr>
                <w:t xml:space="preserve">Seimo nariai, </w:t>
              </w:r>
              <w:r>
                <w:rPr>
                  <w:rFonts w:cs="Courier New"/>
                  <w:szCs w:val="21"/>
                </w:rPr>
                <w:t xml:space="preserve">Komiteto išvadų rengėjai                                                           Vytautas Kamblevičius</w:t>
              </w:r>
            </w:p>
            <w:p>
              <w:pPr>
                <w:rPr>
                  <w:sz w:val="18"/>
                  <w:szCs w:val="18"/>
                </w:rPr>
              </w:pPr>
            </w:p>
            <w:p/>
          </w:sdtContent>
        </w:sdt>
        <w:sdt>
          <w:sdtPr>
            <w:alias w:val="signatura"/>
            <w:tag w:val="part_15d4cf6941de40f586e9c7bf5f37cd71"/>
            <w:lock w:val="sdtLocked"/>
            <w:richText/>
          </w:sdtPr>
          <w:sdtContent>
            <w:p>
              <w:pPr>
                <w:spacing w:after="200" w:line="276" w:lineRule="auto"/>
                <w:ind w:firstLine="720"/>
                <w:jc w:val="right"/>
                <w:rPr>
                  <w:b/>
                  <w:bCs/>
                  <w:szCs w:val="24"/>
                  <w:lang w:eastAsia="lt-LT"/>
                </w:rPr>
              </w:pPr>
              <w:r>
                <w:rPr>
                  <w:rFonts w:cs="Courier New"/>
                  <w:szCs w:val="21"/>
                </w:rPr>
                <w:t>Arvydas Vidžiūnas</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1C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92017568">
      <w:bodyDiv w:val="1"/>
      <w:marLeft w:val="225"/>
      <w:marRight w:val="225"/>
      <w:marTop w:val="0"/>
      <w:marBottom w:val="0"/>
      <w:divBdr>
        <w:top w:val="none" w:sz="0" w:space="0" w:color="auto"/>
        <w:left w:val="none" w:sz="0" w:space="0" w:color="auto"/>
        <w:bottom w:val="none" w:sz="0" w:space="0" w:color="auto"/>
        <w:right w:val="none" w:sz="0" w:space="0" w:color="auto"/>
      </w:divBdr>
      <w:divsChild>
        <w:div w:id="20013438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7c51eeb97db4f5dac00d98cc359509b" PartId="5ab9c16542ad4f0eb49b7490592da609">
    <Part Type="straipsnis" Nr="1" Abbr="1 str." Title="2 straipsnio pakeitimas" DocPartId="bfba84d77242451ab2c08b77ef3e098a" PartId="5156716ed3e84414ae4b7e91fbfa5ecb">
      <Part Type="strDalis" Nr="1" Abbr="1 str. 1 d." DocPartId="37b619cfcc314c93b244aa80ee9301bd" PartId="6c3c95acd4674ce3bd567906eaeca85a">
        <Part Type="citata" DocPartId="86cd4ced72fc44b995b748e242b62819" PartId="41bfb6818d5b492cb4533feaf3a96000">
          <Part Type="strDalis" Nr="5" Abbr="5 d." DocPartId="45f869dc3518420b8cdf1a2ef90649ef" PartId="620bca5f5dff41c7a2d530a6cf56dc61"/>
        </Part>
      </Part>
    </Part>
    <Part Type="signatura" DocPartId="2f315b6ed54b49afbe5a2ca7dd3a8e67" PartId="5101e9054ba149a6828b0f5e6eea910b"/>
    <Part Type="signatura" DocPartId="fc92ad64bacd4e2ca0b6dda9ca2955d1" PartId="6a2e63becd114fe48523752215c707eb"/>
    <Part Type="signatura" DocPartId="9b964e5c31434674bd5bfbad3ed4696e" PartId="48b9a1e59a5f43b395eb96a8916ec974"/>
    <Part Type="signatura" DocPartId="8f88d1313f8b4e4eb4f63bf9852a4aea" PartId="15d4cf6941de40f586e9c7bf5f37cd71"/>
  </Part>
</Parts>
</file>

<file path=customXml/itemProps1.xml><?xml version="1.0" encoding="utf-8"?>
<ds:datastoreItem xmlns:ds="http://schemas.openxmlformats.org/officeDocument/2006/customXml" ds:itemID="{FBC724B8-859A-4E92-8A74-6334549AB27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272</Words>
  <Characters>1862</Characters>
  <Application>Microsoft Office Word</Application>
  <DocSecurity>4</DocSecurity>
  <Lines>43</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2014-10-21T14:25:00Z</dcterms:created>
  <dc:creator>BROKORIUS Albinas</dc:creator>
  <lastModifiedBy>CLUSadmin</lastModifiedBy>
  <lastPrinted>2014-10-21T13:20:00Z</lastPrinted>
  <dcterms:modified xsi:type="dcterms:W3CDTF">2014-10-21T14:25:00Z</dcterms:modified>
  <revision>2</revision>
</coreProperties>
</file>