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03a7323254314e5190eacd4c6d3549d5"/>
        <w:lock w:val="sdtLocked"/>
        <w:richText/>
      </w:sdtPr>
      <w:sdtContent>
        <w:p w14:paraId="6D0D9F05" w14:textId="77777777">
          <w:pPr>
            <w:tabs>
              <w:tab w:val="center" w:pos="4819"/>
              <w:tab w:val="right" w:pos="9638"/>
            </w:tabs>
            <w:suppressAutoHyphens/>
            <w:ind w:firstLine="7192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Projektas</w:t>
          </w:r>
        </w:p>
        <w:p w14:paraId="07D39A69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ŠIAULIŲ MIESTO SAVIVALDYBĖS TARYBA</w:t>
          </w:r>
        </w:p>
        <w:p w14:paraId="07D39A6A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</w:p>
        <w:p w14:paraId="07D39A6B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07D39A6C" w14:textId="3DE9C4DB">
          <w:pPr>
            <w:suppressAutoHyphens/>
            <w:jc w:val="center"/>
            <w:rPr>
              <w:b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 xml:space="preserve">DĖL </w:t>
          </w:r>
          <w:r>
            <w:rPr>
              <w:b/>
              <w:szCs w:val="24"/>
              <w:lang w:eastAsia="ar-SA"/>
            </w:rPr>
            <w:t>ŠIAULIŲ „SANTAKOS“ UGDYMO CENTRO NUOSTATŲ PATVIRTINIMO</w:t>
          </w:r>
        </w:p>
        <w:p w14:paraId="07D39A6D" w14:textId="77777777">
          <w:pPr>
            <w:suppressAutoHyphens/>
            <w:rPr>
              <w:bCs/>
              <w:szCs w:val="24"/>
              <w:lang w:eastAsia="ar-SA"/>
            </w:rPr>
          </w:pPr>
        </w:p>
        <w:p w14:paraId="07D39A6E" w14:textId="3BFD1212">
          <w:pPr>
            <w:suppressAutoHyphens/>
            <w:jc w:val="center"/>
            <w:rPr>
              <w:bCs/>
              <w:szCs w:val="24"/>
              <w:lang w:eastAsia="ar-SA"/>
            </w:rPr>
          </w:pPr>
          <w:r>
            <w:rPr>
              <w:bCs/>
              <w:szCs w:val="24"/>
              <w:lang w:eastAsia="ar-SA"/>
            </w:rPr>
            <w:t xml:space="preserve">2025 m.                             d. Nr. </w:t>
          </w:r>
        </w:p>
        <w:p w14:paraId="07D39A6F" w14:textId="77777777">
          <w:pPr>
            <w:suppressAutoHyphens/>
            <w:jc w:val="center"/>
            <w:rPr>
              <w:bCs/>
              <w:szCs w:val="24"/>
              <w:lang w:eastAsia="ar-SA"/>
            </w:rPr>
          </w:pPr>
          <w:r>
            <w:rPr>
              <w:bCs/>
              <w:szCs w:val="24"/>
              <w:lang w:eastAsia="ar-SA"/>
            </w:rPr>
            <w:t>Šiauliai</w:t>
          </w:r>
        </w:p>
        <w:p w14:paraId="07D39A70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</w:p>
        <w:sdt>
          <w:sdtPr>
            <w:alias w:val="preambule"/>
            <w:tag w:val="part_fe3191a006e249d7bb05bcc374165e29"/>
            <w:lock w:val="sdtLocked"/>
            <w:richText/>
          </w:sdtPr>
          <w:sdtContent>
            <w:p w14:paraId="07D39A71" w14:textId="1AC2F81B">
              <w:pPr>
                <w:suppressAutoHyphens/>
                <w:ind w:firstLine="540"/>
                <w:jc w:val="both"/>
                <w:rPr>
                  <w:bCs/>
                  <w:spacing w:val="60"/>
                  <w:szCs w:val="24"/>
                  <w:lang w:eastAsia="ar-SA"/>
                </w:rPr>
              </w:pPr>
              <w:r>
                <w:rPr>
                  <w:bCs/>
                  <w:szCs w:val="24"/>
                  <w:lang w:eastAsia="ar-SA"/>
                </w:rPr>
                <w:t xml:space="preserve">Vadovaudamasi Lietuvos Respublikos vietos savivaldos įstatymo 15 straipsnio 2 dalies </w:t>
              </w:r>
              <w:r>
                <w:rPr>
                  <w:caps/>
                  <w:szCs w:val="24"/>
                  <w:lang w:eastAsia="ar-SA"/>
                </w:rPr>
                <w:t>9 </w:t>
              </w:r>
              <w:r>
                <w:rPr>
                  <w:bCs/>
                  <w:szCs w:val="24"/>
                  <w:lang w:eastAsia="ar-SA"/>
                </w:rPr>
                <w:t xml:space="preserve">punktu, Lietuvos Respublikos biudžetinių įstaigų įstatymo 5 straipsnio 3 dalies 1 punktu, 4 dalimi, 7 straipsniu, Šiaulių miesto savivaldybės taryba </w:t>
              </w:r>
              <w:r>
                <w:rPr>
                  <w:bCs/>
                  <w:spacing w:val="60"/>
                  <w:szCs w:val="24"/>
                  <w:lang w:eastAsia="ar-SA"/>
                </w:rPr>
                <w:t>nusprendžia:</w:t>
              </w:r>
            </w:p>
          </w:sdtContent>
        </w:sdt>
        <w:sdt>
          <w:sdtPr>
            <w:alias w:val="1 p."/>
            <w:tag w:val="part_e7a1ae0fb68b40a9bf23b8f5e41b6117"/>
            <w:lock w:val="sdtLocked"/>
            <w:richText/>
          </w:sdtPr>
          <w:sdtContent>
            <w:p w14:paraId="07D39A80" w14:textId="0D63C1AE">
              <w:pPr>
                <w:suppressAutoHyphens/>
                <w:ind w:left="927" w:hanging="360"/>
                <w:jc w:val="both"/>
                <w:rPr>
                  <w:bCs/>
                  <w:szCs w:val="24"/>
                  <w:lang w:eastAsia="ar-SA"/>
                </w:rPr>
              </w:pPr>
              <w:sdt>
                <w:sdtPr>
                  <w:alias w:val="Numeris"/>
                  <w:tag w:val="nr_e7a1ae0fb68b40a9bf23b8f5e41b6117"/>
                  <w:lock w:val="sdtLocked"/>
                  <w:richText/>
                </w:sdtPr>
                <w:sdtContent>
                  <w:r>
                    <w:rPr>
                      <w:bCs/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bCs/>
                  <w:szCs w:val="24"/>
                  <w:lang w:eastAsia="ar-SA"/>
                </w:rPr>
                <w:t>.</w:t>
                <w:tab/>
                <w:t>Patvirtinti Šiaulių „Santakos“ ugdymo centro nuostatus (pridedama).</w:t>
              </w:r>
            </w:p>
          </w:sdtContent>
        </w:sdt>
        <w:sdt>
          <w:sdtPr>
            <w:alias w:val="2 p."/>
            <w:tag w:val="part_6e5a46f8641f427cbca9e5f22662dbe6"/>
            <w:lock w:val="sdtLocked"/>
            <w:richText/>
          </w:sdtPr>
          <w:sdtContent>
            <w:p w14:paraId="07D39A84" w14:textId="7C02AAEA">
              <w:pPr>
                <w:tabs>
                  <w:tab w:val="left" w:pos="927"/>
                </w:tabs>
                <w:suppressAutoHyphens/>
                <w:ind w:firstLine="540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6e5a46f8641f427cbca9e5f22662dbe6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 xml:space="preserve">Pripažinti netekusiu galios Šiaulių miesto savivaldybės tarybos 2024 m. birželio 6 d. sprendimo Nr. T-223 </w:t>
              </w:r>
              <w:r>
                <w:rPr>
                  <w:bCs/>
                  <w:szCs w:val="24"/>
                  <w:lang w:eastAsia="ar-SA"/>
                </w:rPr>
                <w:t>„Dėl Šiaulių „Dermės“ ir Šiaulių „Ringuvos“ mokyklų, Šiaulių „Santakos“ ir Šiaulių „Spindulio“ ugdymo centrų nuostatų patvirtinimo“</w:t>
              </w:r>
              <w:r>
                <w:rPr>
                  <w:szCs w:val="24"/>
                  <w:lang w:eastAsia="ar-SA"/>
                </w:rPr>
                <w:t xml:space="preserve"> 1.3 papunktį.</w:t>
              </w:r>
              <w:r>
                <w:rPr>
                  <w:bCs/>
                  <w:szCs w:val="24"/>
                  <w:lang w:eastAsia="lt-LT"/>
                </w:rPr>
                <w:t xml:space="preserve"> </w:t>
              </w:r>
            </w:p>
          </w:sdtContent>
        </w:sdt>
        <w:sdt>
          <w:sdtPr>
            <w:alias w:val="3 p."/>
            <w:tag w:val="part_419cd8dac51c4673b7f51d9775915dfc"/>
            <w:lock w:val="sdtLocked"/>
            <w:richText/>
          </w:sdtPr>
          <w:sdtContent>
            <w:p w14:paraId="25FA078E" w14:textId="13D8B774">
              <w:pPr>
                <w:tabs>
                  <w:tab w:val="left" w:pos="927"/>
                </w:tabs>
                <w:suppressAutoHyphens/>
                <w:ind w:firstLine="540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419cd8dac51c4673b7f51d9775915dfc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3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Įgalioti Šiaulių „Santakos“ ugdymo centro direktorių pateikti Juridinių asmenų registrui šio sprendimo identifikacinį kodą Teisės aktų registre per 30 dienų nuo šio sprendimo įsigaliojimo dienos.</w:t>
              </w:r>
            </w:p>
            <w:p w14:paraId="07D39A85" w14:textId="709BCEE6">
              <w:pPr>
                <w:suppressAutoHyphens/>
                <w:jc w:val="both"/>
                <w:rPr>
                  <w:bCs/>
                  <w:caps/>
                  <w:szCs w:val="24"/>
                  <w:lang w:eastAsia="ar-SA"/>
                </w:rPr>
              </w:pPr>
            </w:p>
            <w:p w14:paraId="07D39A87" w14:textId="77777777">
              <w:pPr>
                <w:suppressAutoHyphens/>
                <w:rPr>
                  <w:b/>
                  <w:bCs/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3003afb38280440881d40fdbe24333d9"/>
            <w:lock w:val="sdtLocked"/>
            <w:richText/>
          </w:sdtPr>
          <w:sdtContent>
            <w:p w14:paraId="07D39A88" w14:textId="77777777">
              <w:pPr>
                <w:suppressAutoHyphens/>
                <w:jc w:val="both"/>
                <w:rPr>
                  <w:bCs/>
                  <w:szCs w:val="24"/>
                  <w:lang w:eastAsia="ar-SA"/>
                </w:rPr>
              </w:pPr>
              <w:r>
                <w:rPr>
                  <w:bCs/>
                  <w:szCs w:val="24"/>
                  <w:lang w:eastAsia="ar-SA"/>
                </w:rPr>
                <w:t>Savivaldybės meras</w:t>
              </w:r>
            </w:p>
            <w:p w14:paraId="07D39A89" w14:textId="77777777">
              <w:pPr>
                <w:tabs>
                  <w:tab w:val="left" w:pos="540"/>
                  <w:tab w:val="left" w:pos="126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07D39A8A" w14:textId="77777777">
              <w:pPr>
                <w:tabs>
                  <w:tab w:val="left" w:pos="540"/>
                  <w:tab w:val="left" w:pos="126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07D39A8B" w14:textId="77777777">
              <w:pPr>
                <w:tabs>
                  <w:tab w:val="left" w:pos="540"/>
                  <w:tab w:val="left" w:pos="126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07D39A8C" w14:textId="77777777">
              <w:pPr>
                <w:tabs>
                  <w:tab w:val="left" w:pos="540"/>
                  <w:tab w:val="left" w:pos="126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07D39A90" w14:textId="77777777">
              <w:pPr>
                <w:tabs>
                  <w:tab w:val="left" w:pos="540"/>
                  <w:tab w:val="left" w:pos="126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07D39A96" w14:textId="245D3B1A">
              <w:pPr>
                <w:suppressAutoHyphens/>
                <w:jc w:val="both"/>
                <w:rPr>
                  <w:szCs w:val="24"/>
                  <w:lang w:eastAsia="ar-SA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footnotePr>
        <w:pos w:val="beneathText"/>
      </w:footnotePr>
      <w:pgSz w:w="11905" w:h="16837"/>
      <w:pgMar w:top="1134" w:right="567" w:bottom="1134" w:left="1701" w:header="567" w:footer="1134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41C79E9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separator/>
      </w:r>
    </w:p>
  </w:endnote>
  <w:endnote w:type="continuationSeparator" w:id="0">
    <w:p w14:paraId="4A02330E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D5EBA4" w14:textId="77777777">
    <w:pPr>
      <w:tabs>
        <w:tab w:val="center" w:pos="4153"/>
        <w:tab w:val="right" w:pos="8306"/>
      </w:tabs>
      <w:suppressAutoHyphens/>
      <w:rPr>
        <w:szCs w:val="24"/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0AB2749" w14:textId="77777777">
    <w:pPr>
      <w:tabs>
        <w:tab w:val="center" w:pos="4153"/>
        <w:tab w:val="right" w:pos="8306"/>
      </w:tabs>
      <w:suppressAutoHyphens/>
      <w:rPr>
        <w:szCs w:val="24"/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1F3C99F" w14:textId="77777777">
    <w:pPr>
      <w:tabs>
        <w:tab w:val="center" w:pos="4153"/>
        <w:tab w:val="right" w:pos="8306"/>
      </w:tabs>
      <w:suppressAutoHyphens/>
      <w:rPr>
        <w:szCs w:val="24"/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72FDC6A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separator/>
      </w:r>
    </w:p>
  </w:footnote>
  <w:footnote w:type="continuationSeparator" w:id="0">
    <w:p w14:paraId="739810DA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31455BA" w14:textId="77777777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7D39A9B" w14:textId="77777777">
    <w:pPr>
      <w:tabs>
        <w:tab w:val="center" w:pos="4819"/>
        <w:tab w:val="right" w:pos="9638"/>
      </w:tabs>
      <w:suppressAutoHyphens/>
      <w:jc w:val="center"/>
      <w:rPr>
        <w:szCs w:val="24"/>
        <w:lang w:eastAsia="ar-SA"/>
      </w:rPr>
    </w:pPr>
    <w:r>
      <w:rPr>
        <w:szCs w:val="24"/>
        <w:lang w:eastAsia="ar-SA"/>
      </w:rPr>
      <w:fldChar w:fldCharType="begin"/>
    </w:r>
    <w:r>
      <w:rPr>
        <w:szCs w:val="24"/>
        <w:lang w:eastAsia="ar-SA"/>
      </w:rPr>
      <w:instrText>PAGE   \* MERGEFORMAT</w:instrText>
    </w:r>
    <w:r>
      <w:rPr>
        <w:szCs w:val="24"/>
        <w:lang w:eastAsia="ar-SA"/>
      </w:rPr>
      <w:fldChar w:fldCharType="separate"/>
    </w:r>
    <w:r>
      <w:rPr>
        <w:szCs w:val="24"/>
        <w:lang w:eastAsia="ar-SA"/>
      </w:rPr>
      <w:t>2</w:t>
    </w:r>
    <w:r>
      <w:rPr>
        <w:szCs w:val="24"/>
        <w:lang w:eastAsia="ar-SA"/>
      </w:rPr>
      <w:fldChar w:fldCharType="end"/>
    </w:r>
  </w:p>
  <w:p w14:paraId="07D39A9C" w14:textId="77777777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7D39A9D" w14:textId="3E9A80EC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340"/>
  <w:hyphenationZone w:val="396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/>
  </w:hdrShapeDefaults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01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7D39A69"/>
  <w15:chartTrackingRefBased/>
  <w15:docId w15:val="{19EEBEAE-0721-4ED0-AE4C-CA89548FA674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44900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a93fc880155b42a1981bbb9f4693d6b8" PartId="03a7323254314e5190eacd4c6d3549d5">
    <Part Type="preambule" DocPartId="ab261789b80340c398c2fd82a3e10718" PartId="fe3191a006e249d7bb05bcc374165e29"/>
    <Part Type="punktas" Nr="1" Abbr="1 p." DocPartId="d2c506c3913e43868d114b8df49c5472" PartId="e7a1ae0fb68b40a9bf23b8f5e41b6117"/>
    <Part Type="punktas" Nr="2" Abbr="2 p." DocPartId="eb9a326b05de4a7086b9e1311cda95ee" PartId="6e5a46f8641f427cbca9e5f22662dbe6"/>
    <Part Type="punktas" Nr="3" Abbr="3 p." DocPartId="60790a7bf8754961aed710f68d7d1d0a" PartId="419cd8dac51c4673b7f51d9775915dfc"/>
    <Part Type="signatura" DocPartId="948b9d8d2e2f45d1ac852ae6cf9c4c84" PartId="3003afb38280440881d40fdbe24333d9"/>
  </Part>
</Parts>
</file>

<file path=customXml/itemProps1.xml><?xml version="1.0" encoding="utf-8"?>
<ds:datastoreItem xmlns:ds="http://schemas.openxmlformats.org/officeDocument/2006/customXml" ds:itemID="{9FE3B0FF-E59E-4609-BBD7-76DDA6968F9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7707676-CB00-4996-87F2-6A69828683B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125</Words>
  <Characters>848</Characters>
  <Application>Microsoft Office Word</Application>
  <DocSecurity>4</DocSecurity>
  <Lines>28</Lines>
  <Paragraphs>12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ŠIAULIŲ STASIO ŠALKAUSKIO VIDURINĖS MOKYKLOS</vt:lpstr>
      <vt:lpstr>ŠIAULIŲ STASIO ŠALKAUSKIO VIDURINĖS MOKYKLOS </vt:lpstr>
    </vt:vector>
  </TitlesOfParts>
  <Company>Svietimo sk</Company>
  <LinksUpToDate>false</LinksUpToDate>
  <CharactersWithSpaces>961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2025-10-10T18:21:00Z</dcterms:created>
  <dc:creator>JŪRATĖ Butkuvienė</dc:creator>
  <lastModifiedBy>adlibuser</lastModifiedBy>
  <lastPrinted>2015-11-09T10:26:00Z</lastPrinted>
  <dcterms:modified xsi:type="dcterms:W3CDTF">2025-10-10T18:21:00Z</dcterms:modified>
  <revision>2</revision>
  <dc:title>ŠIAULIŲ STASIO ŠALKAUSKIO VIDURINĖS MOKYKLOS</dc:title>
</coreProperties>
</file>