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d43736ee391e4305b49daa3cceba15c0"/>
        <w:lock w:val="sdtLocked"/>
        <w:richText/>
      </w:sdtPr>
      <w:sdtContent>
        <w:p>
          <w:pPr>
            <w:tabs>
              <w:tab w:val="center" w:pos="4819"/>
              <w:tab w:val="right" w:pos="9638"/>
            </w:tabs>
            <w:spacing w:line="276" w:lineRule="auto"/>
            <w:rPr>
              <w:rFonts w:ascii="Calibri" w:eastAsia="Calibri" w:hAnsi="Calibri"/>
              <w:sz w:val="22"/>
              <w:szCs w:val="22"/>
            </w:rPr>
          </w:pPr>
        </w:p>
        <w:p>
          <w:pPr>
            <w:rPr>
              <w:sz w:val="18"/>
              <w:szCs w:val="18"/>
            </w:rPr>
          </w:pPr>
        </w:p>
        <w:p>
          <w:pPr>
            <w:ind w:left="6480" w:firstLine="1296"/>
            <w:rPr>
              <w:rFonts w:eastAsia="Calibri"/>
              <w:b/>
              <w:szCs w:val="24"/>
            </w:rPr>
          </w:pPr>
          <w:r>
            <w:rPr>
              <w:rFonts w:eastAsia="Calibri"/>
              <w:b/>
              <w:szCs w:val="24"/>
            </w:rPr>
            <w:t>Projektas</w:t>
          </w:r>
        </w:p>
        <w:p>
          <w:pPr>
            <w:jc w:val="center"/>
            <w:rPr>
              <w:rFonts w:eastAsia="Calibri"/>
              <w:b/>
              <w:szCs w:val="24"/>
            </w:rPr>
          </w:pPr>
        </w:p>
        <w:p>
          <w:pPr>
            <w:jc w:val="center"/>
            <w:rPr>
              <w:rFonts w:eastAsia="Calibri"/>
              <w:b/>
              <w:szCs w:val="24"/>
            </w:rPr>
          </w:pPr>
        </w:p>
        <w:p>
          <w:pPr>
            <w:jc w:val="center"/>
            <w:rPr>
              <w:rFonts w:eastAsia="Calibri"/>
              <w:b/>
              <w:szCs w:val="24"/>
            </w:rPr>
          </w:pPr>
          <w:r>
            <w:rPr>
              <w:rFonts w:eastAsia="Calibri"/>
              <w:b/>
              <w:szCs w:val="24"/>
            </w:rPr>
            <w:t>LIETUVOS RESPUBLIKOS</w:t>
          </w:r>
        </w:p>
        <w:p>
          <w:pPr>
            <w:jc w:val="center"/>
            <w:rPr>
              <w:rFonts w:eastAsia="Calibri"/>
              <w:b/>
              <w:szCs w:val="24"/>
            </w:rPr>
          </w:pPr>
          <w:r>
            <w:rPr>
              <w:rFonts w:eastAsia="Calibri"/>
              <w:b/>
              <w:szCs w:val="24"/>
            </w:rPr>
            <w:t>LIETUVOS BANKO ĮSTATYMO</w:t>
          </w:r>
          <w:r>
            <w:rPr>
              <w:rFonts w:ascii="Calibri" w:eastAsia="Calibri" w:hAnsi="Calibri"/>
              <w:sz w:val="22"/>
              <w:szCs w:val="22"/>
            </w:rPr>
            <w:t xml:space="preserve"> </w:t>
          </w:r>
          <w:r>
            <w:rPr>
              <w:rFonts w:eastAsia="Calibri"/>
              <w:b/>
              <w:szCs w:val="24"/>
            </w:rPr>
            <w:t>NR. I-678 42 STRAIPSNIO IR 1 PRIEDO PAKEITIMO</w:t>
          </w:r>
        </w:p>
        <w:p>
          <w:pPr>
            <w:jc w:val="center"/>
            <w:rPr>
              <w:rFonts w:eastAsia="Calibri"/>
              <w:szCs w:val="24"/>
              <w:lang w:eastAsia="lt-LT"/>
            </w:rPr>
          </w:pPr>
          <w:r>
            <w:rPr>
              <w:rFonts w:eastAsia="Calibri"/>
              <w:b/>
              <w:szCs w:val="24"/>
            </w:rPr>
            <w:t>ĮSTATYMAS</w:t>
          </w:r>
        </w:p>
        <w:p>
          <w:pPr>
            <w:jc w:val="center"/>
            <w:rPr>
              <w:rFonts w:eastAsia="Calibri"/>
              <w:szCs w:val="24"/>
            </w:rPr>
          </w:pPr>
        </w:p>
        <w:p>
          <w:pPr>
            <w:jc w:val="center"/>
            <w:rPr>
              <w:rFonts w:eastAsia="Calibri"/>
              <w:szCs w:val="24"/>
            </w:rPr>
          </w:pPr>
          <w:r>
            <w:rPr>
              <w:rFonts w:eastAsia="Calibri"/>
              <w:szCs w:val="24"/>
            </w:rPr>
            <w:t xml:space="preserve">2016 m.          d. Nr.</w:t>
          </w:r>
        </w:p>
        <w:p>
          <w:pPr>
            <w:jc w:val="center"/>
            <w:rPr>
              <w:rFonts w:eastAsia="Calibri"/>
              <w:szCs w:val="24"/>
            </w:rPr>
          </w:pPr>
          <w:r>
            <w:rPr>
              <w:rFonts w:eastAsia="Calibri"/>
              <w:szCs w:val="24"/>
            </w:rPr>
            <w:t>Vilnius</w:t>
          </w:r>
        </w:p>
        <w:p>
          <w:pPr>
            <w:jc w:val="center"/>
            <w:rPr>
              <w:rFonts w:eastAsia="Calibri"/>
              <w:szCs w:val="24"/>
            </w:rPr>
          </w:pPr>
        </w:p>
        <w:sdt>
          <w:sdtPr>
            <w:alias w:val="1 str."/>
            <w:tag w:val="part_defba26bfbce43fa94a31a33d8e928f7"/>
            <w:lock w:val="sdtLocked"/>
            <w:richText/>
          </w:sdtPr>
          <w:sdtContent>
            <w:p>
              <w:pPr>
                <w:ind w:firstLine="709"/>
                <w:jc w:val="both"/>
                <w:rPr>
                  <w:rFonts w:eastAsia="Calibri"/>
                  <w:b/>
                  <w:szCs w:val="24"/>
                </w:rPr>
              </w:pPr>
              <w:sdt>
                <w:sdtPr>
                  <w:alias w:val="Numeris"/>
                  <w:tag w:val="nr_defba26bfbce43fa94a31a33d8e928f7"/>
                  <w:lock w:val="sdtLocked"/>
                  <w:richText/>
                </w:sdtPr>
                <w:sdtContent>
                  <w:r>
                    <w:rPr>
                      <w:rFonts w:eastAsia="Calibri"/>
                      <w:b/>
                      <w:szCs w:val="24"/>
                    </w:rPr>
                    <w:t>1</w:t>
                  </w:r>
                </w:sdtContent>
              </w:sdt>
              <w:r>
                <w:rPr>
                  <w:rFonts w:eastAsia="Calibri"/>
                  <w:b/>
                  <w:szCs w:val="24"/>
                </w:rPr>
                <w:t xml:space="preserve"> straipsnis. </w:t>
              </w:r>
              <w:sdt>
                <w:sdtPr>
                  <w:alias w:val="Pavadinimas"/>
                  <w:tag w:val="title_defba26bfbce43fa94a31a33d8e928f7"/>
                  <w:lock w:val="sdtLocked"/>
                  <w:richText/>
                </w:sdtPr>
                <w:sdtContent>
                  <w:r>
                    <w:rPr>
                      <w:rFonts w:eastAsia="Calibri"/>
                      <w:b/>
                      <w:szCs w:val="24"/>
                    </w:rPr>
                    <w:t>42 straipsnio pakeitimas</w:t>
                  </w:r>
                </w:sdtContent>
              </w:sdt>
            </w:p>
            <w:sdt>
              <w:sdtPr>
                <w:alias w:val="1 str. 1 d."/>
                <w:tag w:val="part_ae306171defb4ff79f63da6bcca2c836"/>
                <w:lock w:val="sdtLocked"/>
                <w:richText/>
              </w:sdtPr>
              <w:sdtContent>
                <w:p>
                  <w:pPr>
                    <w:ind w:left="1080" w:hanging="360"/>
                    <w:jc w:val="both"/>
                    <w:rPr>
                      <w:rFonts w:eastAsia="Calibri"/>
                      <w:szCs w:val="24"/>
                    </w:rPr>
                  </w:pPr>
                  <w:sdt>
                    <w:sdtPr>
                      <w:alias w:val="Numeris"/>
                      <w:tag w:val="nr_ae306171defb4ff79f63da6bcca2c836"/>
                      <w:lock w:val="sdtLocked"/>
                      <w:richText/>
                    </w:sdtPr>
                    <w:sdtContent>
                      <w:r>
                        <w:rPr>
                          <w:rFonts w:eastAsia="Calibri"/>
                          <w:szCs w:val="24"/>
                        </w:rPr>
                        <w:t>1</w:t>
                      </w:r>
                    </w:sdtContent>
                  </w:sdt>
                  <w:r>
                    <w:rPr>
                      <w:rFonts w:eastAsia="Calibri"/>
                      <w:szCs w:val="24"/>
                    </w:rPr>
                    <w:t>.</w:t>
                    <w:tab/>
                    <w:t>Pakeisti 42 straipsnio 1 dalį ir ją išdėstyti taip:</w:t>
                  </w:r>
                </w:p>
                <w:sdt>
                  <w:sdtPr>
                    <w:alias w:val="citata"/>
                    <w:tag w:val="part_cd1d49acdb5141f287e7ef5d9170e211"/>
                    <w:lock w:val="sdtLocked"/>
                    <w:richText/>
                  </w:sdtPr>
                  <w:sdtContent>
                    <w:sdt>
                      <w:sdtPr>
                        <w:alias w:val="1 d."/>
                        <w:tag w:val="part_40859310cd254459baada61d921662c1"/>
                        <w:lock w:val="sdtLocked"/>
                        <w:richText/>
                      </w:sdtPr>
                      <w:sdtContent>
                        <w:p>
                          <w:pPr>
                            <w:ind w:firstLine="720"/>
                            <w:jc w:val="both"/>
                            <w:rPr>
                              <w:rFonts w:eastAsia="Calibri"/>
                              <w:szCs w:val="24"/>
                            </w:rPr>
                          </w:pPr>
                          <w:r>
                            <w:rPr>
                              <w:rFonts w:eastAsia="Calibri"/>
                              <w:szCs w:val="24"/>
                            </w:rPr>
                            <w:t>„</w:t>
                          </w:r>
                          <w:sdt>
                            <w:sdtPr>
                              <w:alias w:val="Numeris"/>
                              <w:tag w:val="nr_40859310cd254459baada61d921662c1"/>
                              <w:lock w:val="sdtLocked"/>
                              <w:richText/>
                            </w:sdtPr>
                            <w:sdtContent>
                              <w:r>
                                <w:rPr>
                                  <w:rFonts w:eastAsia="Calibri"/>
                                  <w:szCs w:val="24"/>
                                </w:rPr>
                                <w:t>1</w:t>
                              </w:r>
                            </w:sdtContent>
                          </w:sdt>
                          <w:r>
                            <w:rPr>
                              <w:rFonts w:eastAsia="Calibri"/>
                              <w:szCs w:val="24"/>
                            </w:rPr>
                            <w:t xml:space="preserve">. </w:t>
                          </w:r>
                          <w:r>
                            <w:rPr>
                              <w:rFonts w:eastAsia="Calibri"/>
                              <w:color w:val="000000"/>
                              <w:szCs w:val="24"/>
                            </w:rPr>
                            <w:t>Prižiūrimi finansų rinkos dalyviai yra bankai, užsienio valstybių bankų filialai, įsteigti Lietuvos Respublikoje, Centrinė kredito unija, kredito unijos, draudimo įmonės, perdraudimo įmonės, užsienio valstybių draudimo ir perdraudimo įmonių filialai, įsteigti Lietuvos Respublikoje, draudimo brokerių įmonės ir užsienio valstybių draudimo ir perdraudimo tarpininkų filialai, įsteigti Lietuvos Respublikoje, elektroninių pinigų įstaigos, elektroninių pinigų įstaigų tarpininkai ir užsienio valstybių elektroninių pinigų įstaigų filialai, įsteigti Lietuvos Respublikoje, finansų maklerio įmonės, finansų patarėjo įmonės, reguliuojamos rinkos operatoriai, valdymo įmonės, investicinės bendrovės, depozitoriumai, užsienio valstybių finansų maklerio įmonės ir valdymo įmonių filialai, įsteigti Lietuvos Respublikoje, pensijų asociacijos, kontroliuojančiosios investicinės bendrovės ir emitentai, mokėjimo įstaigos ir mokėjimo įstaigų tarpininkai, vartojimo kredito davėjai ir vartojimo kredito tarpininkai, su nekilnojamuoju turtu susijusio kredito davėjai, tarpusavio skolinimo platformos operatoriai ir su nekilnojamuoju turtu susijusio kredito tarpininkai, mokėjimo ir vertybinių popierių atsiskaitymo sistemų operatoriai ir valiutos keityklų operatoriai.</w:t>
                          </w:r>
                          <w:r>
                            <w:rPr>
                              <w:rFonts w:eastAsia="Calibri"/>
                              <w:szCs w:val="24"/>
                            </w:rPr>
                            <w:t>“</w:t>
                          </w:r>
                        </w:p>
                      </w:sdtContent>
                    </w:sdt>
                  </w:sdtContent>
                </w:sdt>
              </w:sdtContent>
            </w:sdt>
            <w:sdt>
              <w:sdtPr>
                <w:alias w:val="1 str. 2 d."/>
                <w:tag w:val="part_aa03a8da1ee84ee985f9f97257d0989e"/>
                <w:lock w:val="sdtLocked"/>
                <w:richText/>
              </w:sdtPr>
              <w:sdtContent>
                <w:p>
                  <w:pPr>
                    <w:ind w:left="1080" w:hanging="360"/>
                    <w:jc w:val="both"/>
                    <w:rPr>
                      <w:rFonts w:eastAsia="Calibri"/>
                      <w:szCs w:val="24"/>
                    </w:rPr>
                  </w:pPr>
                  <w:sdt>
                    <w:sdtPr>
                      <w:alias w:val="Numeris"/>
                      <w:tag w:val="nr_aa03a8da1ee84ee985f9f97257d0989e"/>
                      <w:lock w:val="sdtLocked"/>
                      <w:richText/>
                    </w:sdtPr>
                    <w:sdtContent>
                      <w:r>
                        <w:rPr>
                          <w:rFonts w:eastAsia="Calibri"/>
                          <w:szCs w:val="24"/>
                        </w:rPr>
                        <w:t>2</w:t>
                      </w:r>
                    </w:sdtContent>
                  </w:sdt>
                  <w:r>
                    <w:rPr>
                      <w:rFonts w:eastAsia="Calibri"/>
                      <w:szCs w:val="24"/>
                    </w:rPr>
                    <w:t>.</w:t>
                    <w:tab/>
                    <w:t>Papildyti 42 straipsnio 2 dalį nauju 8 punktu:</w:t>
                  </w:r>
                </w:p>
                <w:sdt>
                  <w:sdtPr>
                    <w:alias w:val="citata"/>
                    <w:tag w:val="part_95fe525271ee4f9b8158a41ce22f8db4"/>
                    <w:lock w:val="sdtLocked"/>
                    <w:richText/>
                  </w:sdtPr>
                  <w:sdtContent>
                    <w:sdt>
                      <w:sdtPr>
                        <w:alias w:val="8 p."/>
                        <w:tag w:val="part_bd8ad0a05fbf4e44bf801db917adcf35"/>
                        <w:lock w:val="sdtLocked"/>
                        <w:richText/>
                      </w:sdtPr>
                      <w:sdtContent>
                        <w:p>
                          <w:pPr>
                            <w:ind w:firstLine="709"/>
                            <w:jc w:val="both"/>
                            <w:rPr>
                              <w:rFonts w:eastAsia="Calibri"/>
                              <w:szCs w:val="24"/>
                            </w:rPr>
                          </w:pPr>
                          <w:r>
                            <w:rPr>
                              <w:rFonts w:eastAsia="Calibri"/>
                              <w:szCs w:val="24"/>
                            </w:rPr>
                            <w:t>„</w:t>
                          </w:r>
                          <w:sdt>
                            <w:sdtPr>
                              <w:alias w:val="Numeris"/>
                              <w:tag w:val="nr_bd8ad0a05fbf4e44bf801db917adcf35"/>
                              <w:lock w:val="sdtLocked"/>
                              <w:richText/>
                            </w:sdtPr>
                            <w:sdtContent>
                              <w:r>
                                <w:rPr>
                                  <w:rFonts w:eastAsia="Calibri"/>
                                  <w:szCs w:val="24"/>
                                </w:rPr>
                                <w:t>8</w:t>
                              </w:r>
                            </w:sdtContent>
                          </w:sdt>
                          <w:r>
                            <w:rPr>
                              <w:rFonts w:eastAsia="Calibri"/>
                              <w:szCs w:val="24"/>
                            </w:rPr>
                            <w:t>) atlieka su nekilnojamuoju turtu susijusio kredito davėjų, tarpusavio skolinimo platformos operatorių ir su nekilnojamuoju turtu susijusio kredito tarpininkų priežiūrą ir kitas Lietuvos Respublikos su nekilnojamuoju turtu susijusio kredito įstatymu Lietuvos bankui priskirtas funkcijas.“</w:t>
                          </w:r>
                        </w:p>
                      </w:sdtContent>
                    </w:sdt>
                  </w:sdtContent>
                </w:sdt>
              </w:sdtContent>
            </w:sdt>
            <w:sdt>
              <w:sdtPr>
                <w:alias w:val="1 str. 3 d."/>
                <w:tag w:val="part_4200230e2cdd418a8ccc1fd045f1db0a"/>
                <w:lock w:val="sdtLocked"/>
                <w:richText/>
              </w:sdtPr>
              <w:sdtContent>
                <w:p>
                  <w:pPr>
                    <w:tabs>
                      <w:tab w:val="left" w:pos="1134"/>
                    </w:tabs>
                    <w:ind w:firstLine="720"/>
                    <w:jc w:val="both"/>
                    <w:rPr>
                      <w:rFonts w:eastAsia="Calibri"/>
                      <w:szCs w:val="24"/>
                    </w:rPr>
                  </w:pPr>
                  <w:sdt>
                    <w:sdtPr>
                      <w:alias w:val="Numeris"/>
                      <w:tag w:val="nr_4200230e2cdd418a8ccc1fd045f1db0a"/>
                      <w:lock w:val="sdtLocked"/>
                      <w:richText/>
                    </w:sdtPr>
                    <w:sdtContent>
                      <w:r>
                        <w:rPr>
                          <w:rFonts w:eastAsia="Calibri"/>
                          <w:szCs w:val="24"/>
                        </w:rPr>
                        <w:t>3</w:t>
                      </w:r>
                    </w:sdtContent>
                  </w:sdt>
                  <w:r>
                    <w:rPr>
                      <w:rFonts w:eastAsia="Calibri"/>
                      <w:szCs w:val="24"/>
                    </w:rPr>
                    <w:t>.</w:t>
                    <w:tab/>
                    <w:t>Buvusius 42 straipsnio 2 dalies 8, 9 ir 10 punktus laikyti atitinkamai 9, 10 ir 11 punktais.</w:t>
                  </w:r>
                </w:p>
                <w:p>
                  <w:pPr>
                    <w:ind w:firstLine="720"/>
                    <w:jc w:val="both"/>
                    <w:rPr>
                      <w:rFonts w:eastAsia="Calibri"/>
                      <w:szCs w:val="24"/>
                    </w:rPr>
                  </w:pPr>
                </w:p>
              </w:sdtContent>
            </w:sdt>
          </w:sdtContent>
        </w:sdt>
        <w:sdt>
          <w:sdtPr>
            <w:alias w:val="2 str."/>
            <w:tag w:val="part_6cd3918807714a1d81ce87278776235b"/>
            <w:lock w:val="sdtLocked"/>
            <w:richText/>
          </w:sdtPr>
          <w:sdtContent>
            <w:p>
              <w:pPr>
                <w:ind w:firstLine="720"/>
                <w:jc w:val="both"/>
                <w:rPr>
                  <w:rFonts w:eastAsia="Calibri"/>
                  <w:b/>
                  <w:szCs w:val="24"/>
                </w:rPr>
              </w:pPr>
              <w:sdt>
                <w:sdtPr>
                  <w:alias w:val="Numeris"/>
                  <w:tag w:val="nr_6cd3918807714a1d81ce87278776235b"/>
                  <w:lock w:val="sdtLocked"/>
                  <w:richText/>
                </w:sdtPr>
                <w:sdtContent>
                  <w:r>
                    <w:rPr>
                      <w:rFonts w:eastAsia="Calibri"/>
                      <w:b/>
                      <w:szCs w:val="24"/>
                    </w:rPr>
                    <w:t>2</w:t>
                  </w:r>
                </w:sdtContent>
              </w:sdt>
              <w:r>
                <w:rPr>
                  <w:rFonts w:eastAsia="Calibri"/>
                  <w:b/>
                  <w:szCs w:val="24"/>
                </w:rPr>
                <w:t xml:space="preserve"> straipsnis. </w:t>
              </w:r>
              <w:sdt>
                <w:sdtPr>
                  <w:alias w:val="Pavadinimas"/>
                  <w:tag w:val="title_6cd3918807714a1d81ce87278776235b"/>
                  <w:lock w:val="sdtLocked"/>
                  <w:richText/>
                </w:sdtPr>
                <w:sdtContent>
                  <w:r>
                    <w:rPr>
                      <w:rFonts w:eastAsia="Calibri"/>
                      <w:b/>
                      <w:szCs w:val="24"/>
                    </w:rPr>
                    <w:t>Įstatymo 1 priedo pakeitimas</w:t>
                  </w:r>
                </w:sdtContent>
              </w:sdt>
            </w:p>
            <w:sdt>
              <w:sdtPr>
                <w:alias w:val="2 str. 1 d."/>
                <w:tag w:val="part_310306de539e4f07afe29ac7917e5676"/>
                <w:lock w:val="sdtLocked"/>
                <w:richText/>
              </w:sdtPr>
              <w:sdtContent>
                <w:p>
                  <w:pPr>
                    <w:ind w:firstLine="720"/>
                    <w:jc w:val="both"/>
                    <w:rPr>
                      <w:rFonts w:eastAsia="Calibri"/>
                      <w:szCs w:val="24"/>
                    </w:rPr>
                  </w:pPr>
                  <w:r>
                    <w:rPr>
                      <w:rFonts w:eastAsia="Calibri"/>
                      <w:szCs w:val="24"/>
                    </w:rPr>
                    <w:t>Pakeisti Įstatymo 1 priedą ir jį išdėstyti taip:</w:t>
                  </w:r>
                </w:p>
                <w:sdt>
                  <w:sdtPr>
                    <w:alias w:val="citata"/>
                    <w:tag w:val="part_b8d0368b19444b61b5ef38dd4f1126ef"/>
                    <w:lock w:val="sdtLocked"/>
                    <w:richText/>
                  </w:sdtPr>
                  <w:sdtContent>
                    <w:sdt>
                      <w:sdtPr>
                        <w:alias w:val="1 pr."/>
                        <w:tag w:val="part_0ce7fd7758cf43d6b534ceed9ba9efc6"/>
                        <w:lock w:val="sdtLocked"/>
                        <w:richText/>
                      </w:sdtPr>
                      <w:sdtContent>
                        <w:p>
                          <w:pPr>
                            <w:ind w:left="6662"/>
                            <w:rPr>
                              <w:rFonts w:ascii="Times New (W1)" w:hAnsi="Times New (W1)"/>
                              <w:bCs/>
                              <w:szCs w:val="24"/>
                            </w:rPr>
                          </w:pPr>
                          <w:r>
                            <w:rPr>
                              <w:rFonts w:ascii="Times New (W1)" w:hAnsi="Times New (W1)" w:hint="cs"/>
                              <w:bCs/>
                              <w:szCs w:val="24"/>
                            </w:rPr>
                            <w:t>„Lietuvos Respublikos</w:t>
                          </w:r>
                        </w:p>
                        <w:p>
                          <w:pPr>
                            <w:ind w:left="6662"/>
                            <w:rPr>
                              <w:rFonts w:ascii="Times New (W1)" w:hAnsi="Times New (W1)"/>
                              <w:bCs/>
                              <w:szCs w:val="24"/>
                            </w:rPr>
                          </w:pPr>
                          <w:r>
                            <w:rPr>
                              <w:rFonts w:ascii="Times New (W1)" w:hAnsi="Times New (W1)" w:hint="cs"/>
                              <w:bCs/>
                              <w:szCs w:val="24"/>
                            </w:rPr>
                            <w:t>Lietuvos banko įstatymo</w:t>
                          </w:r>
                        </w:p>
                        <w:p>
                          <w:pPr>
                            <w:ind w:left="6662"/>
                            <w:rPr>
                              <w:bCs/>
                              <w:strike/>
                              <w:szCs w:val="24"/>
                            </w:rPr>
                          </w:pPr>
                          <w:sdt>
                            <w:sdtPr>
                              <w:alias w:val="Numeris"/>
                              <w:tag w:val="nr_0ce7fd7758cf43d6b534ceed9ba9efc6"/>
                              <w:lock w:val="sdtLocked"/>
                              <w:richText/>
                            </w:sdtPr>
                            <w:sdtContent>
                              <w:r>
                                <w:rPr>
                                  <w:rFonts w:ascii="Times New (W1)" w:hAnsi="Times New (W1)" w:hint="cs"/>
                                  <w:bCs/>
                                  <w:szCs w:val="24"/>
                                </w:rPr>
                                <w:t>1</w:t>
                              </w:r>
                            </w:sdtContent>
                          </w:sdt>
                          <w:r>
                            <w:rPr>
                              <w:rFonts w:ascii="Times New (W1)" w:hAnsi="Times New (W1)" w:hint="cs"/>
                              <w:bCs/>
                              <w:szCs w:val="24"/>
                            </w:rPr>
                            <w:t xml:space="preserve"> priedas</w:t>
                          </w:r>
                        </w:p>
                        <w:p>
                          <w:pPr>
                            <w:spacing w:line="360" w:lineRule="auto"/>
                            <w:ind w:left="283"/>
                            <w:rPr>
                              <w:b/>
                              <w:bCs/>
                              <w:strike/>
                              <w:szCs w:val="24"/>
                            </w:rPr>
                          </w:pPr>
                        </w:p>
                        <w:p>
                          <w:pPr>
                            <w:rPr>
                              <w:sz w:val="10"/>
                              <w:szCs w:val="10"/>
                            </w:rPr>
                          </w:pPr>
                        </w:p>
                        <w:p>
                          <w:pPr>
                            <w:spacing w:line="360" w:lineRule="auto"/>
                            <w:ind w:left="284"/>
                            <w:jc w:val="center"/>
                            <w:rPr>
                              <w:rFonts w:ascii="Times New (W1)" w:hAnsi="Times New (W1)"/>
                              <w:b/>
                              <w:bCs/>
                              <w:szCs w:val="24"/>
                            </w:rPr>
                          </w:pPr>
                          <w:sdt>
                            <w:sdtPr>
                              <w:alias w:val="Pavadinimas"/>
                              <w:tag w:val="title_0ce7fd7758cf43d6b534ceed9ba9efc6"/>
                              <w:lock w:val="sdtLocked"/>
                              <w:richText/>
                            </w:sdtPr>
                            <w:sdtContent>
                              <w:r>
                                <w:rPr>
                                  <w:rFonts w:ascii="Times New (W1)" w:hAnsi="Times New (W1)" w:hint="cs"/>
                                  <w:b/>
                                  <w:bCs/>
                                  <w:szCs w:val="24"/>
                                </w:rPr>
                                <w:t>FINANSŲ RINKOS DALYVIAI, MOKANTYS ĮMOKAS</w:t>
                              </w:r>
                              <w:r>
                                <w:rPr>
                                  <w:rFonts w:ascii="Times New (W1)" w:hAnsi="Times New (W1)"/>
                                  <w:b/>
                                  <w:bCs/>
                                  <w:szCs w:val="24"/>
                                </w:rPr>
                                <w:t xml:space="preserve"> FINANSŲ RINKOS PRIEŽIŪROS IŠLAIDOMS PADENGTI, </w:t>
                              </w:r>
                              <w:r>
                                <w:rPr>
                                  <w:rFonts w:ascii="Times New (W1)" w:hAnsi="Times New (W1)" w:hint="cs"/>
                                  <w:b/>
                                  <w:bCs/>
                                  <w:szCs w:val="24"/>
                                </w:rPr>
                                <w:t>ĮMOKŲ BAZĖ IR MAKSIMALŪS ĮMOKŲ DYDŽIAI</w:t>
                              </w:r>
                            </w:sdtContent>
                          </w:sdt>
                        </w:p>
                        <w:p>
                          <w:pPr>
                            <w:tabs>
                              <w:tab w:val="center" w:pos="4153"/>
                              <w:tab w:val="right" w:pos="8306"/>
                            </w:tabs>
                            <w:ind w:firstLine="902"/>
                            <w:rPr>
                              <w:rFonts w:eastAsia="Calibri"/>
                              <w:bCs/>
                              <w:szCs w:val="24"/>
                            </w:rPr>
                          </w:pPr>
                        </w:p>
                      </w:sdtContent>
                    </w:sdt>
                  </w:sdtContent>
                </w:sdt>
                <w:sdt>
                  <w:sdtPr>
                    <w:alias w:val="pastraipa"/>
                    <w:tag w:val="part_9f5853f35ade4fb4973f5dd7576bc427"/>
                    <w:lock w:val="sdtLocked"/>
                    <w:richText/>
                  </w:sdtPr>
                  <w:sdtContent>
                    <w:tbl>
                      <w:tblPr>
                        <w:tblW w:w="93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48"/>
                        <w:gridCol w:w="4482"/>
                        <w:gridCol w:w="2125"/>
                        <w:gridCol w:w="1700"/>
                        <w:gridCol w:w="390"/>
                      </w:tblGrid>
                      <w:tr>
                        <w:tc>
                          <w:tcPr>
                            <w:tcW w:w="648" w:type="dxa"/>
                            <w:tcBorders>
                              <w:top w:val="single" w:sz="4" w:space="0" w:color="auto"/>
                              <w:left w:val="single" w:sz="4" w:space="0" w:color="auto"/>
                              <w:bottom w:val="single" w:sz="4" w:space="0" w:color="auto"/>
                              <w:right w:val="single" w:sz="4" w:space="0" w:color="auto"/>
                            </w:tcBorders>
                            <w:hideMark/>
                          </w:tcPr>
                          <w:p>
                            <w:pPr>
                              <w:ind w:left="72"/>
                              <w:jc w:val="center"/>
                              <w:rPr>
                                <w:szCs w:val="24"/>
                              </w:rPr>
                            </w:pPr>
                            <w:r>
                              <w:rPr>
                                <w:szCs w:val="24"/>
                              </w:rPr>
                              <w:t>Eil. Nr.</w:t>
                            </w:r>
                          </w:p>
                        </w:tc>
                        <w:tc>
                          <w:tcPr>
                            <w:tcW w:w="448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Rinkos dalyviai</w:t>
                            </w:r>
                          </w:p>
                        </w:tc>
                        <w:tc>
                          <w:tcPr>
                            <w:tcW w:w="2125"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Įmokų bazė</w:t>
                            </w:r>
                          </w:p>
                        </w:tc>
                        <w:tc>
                          <w:tcPr>
                            <w:tcW w:w="1700" w:type="dxa"/>
                            <w:tcBorders>
                              <w:top w:val="single" w:sz="4" w:space="0" w:color="auto"/>
                              <w:left w:val="single" w:sz="4" w:space="0" w:color="auto"/>
                              <w:bottom w:val="single" w:sz="4" w:space="0" w:color="auto"/>
                              <w:right w:val="single" w:sz="4" w:space="0" w:color="auto"/>
                            </w:tcBorders>
                            <w:vAlign w:val="center"/>
                            <w:hideMark/>
                          </w:tcPr>
                          <w:p>
                            <w:pPr>
                              <w:ind w:left="122"/>
                              <w:jc w:val="center"/>
                              <w:rPr>
                                <w:szCs w:val="24"/>
                              </w:rPr>
                            </w:pPr>
                            <w:r>
                              <w:rPr>
                                <w:szCs w:val="24"/>
                              </w:rPr>
                              <w:t>Maksimalus įmokų dydis</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ind w:left="72"/>
                              <w:jc w:val="center"/>
                              <w:rPr>
                                <w:szCs w:val="24"/>
                              </w:rPr>
                            </w:pPr>
                            <w:r>
                              <w:rPr>
                                <w:szCs w:val="24"/>
                              </w:rPr>
                              <w:t>1.</w:t>
                            </w:r>
                          </w:p>
                        </w:tc>
                        <w:tc>
                          <w:tcPr>
                            <w:tcW w:w="4482"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Kredito įstaigos; kitose negu Europos ekonominės erdvės valstybėse licencijuotų užsienio bankų filialai, įsteigti Lietuvos Respublikoje</w:t>
                            </w:r>
                          </w:p>
                        </w:tc>
                        <w:tc>
                          <w:tcPr>
                            <w:tcW w:w="2125" w:type="dxa"/>
                            <w:tcBorders>
                              <w:top w:val="single" w:sz="4" w:space="0" w:color="auto"/>
                              <w:left w:val="single" w:sz="4" w:space="0" w:color="auto"/>
                              <w:bottom w:val="single" w:sz="4" w:space="0" w:color="auto"/>
                              <w:right w:val="single" w:sz="4" w:space="0" w:color="auto"/>
                            </w:tcBorders>
                            <w:hideMark/>
                          </w:tcPr>
                          <w:p>
                            <w:pPr>
                              <w:rPr>
                                <w:szCs w:val="24"/>
                              </w:rPr>
                            </w:pPr>
                            <w:r>
                              <w:rPr>
                                <w:szCs w:val="24"/>
                              </w:rPr>
                              <w:t>Vidutinis metinis turtas</w:t>
                            </w:r>
                          </w:p>
                        </w:tc>
                        <w:tc>
                          <w:tcPr>
                            <w:tcW w:w="1700" w:type="dxa"/>
                            <w:tcBorders>
                              <w:top w:val="single" w:sz="4" w:space="0" w:color="auto"/>
                              <w:left w:val="single" w:sz="4" w:space="0" w:color="auto"/>
                              <w:bottom w:val="single" w:sz="4" w:space="0" w:color="auto"/>
                              <w:right w:val="single" w:sz="4" w:space="0" w:color="auto"/>
                            </w:tcBorders>
                            <w:hideMark/>
                          </w:tcPr>
                          <w:p>
                            <w:pPr>
                              <w:ind w:left="122"/>
                              <w:rPr>
                                <w:szCs w:val="24"/>
                              </w:rPr>
                            </w:pPr>
                            <w:r>
                              <w:rPr>
                                <w:szCs w:val="24"/>
                              </w:rPr>
                              <w:t>0,017 proc.</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ind w:left="72"/>
                              <w:jc w:val="center"/>
                              <w:rPr>
                                <w:szCs w:val="24"/>
                              </w:rPr>
                            </w:pPr>
                            <w:r>
                              <w:rPr>
                                <w:szCs w:val="24"/>
                              </w:rPr>
                              <w:t>2.</w:t>
                            </w:r>
                          </w:p>
                        </w:tc>
                        <w:tc>
                          <w:tcPr>
                            <w:tcW w:w="4482"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Europos ekonominės erdvės valstybėse licencijuotų užsienio bankų filialai, įsteigti Lietuvos Respublikoje</w:t>
                            </w:r>
                          </w:p>
                        </w:tc>
                        <w:tc>
                          <w:tcPr>
                            <w:tcW w:w="2125" w:type="dxa"/>
                            <w:tcBorders>
                              <w:top w:val="single" w:sz="4" w:space="0" w:color="auto"/>
                              <w:left w:val="single" w:sz="4" w:space="0" w:color="auto"/>
                              <w:bottom w:val="single" w:sz="4" w:space="0" w:color="auto"/>
                              <w:right w:val="single" w:sz="4" w:space="0" w:color="auto"/>
                            </w:tcBorders>
                            <w:hideMark/>
                          </w:tcPr>
                          <w:p>
                            <w:pPr>
                              <w:rPr>
                                <w:szCs w:val="24"/>
                              </w:rPr>
                            </w:pPr>
                            <w:r>
                              <w:rPr>
                                <w:szCs w:val="24"/>
                              </w:rPr>
                              <w:t>Vidutinis metinis turtas</w:t>
                            </w:r>
                          </w:p>
                        </w:tc>
                        <w:tc>
                          <w:tcPr>
                            <w:tcW w:w="1700" w:type="dxa"/>
                            <w:tcBorders>
                              <w:top w:val="single" w:sz="4" w:space="0" w:color="auto"/>
                              <w:left w:val="single" w:sz="4" w:space="0" w:color="auto"/>
                              <w:bottom w:val="single" w:sz="4" w:space="0" w:color="auto"/>
                              <w:right w:val="single" w:sz="4" w:space="0" w:color="auto"/>
                            </w:tcBorders>
                            <w:hideMark/>
                          </w:tcPr>
                          <w:p>
                            <w:pPr>
                              <w:ind w:left="122"/>
                              <w:rPr>
                                <w:szCs w:val="24"/>
                              </w:rPr>
                            </w:pPr>
                            <w:r>
                              <w:rPr>
                                <w:szCs w:val="24"/>
                              </w:rPr>
                              <w:t>0,0057 proc.</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ind w:left="72"/>
                              <w:jc w:val="center"/>
                              <w:rPr>
                                <w:szCs w:val="24"/>
                              </w:rPr>
                            </w:pPr>
                            <w:r>
                              <w:rPr>
                                <w:szCs w:val="24"/>
                              </w:rPr>
                              <w:t>3.</w:t>
                            </w:r>
                          </w:p>
                        </w:tc>
                        <w:tc>
                          <w:tcPr>
                            <w:tcW w:w="4482"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Vartojimo kredito davėjai, išskyrus kredito įstaigas ir jų filialus Lietuvos Respublikoje</w:t>
                            </w:r>
                          </w:p>
                        </w:tc>
                        <w:tc>
                          <w:tcPr>
                            <w:tcW w:w="2125" w:type="dxa"/>
                            <w:tcBorders>
                              <w:top w:val="single" w:sz="4" w:space="0" w:color="auto"/>
                              <w:left w:val="single" w:sz="4" w:space="0" w:color="auto"/>
                              <w:bottom w:val="single" w:sz="4" w:space="0" w:color="auto"/>
                              <w:right w:val="single" w:sz="4" w:space="0" w:color="auto"/>
                            </w:tcBorders>
                            <w:hideMark/>
                          </w:tcPr>
                          <w:p>
                            <w:pPr>
                              <w:rPr>
                                <w:szCs w:val="24"/>
                              </w:rPr>
                            </w:pPr>
                            <w:r>
                              <w:rPr>
                                <w:szCs w:val="24"/>
                              </w:rPr>
                              <w:t>Vidutinis metinis turtas</w:t>
                            </w:r>
                          </w:p>
                        </w:tc>
                        <w:tc>
                          <w:tcPr>
                            <w:tcW w:w="1700" w:type="dxa"/>
                            <w:tcBorders>
                              <w:top w:val="single" w:sz="4" w:space="0" w:color="auto"/>
                              <w:left w:val="single" w:sz="4" w:space="0" w:color="auto"/>
                              <w:bottom w:val="single" w:sz="4" w:space="0" w:color="auto"/>
                              <w:right w:val="single" w:sz="4" w:space="0" w:color="auto"/>
                            </w:tcBorders>
                            <w:hideMark/>
                          </w:tcPr>
                          <w:p>
                            <w:pPr>
                              <w:ind w:left="122"/>
                              <w:rPr>
                                <w:szCs w:val="24"/>
                              </w:rPr>
                            </w:pPr>
                            <w:r>
                              <w:rPr>
                                <w:szCs w:val="24"/>
                              </w:rPr>
                              <w:t>0,0085 proc.</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ind w:left="72"/>
                              <w:jc w:val="center"/>
                              <w:rPr>
                                <w:szCs w:val="24"/>
                              </w:rPr>
                            </w:pPr>
                            <w:r>
                              <w:rPr>
                                <w:szCs w:val="24"/>
                              </w:rPr>
                              <w:t>4.</w:t>
                            </w:r>
                          </w:p>
                        </w:tc>
                        <w:tc>
                          <w:tcPr>
                            <w:tcW w:w="4482"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Elektroninių pinigų įstaigos; kitose negu Europos ekonominės erdvės valstybėse licencijuotų elektroninių pinigų įstaigų filialai, įsteigti Lietuvos Respublikoje</w:t>
                            </w:r>
                          </w:p>
                        </w:tc>
                        <w:tc>
                          <w:tcPr>
                            <w:tcW w:w="2125" w:type="dxa"/>
                            <w:tcBorders>
                              <w:top w:val="single" w:sz="4" w:space="0" w:color="auto"/>
                              <w:left w:val="single" w:sz="4" w:space="0" w:color="auto"/>
                              <w:bottom w:val="single" w:sz="4" w:space="0" w:color="auto"/>
                              <w:right w:val="single" w:sz="4" w:space="0" w:color="auto"/>
                            </w:tcBorders>
                            <w:hideMark/>
                          </w:tcPr>
                          <w:p>
                            <w:pPr>
                              <w:rPr>
                                <w:bCs/>
                                <w:szCs w:val="24"/>
                              </w:rPr>
                            </w:pPr>
                            <w:r>
                              <w:rPr>
                                <w:bCs/>
                                <w:szCs w:val="24"/>
                              </w:rPr>
                              <w:t xml:space="preserve">Neapmokėtų elektroninių pinigų metinis vidurkis ir </w:t>
                            </w:r>
                          </w:p>
                          <w:p>
                            <w:pPr>
                              <w:rPr>
                                <w:szCs w:val="24"/>
                              </w:rPr>
                            </w:pPr>
                            <w:r>
                              <w:rPr>
                                <w:bCs/>
                                <w:szCs w:val="24"/>
                              </w:rPr>
                              <w:t>mokėjimo paslaugų metinė apyvarta</w:t>
                            </w:r>
                          </w:p>
                        </w:tc>
                        <w:tc>
                          <w:tcPr>
                            <w:tcW w:w="1700" w:type="dxa"/>
                            <w:tcBorders>
                              <w:top w:val="single" w:sz="4" w:space="0" w:color="auto"/>
                              <w:left w:val="single" w:sz="4" w:space="0" w:color="auto"/>
                              <w:bottom w:val="single" w:sz="4" w:space="0" w:color="auto"/>
                              <w:right w:val="single" w:sz="4" w:space="0" w:color="auto"/>
                            </w:tcBorders>
                            <w:hideMark/>
                          </w:tcPr>
                          <w:p>
                            <w:pPr>
                              <w:ind w:left="122"/>
                              <w:rPr>
                                <w:szCs w:val="24"/>
                              </w:rPr>
                            </w:pPr>
                            <w:r>
                              <w:rPr>
                                <w:szCs w:val="24"/>
                              </w:rPr>
                              <w:t>0,01 proc.</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ind w:left="72"/>
                              <w:jc w:val="center"/>
                              <w:rPr>
                                <w:szCs w:val="24"/>
                              </w:rPr>
                            </w:pPr>
                            <w:r>
                              <w:rPr>
                                <w:szCs w:val="24"/>
                              </w:rPr>
                              <w:t>5.</w:t>
                            </w:r>
                          </w:p>
                        </w:tc>
                        <w:tc>
                          <w:tcPr>
                            <w:tcW w:w="4482"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Europos ekonominės erdvės valstybėse licencijuotų elektroninių pinigų įstaigų filialai, įsteigti Lietuvos Respublikoje</w:t>
                            </w:r>
                          </w:p>
                        </w:tc>
                        <w:tc>
                          <w:tcPr>
                            <w:tcW w:w="2125" w:type="dxa"/>
                            <w:tcBorders>
                              <w:top w:val="single" w:sz="4" w:space="0" w:color="auto"/>
                              <w:left w:val="single" w:sz="4" w:space="0" w:color="auto"/>
                              <w:bottom w:val="single" w:sz="4" w:space="0" w:color="auto"/>
                              <w:right w:val="single" w:sz="4" w:space="0" w:color="auto"/>
                            </w:tcBorders>
                            <w:hideMark/>
                          </w:tcPr>
                          <w:p>
                            <w:pPr>
                              <w:rPr>
                                <w:bCs/>
                                <w:szCs w:val="24"/>
                              </w:rPr>
                            </w:pPr>
                            <w:r>
                              <w:rPr>
                                <w:bCs/>
                                <w:szCs w:val="24"/>
                              </w:rPr>
                              <w:t xml:space="preserve">Neapmokėtų elektroninių pinigų metinis vidurkis ir </w:t>
                            </w:r>
                          </w:p>
                          <w:p>
                            <w:pPr>
                              <w:rPr>
                                <w:szCs w:val="24"/>
                              </w:rPr>
                            </w:pPr>
                            <w:r>
                              <w:rPr>
                                <w:bCs/>
                                <w:szCs w:val="24"/>
                              </w:rPr>
                              <w:t>mokėjimo paslaugų metinė apyvarta</w:t>
                            </w:r>
                          </w:p>
                        </w:tc>
                        <w:tc>
                          <w:tcPr>
                            <w:tcW w:w="1700" w:type="dxa"/>
                            <w:tcBorders>
                              <w:top w:val="single" w:sz="4" w:space="0" w:color="auto"/>
                              <w:left w:val="single" w:sz="4" w:space="0" w:color="auto"/>
                              <w:bottom w:val="single" w:sz="4" w:space="0" w:color="auto"/>
                              <w:right w:val="single" w:sz="4" w:space="0" w:color="auto"/>
                            </w:tcBorders>
                            <w:hideMark/>
                          </w:tcPr>
                          <w:p>
                            <w:pPr>
                              <w:ind w:left="122"/>
                              <w:rPr>
                                <w:szCs w:val="24"/>
                              </w:rPr>
                            </w:pPr>
                            <w:r>
                              <w:rPr>
                                <w:szCs w:val="24"/>
                              </w:rPr>
                              <w:t>0,005 proc.</w:t>
                            </w:r>
                          </w:p>
                        </w:tc>
                        <w:tc>
                          <w:tcPr>
                            <w:tcW w:w="390" w:type="dxa"/>
                            <w:tcBorders>
                              <w:top w:val="nil"/>
                              <w:left w:val="single" w:sz="4" w:space="0" w:color="auto"/>
                              <w:bottom w:val="nil"/>
                              <w:right w:val="nil"/>
                            </w:tcBorders>
                          </w:tcPr>
                          <w:p>
                            <w:pPr>
                              <w:ind w:left="283"/>
                              <w:jc w:val="center"/>
                              <w:rPr>
                                <w:szCs w:val="24"/>
                              </w:rPr>
                            </w:pPr>
                          </w:p>
                        </w:tc>
                      </w:tr>
                      <w:tr>
                        <w:trPr>
                          <w:trHeight w:val="861"/>
                        </w:trPr>
                        <w:tc>
                          <w:tcPr>
                            <w:tcW w:w="648" w:type="dxa"/>
                            <w:tcBorders>
                              <w:top w:val="single" w:sz="4" w:space="0" w:color="auto"/>
                              <w:left w:val="single" w:sz="4" w:space="0" w:color="auto"/>
                              <w:bottom w:val="single" w:sz="4" w:space="0" w:color="auto"/>
                              <w:right w:val="single" w:sz="4" w:space="0" w:color="auto"/>
                            </w:tcBorders>
                            <w:hideMark/>
                          </w:tcPr>
                          <w:p>
                            <w:pPr>
                              <w:ind w:left="72"/>
                              <w:jc w:val="center"/>
                              <w:rPr>
                                <w:szCs w:val="24"/>
                              </w:rPr>
                            </w:pPr>
                            <w:r>
                              <w:rPr>
                                <w:szCs w:val="24"/>
                              </w:rPr>
                              <w:t>6.</w:t>
                            </w:r>
                          </w:p>
                        </w:tc>
                        <w:tc>
                          <w:tcPr>
                            <w:tcW w:w="4482"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Mokėjimo įstaigos</w:t>
                            </w:r>
                          </w:p>
                        </w:tc>
                        <w:tc>
                          <w:tcPr>
                            <w:tcW w:w="2125" w:type="dxa"/>
                            <w:tcBorders>
                              <w:top w:val="single" w:sz="4" w:space="0" w:color="auto"/>
                              <w:left w:val="single" w:sz="4" w:space="0" w:color="auto"/>
                              <w:bottom w:val="single" w:sz="4" w:space="0" w:color="auto"/>
                              <w:right w:val="single" w:sz="4" w:space="0" w:color="auto"/>
                            </w:tcBorders>
                            <w:hideMark/>
                          </w:tcPr>
                          <w:p>
                            <w:pPr>
                              <w:rPr>
                                <w:szCs w:val="24"/>
                              </w:rPr>
                            </w:pPr>
                            <w:r>
                              <w:rPr>
                                <w:szCs w:val="24"/>
                              </w:rPr>
                              <w:t>Mokėjimo paslaugų metinė apyvarta</w:t>
                            </w:r>
                          </w:p>
                        </w:tc>
                        <w:tc>
                          <w:tcPr>
                            <w:tcW w:w="1700" w:type="dxa"/>
                            <w:tcBorders>
                              <w:top w:val="single" w:sz="4" w:space="0" w:color="auto"/>
                              <w:left w:val="single" w:sz="4" w:space="0" w:color="auto"/>
                              <w:bottom w:val="single" w:sz="4" w:space="0" w:color="auto"/>
                              <w:right w:val="single" w:sz="4" w:space="0" w:color="auto"/>
                            </w:tcBorders>
                            <w:hideMark/>
                          </w:tcPr>
                          <w:p>
                            <w:pPr>
                              <w:ind w:left="122"/>
                              <w:rPr>
                                <w:szCs w:val="24"/>
                              </w:rPr>
                            </w:pPr>
                            <w:r>
                              <w:rPr>
                                <w:szCs w:val="24"/>
                              </w:rPr>
                              <w:t>0,01 proc.</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ind w:left="72"/>
                              <w:jc w:val="center"/>
                              <w:rPr>
                                <w:szCs w:val="24"/>
                              </w:rPr>
                            </w:pPr>
                            <w:r>
                              <w:rPr>
                                <w:szCs w:val="24"/>
                              </w:rPr>
                              <w:t>7.</w:t>
                            </w:r>
                          </w:p>
                        </w:tc>
                        <w:tc>
                          <w:tcPr>
                            <w:tcW w:w="4482"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Europos ekonominės erdvės valstybėse licencijuotų mokėjimo įstaigų filialai, įsteigti Lietuvos Respublikoje</w:t>
                            </w:r>
                          </w:p>
                        </w:tc>
                        <w:tc>
                          <w:tcPr>
                            <w:tcW w:w="2125" w:type="dxa"/>
                            <w:tcBorders>
                              <w:top w:val="single" w:sz="4" w:space="0" w:color="auto"/>
                              <w:left w:val="single" w:sz="4" w:space="0" w:color="auto"/>
                              <w:bottom w:val="single" w:sz="4" w:space="0" w:color="auto"/>
                              <w:right w:val="single" w:sz="4" w:space="0" w:color="auto"/>
                            </w:tcBorders>
                            <w:hideMark/>
                          </w:tcPr>
                          <w:p>
                            <w:pPr>
                              <w:rPr>
                                <w:szCs w:val="24"/>
                              </w:rPr>
                            </w:pPr>
                            <w:r>
                              <w:rPr>
                                <w:szCs w:val="24"/>
                              </w:rPr>
                              <w:t>Mokėjimo paslaugų metinė apyvarta</w:t>
                            </w:r>
                          </w:p>
                        </w:tc>
                        <w:tc>
                          <w:tcPr>
                            <w:tcW w:w="1700" w:type="dxa"/>
                            <w:tcBorders>
                              <w:top w:val="single" w:sz="4" w:space="0" w:color="auto"/>
                              <w:left w:val="single" w:sz="4" w:space="0" w:color="auto"/>
                              <w:bottom w:val="single" w:sz="4" w:space="0" w:color="auto"/>
                              <w:right w:val="single" w:sz="4" w:space="0" w:color="auto"/>
                            </w:tcBorders>
                            <w:hideMark/>
                          </w:tcPr>
                          <w:p>
                            <w:pPr>
                              <w:ind w:left="122"/>
                              <w:rPr>
                                <w:szCs w:val="24"/>
                              </w:rPr>
                            </w:pPr>
                            <w:r>
                              <w:rPr>
                                <w:szCs w:val="24"/>
                              </w:rPr>
                              <w:t>0,005 proc.</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ind w:left="72"/>
                              <w:jc w:val="center"/>
                              <w:rPr>
                                <w:szCs w:val="24"/>
                              </w:rPr>
                            </w:pPr>
                            <w:r>
                              <w:rPr>
                                <w:szCs w:val="24"/>
                              </w:rPr>
                              <w:t>8.</w:t>
                            </w:r>
                          </w:p>
                        </w:tc>
                        <w:tc>
                          <w:tcPr>
                            <w:tcW w:w="4482"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Draudimo ir perdraudimo įmonės; kitose negu Europos ekonominės erdvės valstybėse licencijuotų draudimo ir perdraudimo įmonių filialai, įsteigti Lietuvos Respublikoje </w:t>
                            </w:r>
                          </w:p>
                        </w:tc>
                        <w:tc>
                          <w:tcPr>
                            <w:tcW w:w="2125" w:type="dxa"/>
                            <w:tcBorders>
                              <w:top w:val="single" w:sz="4" w:space="0" w:color="auto"/>
                              <w:left w:val="single" w:sz="4" w:space="0" w:color="auto"/>
                              <w:bottom w:val="single" w:sz="4" w:space="0" w:color="auto"/>
                              <w:right w:val="single" w:sz="4" w:space="0" w:color="auto"/>
                            </w:tcBorders>
                            <w:hideMark/>
                          </w:tcPr>
                          <w:p>
                            <w:pPr>
                              <w:rPr>
                                <w:szCs w:val="24"/>
                              </w:rPr>
                            </w:pPr>
                            <w:r>
                              <w:rPr>
                                <w:szCs w:val="24"/>
                              </w:rPr>
                              <w:t>Lietuvos Respublikoje pasirašytos draudimo ir perdraudimo įmokos</w:t>
                            </w:r>
                          </w:p>
                        </w:tc>
                        <w:tc>
                          <w:tcPr>
                            <w:tcW w:w="1700" w:type="dxa"/>
                            <w:tcBorders>
                              <w:top w:val="single" w:sz="4" w:space="0" w:color="auto"/>
                              <w:left w:val="single" w:sz="4" w:space="0" w:color="auto"/>
                              <w:bottom w:val="single" w:sz="4" w:space="0" w:color="auto"/>
                              <w:right w:val="single" w:sz="4" w:space="0" w:color="auto"/>
                            </w:tcBorders>
                            <w:hideMark/>
                          </w:tcPr>
                          <w:p>
                            <w:pPr>
                              <w:ind w:left="122"/>
                              <w:rPr>
                                <w:szCs w:val="24"/>
                              </w:rPr>
                            </w:pPr>
                            <w:r>
                              <w:rPr>
                                <w:szCs w:val="24"/>
                              </w:rPr>
                              <w:t>0,26 proc.</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ind w:left="72"/>
                              <w:jc w:val="center"/>
                              <w:rPr>
                                <w:szCs w:val="24"/>
                              </w:rPr>
                            </w:pPr>
                            <w:r>
                              <w:rPr>
                                <w:szCs w:val="24"/>
                              </w:rPr>
                              <w:t>9.</w:t>
                            </w:r>
                          </w:p>
                        </w:tc>
                        <w:tc>
                          <w:tcPr>
                            <w:tcW w:w="4482"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Europos ekonominės erdvės valstybėse licencijuotų draudimo ir perdraudimo įmonių filialai, įsteigti Lietuvos Respublikoje</w:t>
                            </w:r>
                          </w:p>
                        </w:tc>
                        <w:tc>
                          <w:tcPr>
                            <w:tcW w:w="2125" w:type="dxa"/>
                            <w:tcBorders>
                              <w:top w:val="single" w:sz="4" w:space="0" w:color="auto"/>
                              <w:left w:val="single" w:sz="4" w:space="0" w:color="auto"/>
                              <w:bottom w:val="single" w:sz="4" w:space="0" w:color="auto"/>
                              <w:right w:val="single" w:sz="4" w:space="0" w:color="auto"/>
                            </w:tcBorders>
                            <w:hideMark/>
                          </w:tcPr>
                          <w:p>
                            <w:pPr>
                              <w:rPr>
                                <w:szCs w:val="24"/>
                              </w:rPr>
                            </w:pPr>
                            <w:r>
                              <w:rPr>
                                <w:szCs w:val="24"/>
                              </w:rPr>
                              <w:t>Lietuvos Respublikoje pasirašytos draudimo ir perdraudimo įmokos</w:t>
                            </w:r>
                          </w:p>
                        </w:tc>
                        <w:tc>
                          <w:tcPr>
                            <w:tcW w:w="1700" w:type="dxa"/>
                            <w:tcBorders>
                              <w:top w:val="single" w:sz="4" w:space="0" w:color="auto"/>
                              <w:left w:val="single" w:sz="4" w:space="0" w:color="auto"/>
                              <w:bottom w:val="single" w:sz="4" w:space="0" w:color="auto"/>
                              <w:right w:val="single" w:sz="4" w:space="0" w:color="auto"/>
                            </w:tcBorders>
                            <w:hideMark/>
                          </w:tcPr>
                          <w:p>
                            <w:pPr>
                              <w:ind w:left="122"/>
                              <w:rPr>
                                <w:szCs w:val="24"/>
                              </w:rPr>
                            </w:pPr>
                            <w:r>
                              <w:rPr>
                                <w:szCs w:val="24"/>
                              </w:rPr>
                              <w:t>0,13 proc.</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ind w:left="72"/>
                              <w:jc w:val="center"/>
                              <w:rPr>
                                <w:szCs w:val="24"/>
                              </w:rPr>
                            </w:pPr>
                            <w:r>
                              <w:rPr>
                                <w:szCs w:val="24"/>
                              </w:rPr>
                              <w:t>10.</w:t>
                            </w:r>
                          </w:p>
                        </w:tc>
                        <w:tc>
                          <w:tcPr>
                            <w:tcW w:w="4482"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Finansų maklerio įmonės</w:t>
                            </w:r>
                          </w:p>
                        </w:tc>
                        <w:tc>
                          <w:tcPr>
                            <w:tcW w:w="2125" w:type="dxa"/>
                            <w:tcBorders>
                              <w:top w:val="single" w:sz="4" w:space="0" w:color="auto"/>
                              <w:left w:val="single" w:sz="4" w:space="0" w:color="auto"/>
                              <w:bottom w:val="single" w:sz="4" w:space="0" w:color="auto"/>
                              <w:right w:val="single" w:sz="4" w:space="0" w:color="auto"/>
                            </w:tcBorders>
                            <w:hideMark/>
                          </w:tcPr>
                          <w:p>
                            <w:pPr>
                              <w:rPr>
                                <w:szCs w:val="24"/>
                              </w:rPr>
                            </w:pPr>
                            <w:r>
                              <w:rPr>
                                <w:szCs w:val="24"/>
                              </w:rPr>
                              <w:t>Metinės pajamos</w:t>
                            </w:r>
                          </w:p>
                        </w:tc>
                        <w:tc>
                          <w:tcPr>
                            <w:tcW w:w="1700" w:type="dxa"/>
                            <w:tcBorders>
                              <w:top w:val="single" w:sz="4" w:space="0" w:color="auto"/>
                              <w:left w:val="single" w:sz="4" w:space="0" w:color="auto"/>
                              <w:bottom w:val="single" w:sz="4" w:space="0" w:color="auto"/>
                              <w:right w:val="single" w:sz="4" w:space="0" w:color="auto"/>
                            </w:tcBorders>
                            <w:hideMark/>
                          </w:tcPr>
                          <w:p>
                            <w:pPr>
                              <w:ind w:left="122"/>
                              <w:rPr>
                                <w:szCs w:val="24"/>
                              </w:rPr>
                            </w:pPr>
                            <w:r>
                              <w:rPr>
                                <w:szCs w:val="24"/>
                              </w:rPr>
                              <w:t>0,3 proc.</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ind w:left="72"/>
                              <w:jc w:val="center"/>
                              <w:rPr>
                                <w:szCs w:val="24"/>
                              </w:rPr>
                            </w:pPr>
                            <w:r>
                              <w:rPr>
                                <w:szCs w:val="24"/>
                              </w:rPr>
                              <w:t>11.</w:t>
                            </w:r>
                          </w:p>
                        </w:tc>
                        <w:tc>
                          <w:tcPr>
                            <w:tcW w:w="4482"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Kitose Europos ekonominės erdvės valstybėse licencijuotų finansų maklerio įmonių filialai, įsteigti Lietuvos Respublikoje</w:t>
                            </w:r>
                          </w:p>
                        </w:tc>
                        <w:tc>
                          <w:tcPr>
                            <w:tcW w:w="2125" w:type="dxa"/>
                            <w:tcBorders>
                              <w:top w:val="single" w:sz="4" w:space="0" w:color="auto"/>
                              <w:left w:val="single" w:sz="4" w:space="0" w:color="auto"/>
                              <w:bottom w:val="single" w:sz="4" w:space="0" w:color="auto"/>
                              <w:right w:val="single" w:sz="4" w:space="0" w:color="auto"/>
                            </w:tcBorders>
                            <w:hideMark/>
                          </w:tcPr>
                          <w:p>
                            <w:pPr>
                              <w:rPr>
                                <w:szCs w:val="24"/>
                              </w:rPr>
                            </w:pPr>
                            <w:r>
                              <w:rPr>
                                <w:szCs w:val="24"/>
                              </w:rPr>
                              <w:t>Metinės pajamos</w:t>
                            </w:r>
                          </w:p>
                        </w:tc>
                        <w:tc>
                          <w:tcPr>
                            <w:tcW w:w="1700" w:type="dxa"/>
                            <w:tcBorders>
                              <w:top w:val="single" w:sz="4" w:space="0" w:color="auto"/>
                              <w:left w:val="single" w:sz="4" w:space="0" w:color="auto"/>
                              <w:bottom w:val="single" w:sz="4" w:space="0" w:color="auto"/>
                              <w:right w:val="single" w:sz="4" w:space="0" w:color="auto"/>
                            </w:tcBorders>
                            <w:hideMark/>
                          </w:tcPr>
                          <w:p>
                            <w:pPr>
                              <w:ind w:left="122"/>
                              <w:rPr>
                                <w:szCs w:val="24"/>
                              </w:rPr>
                            </w:pPr>
                            <w:r>
                              <w:rPr>
                                <w:szCs w:val="24"/>
                              </w:rPr>
                              <w:t>0,15 proc.</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ind w:left="72"/>
                              <w:jc w:val="center"/>
                              <w:rPr>
                                <w:szCs w:val="24"/>
                              </w:rPr>
                            </w:pPr>
                            <w:r>
                              <w:rPr>
                                <w:szCs w:val="24"/>
                              </w:rPr>
                              <w:t>12.</w:t>
                            </w:r>
                          </w:p>
                        </w:tc>
                        <w:tc>
                          <w:tcPr>
                            <w:tcW w:w="4482"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Valdymo įmonės, investicinės kintamojo kapitalo bendrovės, uždaro tipo investicinės bendrovės ir šių subjektų filialai, įsteigti Lietuvos Respublikoje</w:t>
                            </w:r>
                          </w:p>
                        </w:tc>
                        <w:tc>
                          <w:tcPr>
                            <w:tcW w:w="2125" w:type="dxa"/>
                            <w:tcBorders>
                              <w:top w:val="single" w:sz="4" w:space="0" w:color="auto"/>
                              <w:left w:val="single" w:sz="4" w:space="0" w:color="auto"/>
                              <w:bottom w:val="single" w:sz="4" w:space="0" w:color="auto"/>
                              <w:right w:val="single" w:sz="4" w:space="0" w:color="auto"/>
                            </w:tcBorders>
                            <w:hideMark/>
                          </w:tcPr>
                          <w:p>
                            <w:pPr>
                              <w:rPr>
                                <w:szCs w:val="24"/>
                              </w:rPr>
                            </w:pPr>
                            <w:r>
                              <w:rPr>
                                <w:szCs w:val="24"/>
                              </w:rPr>
                              <w:t>Valdomas kolektyvinio investavimo subjektų ir papildomo savanoriško pensijų kaupimo fondų turtas</w:t>
                            </w:r>
                          </w:p>
                        </w:tc>
                        <w:tc>
                          <w:tcPr>
                            <w:tcW w:w="1700" w:type="dxa"/>
                            <w:tcBorders>
                              <w:top w:val="single" w:sz="4" w:space="0" w:color="auto"/>
                              <w:left w:val="single" w:sz="4" w:space="0" w:color="auto"/>
                              <w:bottom w:val="single" w:sz="4" w:space="0" w:color="auto"/>
                              <w:right w:val="single" w:sz="4" w:space="0" w:color="auto"/>
                            </w:tcBorders>
                            <w:hideMark/>
                          </w:tcPr>
                          <w:p>
                            <w:pPr>
                              <w:ind w:left="122"/>
                              <w:rPr>
                                <w:szCs w:val="24"/>
                              </w:rPr>
                            </w:pPr>
                            <w:r>
                              <w:rPr>
                                <w:szCs w:val="24"/>
                              </w:rPr>
                              <w:t>0,05 proc.</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ind w:left="72"/>
                              <w:jc w:val="center"/>
                              <w:rPr>
                                <w:szCs w:val="24"/>
                              </w:rPr>
                            </w:pPr>
                            <w:r>
                              <w:rPr>
                                <w:szCs w:val="24"/>
                              </w:rPr>
                              <w:t>13.</w:t>
                            </w:r>
                          </w:p>
                        </w:tc>
                        <w:tc>
                          <w:tcPr>
                            <w:tcW w:w="4482" w:type="dxa"/>
                            <w:tcBorders>
                              <w:top w:val="single" w:sz="4" w:space="0" w:color="auto"/>
                              <w:left w:val="single" w:sz="4" w:space="0" w:color="auto"/>
                              <w:bottom w:val="single" w:sz="4" w:space="0" w:color="auto"/>
                              <w:right w:val="single" w:sz="4" w:space="0" w:color="auto"/>
                            </w:tcBorders>
                            <w:hideMark/>
                          </w:tcPr>
                          <w:p>
                            <w:pPr>
                              <w:tabs>
                                <w:tab w:val="left" w:pos="540"/>
                              </w:tabs>
                              <w:jc w:val="both"/>
                              <w:rPr>
                                <w:szCs w:val="24"/>
                              </w:rPr>
                            </w:pPr>
                            <w:r>
                              <w:rPr>
                                <w:szCs w:val="24"/>
                              </w:rPr>
                              <w:t>Reguliuojamos rinkos operatoriai</w:t>
                            </w:r>
                          </w:p>
                        </w:tc>
                        <w:tc>
                          <w:tcPr>
                            <w:tcW w:w="2125" w:type="dxa"/>
                            <w:tcBorders>
                              <w:top w:val="single" w:sz="4" w:space="0" w:color="auto"/>
                              <w:left w:val="single" w:sz="4" w:space="0" w:color="auto"/>
                              <w:bottom w:val="single" w:sz="4" w:space="0" w:color="auto"/>
                              <w:right w:val="single" w:sz="4" w:space="0" w:color="auto"/>
                            </w:tcBorders>
                            <w:hideMark/>
                          </w:tcPr>
                          <w:p>
                            <w:pPr>
                              <w:rPr>
                                <w:szCs w:val="24"/>
                              </w:rPr>
                            </w:pPr>
                            <w:r>
                              <w:rPr>
                                <w:szCs w:val="24"/>
                              </w:rPr>
                              <w:t>–</w:t>
                            </w:r>
                          </w:p>
                        </w:tc>
                        <w:tc>
                          <w:tcPr>
                            <w:tcW w:w="1700" w:type="dxa"/>
                            <w:tcBorders>
                              <w:top w:val="single" w:sz="4" w:space="0" w:color="auto"/>
                              <w:left w:val="single" w:sz="4" w:space="0" w:color="auto"/>
                              <w:bottom w:val="single" w:sz="4" w:space="0" w:color="auto"/>
                              <w:right w:val="single" w:sz="4" w:space="0" w:color="auto"/>
                            </w:tcBorders>
                            <w:hideMark/>
                          </w:tcPr>
                          <w:p>
                            <w:pPr>
                              <w:ind w:left="122"/>
                              <w:rPr>
                                <w:szCs w:val="24"/>
                              </w:rPr>
                            </w:pPr>
                            <w:r>
                              <w:rPr>
                                <w:szCs w:val="24"/>
                              </w:rPr>
                              <w:t>21 721 Eur</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ind w:left="72"/>
                              <w:jc w:val="center"/>
                              <w:rPr>
                                <w:szCs w:val="24"/>
                              </w:rPr>
                            </w:pPr>
                            <w:r>
                              <w:rPr>
                                <w:szCs w:val="24"/>
                              </w:rPr>
                              <w:t>14.</w:t>
                            </w:r>
                          </w:p>
                        </w:tc>
                        <w:tc>
                          <w:tcPr>
                            <w:tcW w:w="4482" w:type="dxa"/>
                            <w:tcBorders>
                              <w:top w:val="single" w:sz="4" w:space="0" w:color="auto"/>
                              <w:left w:val="single" w:sz="4" w:space="0" w:color="auto"/>
                              <w:bottom w:val="single" w:sz="4" w:space="0" w:color="auto"/>
                              <w:right w:val="single" w:sz="4" w:space="0" w:color="auto"/>
                            </w:tcBorders>
                            <w:hideMark/>
                          </w:tcPr>
                          <w:p>
                            <w:pPr>
                              <w:tabs>
                                <w:tab w:val="left" w:pos="540"/>
                              </w:tabs>
                              <w:jc w:val="both"/>
                              <w:rPr>
                                <w:szCs w:val="24"/>
                              </w:rPr>
                            </w:pPr>
                            <w:r>
                              <w:rPr>
                                <w:szCs w:val="24"/>
                              </w:rPr>
                              <w:t>Centrinis vertybinių popierių depozitoriumas</w:t>
                            </w:r>
                          </w:p>
                        </w:tc>
                        <w:tc>
                          <w:tcPr>
                            <w:tcW w:w="2125" w:type="dxa"/>
                            <w:tcBorders>
                              <w:top w:val="single" w:sz="4" w:space="0" w:color="auto"/>
                              <w:left w:val="single" w:sz="4" w:space="0" w:color="auto"/>
                              <w:bottom w:val="single" w:sz="4" w:space="0" w:color="auto"/>
                              <w:right w:val="single" w:sz="4" w:space="0" w:color="auto"/>
                            </w:tcBorders>
                            <w:hideMark/>
                          </w:tcPr>
                          <w:p>
                            <w:pPr>
                              <w:rPr>
                                <w:szCs w:val="24"/>
                              </w:rPr>
                            </w:pPr>
                            <w:r>
                              <w:rPr>
                                <w:szCs w:val="24"/>
                              </w:rPr>
                              <w:t>–</w:t>
                            </w:r>
                          </w:p>
                        </w:tc>
                        <w:tc>
                          <w:tcPr>
                            <w:tcW w:w="1700" w:type="dxa"/>
                            <w:tcBorders>
                              <w:top w:val="single" w:sz="4" w:space="0" w:color="auto"/>
                              <w:left w:val="single" w:sz="4" w:space="0" w:color="auto"/>
                              <w:bottom w:val="single" w:sz="4" w:space="0" w:color="auto"/>
                              <w:right w:val="single" w:sz="4" w:space="0" w:color="auto"/>
                            </w:tcBorders>
                            <w:hideMark/>
                          </w:tcPr>
                          <w:p>
                            <w:pPr>
                              <w:ind w:left="122"/>
                              <w:rPr>
                                <w:szCs w:val="24"/>
                              </w:rPr>
                            </w:pPr>
                            <w:r>
                              <w:rPr>
                                <w:szCs w:val="24"/>
                              </w:rPr>
                              <w:t>28 962 Eur</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ind w:left="72"/>
                              <w:jc w:val="center"/>
                              <w:rPr>
                                <w:szCs w:val="24"/>
                              </w:rPr>
                            </w:pPr>
                            <w:r>
                              <w:rPr>
                                <w:szCs w:val="24"/>
                              </w:rPr>
                              <w:t>15.</w:t>
                            </w:r>
                          </w:p>
                        </w:tc>
                        <w:tc>
                          <w:tcPr>
                            <w:tcW w:w="4482" w:type="dxa"/>
                            <w:tcBorders>
                              <w:top w:val="single" w:sz="4" w:space="0" w:color="auto"/>
                              <w:left w:val="single" w:sz="4" w:space="0" w:color="auto"/>
                              <w:bottom w:val="single" w:sz="4" w:space="0" w:color="auto"/>
                              <w:right w:val="single" w:sz="4" w:space="0" w:color="auto"/>
                            </w:tcBorders>
                            <w:hideMark/>
                          </w:tcPr>
                          <w:p>
                            <w:pPr>
                              <w:tabs>
                                <w:tab w:val="center" w:pos="4153"/>
                                <w:tab w:val="right" w:pos="8306"/>
                              </w:tabs>
                              <w:rPr>
                                <w:szCs w:val="24"/>
                              </w:rPr>
                            </w:pPr>
                            <w:r>
                              <w:rPr>
                                <w:szCs w:val="24"/>
                              </w:rPr>
                              <w:t>Emitentai, kurių nuosavybės vertybiniai popieriai įtraukti į prekybą reguliuojamoje rinkoje Lietuvos Respublikoje ir (ar) kitoje Europos ekonominės erdvės valstybėje ir kurių priežiūrą atlieka Lietuvos bankas</w:t>
                            </w:r>
                          </w:p>
                        </w:tc>
                        <w:tc>
                          <w:tcPr>
                            <w:tcW w:w="2125" w:type="dxa"/>
                            <w:tcBorders>
                              <w:top w:val="single" w:sz="4" w:space="0" w:color="auto"/>
                              <w:left w:val="single" w:sz="4" w:space="0" w:color="auto"/>
                              <w:bottom w:val="single" w:sz="4" w:space="0" w:color="auto"/>
                              <w:right w:val="single" w:sz="4" w:space="0" w:color="auto"/>
                            </w:tcBorders>
                            <w:hideMark/>
                          </w:tcPr>
                          <w:p>
                            <w:pPr>
                              <w:rPr>
                                <w:szCs w:val="24"/>
                              </w:rPr>
                            </w:pPr>
                            <w:r>
                              <w:rPr>
                                <w:szCs w:val="24"/>
                              </w:rPr>
                              <w:t>–</w:t>
                            </w:r>
                          </w:p>
                        </w:tc>
                        <w:tc>
                          <w:tcPr>
                            <w:tcW w:w="1700" w:type="dxa"/>
                            <w:tcBorders>
                              <w:top w:val="single" w:sz="4" w:space="0" w:color="auto"/>
                              <w:left w:val="single" w:sz="4" w:space="0" w:color="auto"/>
                              <w:bottom w:val="single" w:sz="4" w:space="0" w:color="auto"/>
                              <w:right w:val="single" w:sz="4" w:space="0" w:color="auto"/>
                            </w:tcBorders>
                            <w:hideMark/>
                          </w:tcPr>
                          <w:p>
                            <w:pPr>
                              <w:ind w:left="122"/>
                              <w:rPr>
                                <w:szCs w:val="24"/>
                              </w:rPr>
                            </w:pPr>
                            <w:r>
                              <w:rPr>
                                <w:szCs w:val="24"/>
                              </w:rPr>
                              <w:t xml:space="preserve">868 Eur  </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ind w:left="72"/>
                              <w:jc w:val="center"/>
                              <w:rPr>
                                <w:szCs w:val="24"/>
                              </w:rPr>
                            </w:pPr>
                            <w:r>
                              <w:rPr>
                                <w:szCs w:val="24"/>
                              </w:rPr>
                              <w:t>16.</w:t>
                            </w:r>
                          </w:p>
                        </w:tc>
                        <w:tc>
                          <w:tcPr>
                            <w:tcW w:w="4482"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Emitentai, kurių ne nuosavybės vertybiniai popieriai įtraukti į prekybą reguliuojamoje rinkoje Lietuvos Respublikoje ir (ar) kitoje Europos ekonominės erdvės valstybėje ir kurių priežiūrą atlieka Lietuvos bankas</w:t>
                            </w:r>
                          </w:p>
                        </w:tc>
                        <w:tc>
                          <w:tcPr>
                            <w:tcW w:w="2125" w:type="dxa"/>
                            <w:tcBorders>
                              <w:top w:val="single" w:sz="4" w:space="0" w:color="auto"/>
                              <w:left w:val="single" w:sz="4" w:space="0" w:color="auto"/>
                              <w:bottom w:val="single" w:sz="4" w:space="0" w:color="auto"/>
                              <w:right w:val="single" w:sz="4" w:space="0" w:color="auto"/>
                            </w:tcBorders>
                            <w:hideMark/>
                          </w:tcPr>
                          <w:p>
                            <w:pPr>
                              <w:rPr>
                                <w:szCs w:val="24"/>
                              </w:rPr>
                            </w:pPr>
                            <w:r>
                              <w:rPr>
                                <w:szCs w:val="24"/>
                              </w:rPr>
                              <w:t>–</w:t>
                            </w:r>
                          </w:p>
                        </w:tc>
                        <w:tc>
                          <w:tcPr>
                            <w:tcW w:w="1700" w:type="dxa"/>
                            <w:tcBorders>
                              <w:top w:val="single" w:sz="4" w:space="0" w:color="auto"/>
                              <w:left w:val="single" w:sz="4" w:space="0" w:color="auto"/>
                              <w:bottom w:val="single" w:sz="4" w:space="0" w:color="auto"/>
                              <w:right w:val="single" w:sz="4" w:space="0" w:color="auto"/>
                            </w:tcBorders>
                            <w:hideMark/>
                          </w:tcPr>
                          <w:p>
                            <w:pPr>
                              <w:ind w:left="122"/>
                              <w:rPr>
                                <w:szCs w:val="24"/>
                              </w:rPr>
                            </w:pPr>
                            <w:r>
                              <w:rPr>
                                <w:szCs w:val="24"/>
                              </w:rPr>
                              <w:t>434 Eur</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ind w:left="72"/>
                              <w:jc w:val="center"/>
                              <w:rPr>
                                <w:szCs w:val="24"/>
                              </w:rPr>
                            </w:pPr>
                            <w:r>
                              <w:rPr>
                                <w:szCs w:val="24"/>
                              </w:rPr>
                              <w:t>17.</w:t>
                            </w:r>
                          </w:p>
                        </w:tc>
                        <w:tc>
                          <w:tcPr>
                            <w:tcW w:w="4482"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Draudimo brokerių įmonės</w:t>
                            </w:r>
                          </w:p>
                        </w:tc>
                        <w:tc>
                          <w:tcPr>
                            <w:tcW w:w="2125" w:type="dxa"/>
                            <w:tcBorders>
                              <w:top w:val="single" w:sz="4" w:space="0" w:color="auto"/>
                              <w:left w:val="single" w:sz="4" w:space="0" w:color="auto"/>
                              <w:bottom w:val="single" w:sz="4" w:space="0" w:color="auto"/>
                              <w:right w:val="single" w:sz="4" w:space="0" w:color="auto"/>
                            </w:tcBorders>
                            <w:hideMark/>
                          </w:tcPr>
                          <w:p>
                            <w:pPr>
                              <w:rPr>
                                <w:szCs w:val="24"/>
                              </w:rPr>
                            </w:pPr>
                            <w:r>
                              <w:rPr>
                                <w:szCs w:val="24"/>
                              </w:rPr>
                              <w:t>–</w:t>
                            </w:r>
                          </w:p>
                        </w:tc>
                        <w:tc>
                          <w:tcPr>
                            <w:tcW w:w="1700" w:type="dxa"/>
                            <w:tcBorders>
                              <w:top w:val="single" w:sz="4" w:space="0" w:color="auto"/>
                              <w:left w:val="single" w:sz="4" w:space="0" w:color="auto"/>
                              <w:bottom w:val="single" w:sz="4" w:space="0" w:color="auto"/>
                              <w:right w:val="single" w:sz="4" w:space="0" w:color="auto"/>
                            </w:tcBorders>
                            <w:hideMark/>
                          </w:tcPr>
                          <w:p>
                            <w:pPr>
                              <w:ind w:left="122"/>
                              <w:rPr>
                                <w:szCs w:val="24"/>
                              </w:rPr>
                            </w:pPr>
                            <w:r>
                              <w:rPr>
                                <w:szCs w:val="24"/>
                              </w:rPr>
                              <w:t>434 Eur</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ind w:left="72"/>
                              <w:jc w:val="center"/>
                              <w:rPr>
                                <w:szCs w:val="24"/>
                              </w:rPr>
                            </w:pPr>
                            <w:r>
                              <w:rPr>
                                <w:szCs w:val="24"/>
                              </w:rPr>
                              <w:t>18.</w:t>
                            </w:r>
                          </w:p>
                        </w:tc>
                        <w:tc>
                          <w:tcPr>
                            <w:tcW w:w="4482" w:type="dxa"/>
                            <w:tcBorders>
                              <w:top w:val="single" w:sz="4" w:space="0" w:color="auto"/>
                              <w:left w:val="single" w:sz="4" w:space="0" w:color="auto"/>
                              <w:bottom w:val="single" w:sz="4" w:space="0" w:color="auto"/>
                              <w:right w:val="single" w:sz="4" w:space="0" w:color="auto"/>
                            </w:tcBorders>
                            <w:hideMark/>
                          </w:tcPr>
                          <w:p>
                            <w:pPr>
                              <w:tabs>
                                <w:tab w:val="left" w:pos="540"/>
                              </w:tabs>
                              <w:jc w:val="both"/>
                              <w:rPr>
                                <w:szCs w:val="24"/>
                              </w:rPr>
                            </w:pPr>
                            <w:r>
                              <w:rPr>
                                <w:szCs w:val="24"/>
                              </w:rPr>
                              <w:t>Finansų patarėjo įmonės</w:t>
                            </w:r>
                          </w:p>
                        </w:tc>
                        <w:tc>
                          <w:tcPr>
                            <w:tcW w:w="2125" w:type="dxa"/>
                            <w:tcBorders>
                              <w:top w:val="single" w:sz="4" w:space="0" w:color="auto"/>
                              <w:left w:val="single" w:sz="4" w:space="0" w:color="auto"/>
                              <w:bottom w:val="single" w:sz="4" w:space="0" w:color="auto"/>
                              <w:right w:val="single" w:sz="4" w:space="0" w:color="auto"/>
                            </w:tcBorders>
                            <w:hideMark/>
                          </w:tcPr>
                          <w:p>
                            <w:pPr>
                              <w:rPr>
                                <w:szCs w:val="24"/>
                              </w:rPr>
                            </w:pPr>
                            <w:r>
                              <w:rPr>
                                <w:szCs w:val="24"/>
                              </w:rPr>
                              <w:t>–</w:t>
                            </w:r>
                          </w:p>
                        </w:tc>
                        <w:tc>
                          <w:tcPr>
                            <w:tcW w:w="1700" w:type="dxa"/>
                            <w:tcBorders>
                              <w:top w:val="single" w:sz="4" w:space="0" w:color="auto"/>
                              <w:left w:val="single" w:sz="4" w:space="0" w:color="auto"/>
                              <w:bottom w:val="single" w:sz="4" w:space="0" w:color="auto"/>
                              <w:right w:val="single" w:sz="4" w:space="0" w:color="auto"/>
                            </w:tcBorders>
                            <w:hideMark/>
                          </w:tcPr>
                          <w:p>
                            <w:pPr>
                              <w:ind w:left="122"/>
                              <w:rPr>
                                <w:szCs w:val="24"/>
                              </w:rPr>
                            </w:pPr>
                            <w:r>
                              <w:rPr>
                                <w:szCs w:val="24"/>
                              </w:rPr>
                              <w:t>434 Eur</w:t>
                            </w:r>
                          </w:p>
                        </w:tc>
                        <w:tc>
                          <w:tcPr>
                            <w:tcW w:w="390" w:type="dxa"/>
                            <w:tcBorders>
                              <w:top w:val="nil"/>
                              <w:left w:val="single" w:sz="4" w:space="0" w:color="auto"/>
                              <w:bottom w:val="nil"/>
                              <w:right w:val="nil"/>
                            </w:tcBorders>
                          </w:tcPr>
                          <w:p>
                            <w:pPr>
                              <w:ind w:left="102"/>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ind w:left="72"/>
                              <w:jc w:val="center"/>
                              <w:rPr>
                                <w:szCs w:val="24"/>
                              </w:rPr>
                            </w:pPr>
                            <w:r>
                              <w:rPr>
                                <w:szCs w:val="24"/>
                              </w:rPr>
                              <w:t>19.</w:t>
                            </w:r>
                          </w:p>
                        </w:tc>
                        <w:tc>
                          <w:tcPr>
                            <w:tcW w:w="4482" w:type="dxa"/>
                            <w:tcBorders>
                              <w:top w:val="single" w:sz="4" w:space="0" w:color="auto"/>
                              <w:left w:val="single" w:sz="4" w:space="0" w:color="auto"/>
                              <w:bottom w:val="single" w:sz="4" w:space="0" w:color="auto"/>
                              <w:right w:val="single" w:sz="4" w:space="0" w:color="auto"/>
                            </w:tcBorders>
                            <w:hideMark/>
                          </w:tcPr>
                          <w:p>
                            <w:pPr>
                              <w:tabs>
                                <w:tab w:val="left" w:pos="540"/>
                              </w:tabs>
                              <w:jc w:val="both"/>
                              <w:rPr>
                                <w:szCs w:val="24"/>
                              </w:rPr>
                            </w:pPr>
                            <w:r>
                              <w:rPr>
                                <w:bCs/>
                                <w:szCs w:val="24"/>
                              </w:rPr>
                              <w:t xml:space="preserve">Valiutos keityklos operatoriai         </w:t>
                            </w:r>
                          </w:p>
                        </w:tc>
                        <w:tc>
                          <w:tcPr>
                            <w:tcW w:w="2125" w:type="dxa"/>
                            <w:tcBorders>
                              <w:top w:val="single" w:sz="4" w:space="0" w:color="auto"/>
                              <w:left w:val="single" w:sz="4" w:space="0" w:color="auto"/>
                              <w:bottom w:val="single" w:sz="4" w:space="0" w:color="auto"/>
                              <w:right w:val="single" w:sz="4" w:space="0" w:color="auto"/>
                            </w:tcBorders>
                            <w:hideMark/>
                          </w:tcPr>
                          <w:p>
                            <w:pPr>
                              <w:rPr>
                                <w:szCs w:val="24"/>
                              </w:rPr>
                            </w:pPr>
                            <w:r>
                              <w:rPr>
                                <w:szCs w:val="24"/>
                              </w:rPr>
                              <w:t>–</w:t>
                            </w:r>
                          </w:p>
                        </w:tc>
                        <w:tc>
                          <w:tcPr>
                            <w:tcW w:w="1700" w:type="dxa"/>
                            <w:tcBorders>
                              <w:top w:val="single" w:sz="4" w:space="0" w:color="auto"/>
                              <w:left w:val="single" w:sz="4" w:space="0" w:color="auto"/>
                              <w:bottom w:val="single" w:sz="4" w:space="0" w:color="auto"/>
                              <w:right w:val="single" w:sz="4" w:space="0" w:color="auto"/>
                            </w:tcBorders>
                            <w:hideMark/>
                          </w:tcPr>
                          <w:p>
                            <w:pPr>
                              <w:ind w:left="122"/>
                              <w:rPr>
                                <w:szCs w:val="24"/>
                              </w:rPr>
                            </w:pPr>
                            <w:r>
                              <w:rPr>
                                <w:szCs w:val="24"/>
                              </w:rPr>
                              <w:t>434 Eur</w:t>
                            </w:r>
                          </w:p>
                        </w:tc>
                        <w:tc>
                          <w:tcPr>
                            <w:tcW w:w="390" w:type="dxa"/>
                            <w:tcBorders>
                              <w:top w:val="nil"/>
                              <w:left w:val="single" w:sz="4" w:space="0" w:color="auto"/>
                              <w:bottom w:val="nil"/>
                              <w:right w:val="nil"/>
                            </w:tcBorders>
                            <w:hideMark/>
                          </w:tcPr>
                          <w:p>
                            <w:pPr>
                              <w:rPr>
                                <w:szCs w:val="24"/>
                              </w:rPr>
                            </w:pPr>
                          </w:p>
                        </w:tc>
                      </w:tr>
                      <w:tr>
                        <w:tc>
                          <w:tcPr>
                            <w:tcW w:w="648" w:type="dxa"/>
                            <w:tcBorders>
                              <w:top w:val="single" w:sz="4" w:space="0" w:color="auto"/>
                              <w:left w:val="single" w:sz="4" w:space="0" w:color="auto"/>
                              <w:bottom w:val="single" w:sz="4" w:space="0" w:color="auto"/>
                              <w:right w:val="single" w:sz="4" w:space="0" w:color="auto"/>
                            </w:tcBorders>
                          </w:tcPr>
                          <w:p>
                            <w:pPr>
                              <w:ind w:left="72"/>
                              <w:jc w:val="center"/>
                              <w:rPr>
                                <w:color w:val="000000"/>
                                <w:szCs w:val="24"/>
                              </w:rPr>
                            </w:pPr>
                            <w:r>
                              <w:rPr>
                                <w:color w:val="000000"/>
                                <w:szCs w:val="24"/>
                              </w:rPr>
                              <w:t>20.</w:t>
                            </w:r>
                          </w:p>
                        </w:tc>
                        <w:tc>
                          <w:tcPr>
                            <w:tcW w:w="4482" w:type="dxa"/>
                            <w:tcBorders>
                              <w:top w:val="single" w:sz="4" w:space="0" w:color="auto"/>
                              <w:left w:val="single" w:sz="4" w:space="0" w:color="auto"/>
                              <w:bottom w:val="single" w:sz="4" w:space="0" w:color="auto"/>
                              <w:right w:val="single" w:sz="4" w:space="0" w:color="auto"/>
                            </w:tcBorders>
                          </w:tcPr>
                          <w:p>
                            <w:pPr>
                              <w:tabs>
                                <w:tab w:val="left" w:pos="540"/>
                              </w:tabs>
                              <w:jc w:val="both"/>
                              <w:rPr>
                                <w:color w:val="000000"/>
                                <w:szCs w:val="24"/>
                              </w:rPr>
                            </w:pPr>
                            <w:r>
                              <w:rPr>
                                <w:color w:val="000000"/>
                                <w:szCs w:val="24"/>
                              </w:rPr>
                              <w:t xml:space="preserve">Su nekilnojamuoju turtu susijusio kredito davėjai, išskyrus kredito įstaigas ir jų filialus Lietuvos Respublikoje </w:t>
                            </w:r>
                          </w:p>
                        </w:tc>
                        <w:tc>
                          <w:tcPr>
                            <w:tcW w:w="2125"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Vidutinė metinė likusi grąžinti išmokėtų kreditų suma</w:t>
                            </w:r>
                          </w:p>
                        </w:tc>
                        <w:tc>
                          <w:tcPr>
                            <w:tcW w:w="1700" w:type="dxa"/>
                            <w:tcBorders>
                              <w:top w:val="single" w:sz="4" w:space="0" w:color="auto"/>
                              <w:left w:val="single" w:sz="4" w:space="0" w:color="auto"/>
                              <w:bottom w:val="single" w:sz="4" w:space="0" w:color="auto"/>
                              <w:right w:val="single" w:sz="4" w:space="0" w:color="auto"/>
                            </w:tcBorders>
                          </w:tcPr>
                          <w:p>
                            <w:pPr>
                              <w:spacing w:line="276" w:lineRule="auto"/>
                              <w:rPr>
                                <w:rFonts w:eastAsia="Calibri"/>
                                <w:szCs w:val="24"/>
                              </w:rPr>
                            </w:pPr>
                            <w:r>
                              <w:rPr>
                                <w:rFonts w:eastAsia="Calibri"/>
                                <w:szCs w:val="24"/>
                              </w:rPr>
                              <w:t>0,0125 proc., bet ne mažiau kaip 100 Eur</w:t>
                            </w:r>
                          </w:p>
                        </w:tc>
                        <w:tc>
                          <w:tcPr>
                            <w:tcW w:w="390" w:type="dxa"/>
                            <w:tcBorders>
                              <w:top w:val="nil"/>
                              <w:left w:val="single" w:sz="4" w:space="0" w:color="auto"/>
                              <w:bottom w:val="nil"/>
                              <w:right w:val="nil"/>
                            </w:tcBorders>
                          </w:tcPr>
                          <w:p>
                            <w:pPr>
                              <w:rPr>
                                <w:szCs w:val="24"/>
                              </w:rPr>
                            </w:pPr>
                          </w:p>
                        </w:tc>
                      </w:tr>
                      <w:tr>
                        <w:tc>
                          <w:tcPr>
                            <w:tcW w:w="648" w:type="dxa"/>
                            <w:tcBorders>
                              <w:top w:val="single" w:sz="4" w:space="0" w:color="auto"/>
                              <w:left w:val="single" w:sz="4" w:space="0" w:color="auto"/>
                              <w:bottom w:val="single" w:sz="4" w:space="0" w:color="auto"/>
                              <w:right w:val="single" w:sz="4" w:space="0" w:color="auto"/>
                            </w:tcBorders>
                          </w:tcPr>
                          <w:p>
                            <w:pPr>
                              <w:ind w:left="72"/>
                              <w:jc w:val="center"/>
                              <w:rPr>
                                <w:color w:val="000000"/>
                                <w:szCs w:val="24"/>
                              </w:rPr>
                            </w:pPr>
                            <w:r>
                              <w:rPr>
                                <w:color w:val="000000"/>
                                <w:szCs w:val="24"/>
                              </w:rPr>
                              <w:t>21.</w:t>
                            </w:r>
                          </w:p>
                        </w:tc>
                        <w:tc>
                          <w:tcPr>
                            <w:tcW w:w="4482" w:type="dxa"/>
                            <w:tcBorders>
                              <w:top w:val="single" w:sz="4" w:space="0" w:color="auto"/>
                              <w:left w:val="single" w:sz="4" w:space="0" w:color="auto"/>
                              <w:bottom w:val="single" w:sz="4" w:space="0" w:color="auto"/>
                              <w:right w:val="single" w:sz="4" w:space="0" w:color="auto"/>
                            </w:tcBorders>
                          </w:tcPr>
                          <w:p>
                            <w:pPr>
                              <w:tabs>
                                <w:tab w:val="left" w:pos="540"/>
                              </w:tabs>
                              <w:jc w:val="both"/>
                              <w:rPr>
                                <w:color w:val="000000"/>
                                <w:szCs w:val="24"/>
                              </w:rPr>
                            </w:pPr>
                            <w:r>
                              <w:rPr>
                                <w:color w:val="000000"/>
                                <w:szCs w:val="24"/>
                              </w:rPr>
                              <w:t>Tarpusavio skolinimo platformos operatoriai</w:t>
                            </w:r>
                          </w:p>
                        </w:tc>
                        <w:tc>
                          <w:tcPr>
                            <w:tcW w:w="2125"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w:t>
                            </w:r>
                          </w:p>
                        </w:tc>
                        <w:tc>
                          <w:tcPr>
                            <w:tcW w:w="1700" w:type="dxa"/>
                            <w:tcBorders>
                              <w:top w:val="single" w:sz="4" w:space="0" w:color="auto"/>
                              <w:left w:val="single" w:sz="4" w:space="0" w:color="auto"/>
                              <w:bottom w:val="single" w:sz="4" w:space="0" w:color="auto"/>
                              <w:right w:val="single" w:sz="4" w:space="0" w:color="auto"/>
                            </w:tcBorders>
                          </w:tcPr>
                          <w:p>
                            <w:pPr>
                              <w:spacing w:line="276" w:lineRule="auto"/>
                              <w:rPr>
                                <w:rFonts w:eastAsia="Calibri"/>
                                <w:szCs w:val="24"/>
                              </w:rPr>
                            </w:pPr>
                            <w:r>
                              <w:rPr>
                                <w:rFonts w:eastAsia="Calibri"/>
                                <w:szCs w:val="24"/>
                              </w:rPr>
                              <w:t>3 000 Eur</w:t>
                            </w:r>
                          </w:p>
                        </w:tc>
                        <w:tc>
                          <w:tcPr>
                            <w:tcW w:w="390" w:type="dxa"/>
                            <w:tcBorders>
                              <w:top w:val="nil"/>
                              <w:left w:val="single" w:sz="4" w:space="0" w:color="auto"/>
                              <w:bottom w:val="nil"/>
                              <w:right w:val="nil"/>
                            </w:tcBorders>
                          </w:tcPr>
                          <w:p>
                            <w:pPr>
                              <w:rPr>
                                <w:szCs w:val="24"/>
                              </w:rPr>
                            </w:pPr>
                          </w:p>
                        </w:tc>
                      </w:tr>
                      <w:tr>
                        <w:tc>
                          <w:tcPr>
                            <w:tcW w:w="648" w:type="dxa"/>
                            <w:tcBorders>
                              <w:top w:val="single" w:sz="4" w:space="0" w:color="auto"/>
                              <w:left w:val="single" w:sz="4" w:space="0" w:color="auto"/>
                              <w:bottom w:val="single" w:sz="4" w:space="0" w:color="auto"/>
                              <w:right w:val="single" w:sz="4" w:space="0" w:color="auto"/>
                            </w:tcBorders>
                          </w:tcPr>
                          <w:p>
                            <w:pPr>
                              <w:ind w:left="72"/>
                              <w:jc w:val="center"/>
                              <w:rPr>
                                <w:color w:val="000000"/>
                                <w:szCs w:val="24"/>
                              </w:rPr>
                            </w:pPr>
                            <w:r>
                              <w:rPr>
                                <w:color w:val="000000"/>
                                <w:szCs w:val="24"/>
                              </w:rPr>
                              <w:t>22.</w:t>
                            </w:r>
                          </w:p>
                        </w:tc>
                        <w:tc>
                          <w:tcPr>
                            <w:tcW w:w="4482" w:type="dxa"/>
                            <w:tcBorders>
                              <w:top w:val="single" w:sz="4" w:space="0" w:color="auto"/>
                              <w:left w:val="single" w:sz="4" w:space="0" w:color="auto"/>
                              <w:bottom w:val="single" w:sz="4" w:space="0" w:color="auto"/>
                              <w:right w:val="single" w:sz="4" w:space="0" w:color="auto"/>
                            </w:tcBorders>
                          </w:tcPr>
                          <w:p>
                            <w:pPr>
                              <w:tabs>
                                <w:tab w:val="left" w:pos="540"/>
                              </w:tabs>
                              <w:jc w:val="both"/>
                              <w:rPr>
                                <w:color w:val="000000"/>
                                <w:szCs w:val="24"/>
                              </w:rPr>
                            </w:pPr>
                            <w:r>
                              <w:rPr>
                                <w:color w:val="000000"/>
                                <w:szCs w:val="24"/>
                              </w:rPr>
                              <w:t>Nepriklausomi su nekilnojamuoju turtu susijusio kredito tarpininkai</w:t>
                            </w:r>
                          </w:p>
                        </w:tc>
                        <w:tc>
                          <w:tcPr>
                            <w:tcW w:w="2125"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w:t>
                            </w:r>
                          </w:p>
                        </w:tc>
                        <w:tc>
                          <w:tcPr>
                            <w:tcW w:w="1700" w:type="dxa"/>
                            <w:tcBorders>
                              <w:top w:val="single" w:sz="4" w:space="0" w:color="auto"/>
                              <w:left w:val="single" w:sz="4" w:space="0" w:color="auto"/>
                              <w:bottom w:val="single" w:sz="4" w:space="0" w:color="auto"/>
                              <w:right w:val="single" w:sz="4" w:space="0" w:color="auto"/>
                            </w:tcBorders>
                          </w:tcPr>
                          <w:p>
                            <w:pPr>
                              <w:ind w:left="122"/>
                              <w:rPr>
                                <w:color w:val="000000"/>
                                <w:szCs w:val="24"/>
                              </w:rPr>
                            </w:pPr>
                            <w:r>
                              <w:rPr>
                                <w:color w:val="000000"/>
                                <w:szCs w:val="24"/>
                              </w:rPr>
                              <w:t>217 Eur</w:t>
                            </w:r>
                          </w:p>
                        </w:tc>
                        <w:tc>
                          <w:tcPr>
                            <w:tcW w:w="390" w:type="dxa"/>
                            <w:tcBorders>
                              <w:top w:val="nil"/>
                              <w:left w:val="single" w:sz="4" w:space="0" w:color="auto"/>
                              <w:bottom w:val="nil"/>
                              <w:right w:val="nil"/>
                            </w:tcBorders>
                          </w:tcPr>
                          <w:p>
                            <w:pPr>
                              <w:rPr>
                                <w:szCs w:val="24"/>
                              </w:rPr>
                            </w:pPr>
                          </w:p>
                        </w:tc>
                      </w:tr>
                      <w:tr>
                        <w:tc>
                          <w:tcPr>
                            <w:tcW w:w="648" w:type="dxa"/>
                            <w:tcBorders>
                              <w:top w:val="single" w:sz="4" w:space="0" w:color="auto"/>
                              <w:left w:val="single" w:sz="4" w:space="0" w:color="auto"/>
                              <w:bottom w:val="single" w:sz="4" w:space="0" w:color="auto"/>
                              <w:right w:val="single" w:sz="4" w:space="0" w:color="auto"/>
                            </w:tcBorders>
                          </w:tcPr>
                          <w:p>
                            <w:pPr>
                              <w:ind w:left="72"/>
                              <w:jc w:val="center"/>
                              <w:rPr>
                                <w:color w:val="000000"/>
                                <w:szCs w:val="24"/>
                              </w:rPr>
                            </w:pPr>
                            <w:r>
                              <w:rPr>
                                <w:color w:val="000000"/>
                                <w:szCs w:val="24"/>
                              </w:rPr>
                              <w:t>23.</w:t>
                            </w:r>
                          </w:p>
                        </w:tc>
                        <w:tc>
                          <w:tcPr>
                            <w:tcW w:w="4482" w:type="dxa"/>
                            <w:tcBorders>
                              <w:top w:val="single" w:sz="4" w:space="0" w:color="auto"/>
                              <w:left w:val="single" w:sz="4" w:space="0" w:color="auto"/>
                              <w:bottom w:val="single" w:sz="4" w:space="0" w:color="auto"/>
                              <w:right w:val="single" w:sz="4" w:space="0" w:color="auto"/>
                            </w:tcBorders>
                          </w:tcPr>
                          <w:p>
                            <w:pPr>
                              <w:tabs>
                                <w:tab w:val="left" w:pos="540"/>
                              </w:tabs>
                              <w:jc w:val="both"/>
                              <w:rPr>
                                <w:color w:val="000000"/>
                                <w:szCs w:val="24"/>
                              </w:rPr>
                            </w:pPr>
                            <w:r>
                              <w:rPr>
                                <w:color w:val="000000"/>
                                <w:szCs w:val="24"/>
                              </w:rPr>
                              <w:t>Nepriklausomi vartojimo kredito tarpininkai</w:t>
                            </w:r>
                            <w:r>
                              <w:rPr>
                                <w:rFonts w:ascii="Calibri" w:eastAsia="Calibri" w:hAnsi="Calibri"/>
                                <w:sz w:val="22"/>
                                <w:szCs w:val="22"/>
                              </w:rPr>
                              <w:t xml:space="preserve"> </w:t>
                            </w:r>
                          </w:p>
                        </w:tc>
                        <w:tc>
                          <w:tcPr>
                            <w:tcW w:w="2125"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w:t>
                            </w:r>
                          </w:p>
                        </w:tc>
                        <w:tc>
                          <w:tcPr>
                            <w:tcW w:w="1700" w:type="dxa"/>
                            <w:tcBorders>
                              <w:top w:val="single" w:sz="4" w:space="0" w:color="auto"/>
                              <w:left w:val="single" w:sz="4" w:space="0" w:color="auto"/>
                              <w:bottom w:val="single" w:sz="4" w:space="0" w:color="auto"/>
                              <w:right w:val="single" w:sz="4" w:space="0" w:color="auto"/>
                            </w:tcBorders>
                          </w:tcPr>
                          <w:p>
                            <w:pPr>
                              <w:ind w:left="122"/>
                              <w:rPr>
                                <w:color w:val="000000"/>
                                <w:szCs w:val="24"/>
                              </w:rPr>
                            </w:pPr>
                            <w:r>
                              <w:rPr>
                                <w:color w:val="000000"/>
                                <w:szCs w:val="24"/>
                              </w:rPr>
                              <w:t>217 Eur“</w:t>
                            </w:r>
                          </w:p>
                        </w:tc>
                        <w:tc>
                          <w:tcPr>
                            <w:tcW w:w="390" w:type="dxa"/>
                            <w:tcBorders>
                              <w:top w:val="nil"/>
                              <w:left w:val="single" w:sz="4" w:space="0" w:color="auto"/>
                              <w:bottom w:val="nil"/>
                              <w:right w:val="nil"/>
                            </w:tcBorders>
                          </w:tcPr>
                          <w:p>
                            <w:pPr>
                              <w:rPr>
                                <w:szCs w:val="24"/>
                              </w:rPr>
                            </w:pPr>
                          </w:p>
                        </w:tc>
                      </w:tr>
                    </w:tbl>
                    <w:p>
                      <w:pPr>
                        <w:ind w:firstLine="709"/>
                        <w:jc w:val="both"/>
                        <w:rPr>
                          <w:rFonts w:eastAsia="Calibri"/>
                          <w:b/>
                          <w:bCs/>
                          <w:szCs w:val="24"/>
                        </w:rPr>
                      </w:pPr>
                    </w:p>
                  </w:sdtContent>
                </w:sdt>
              </w:sdtContent>
            </w:sdt>
          </w:sdtContent>
        </w:sdt>
        <w:sdt>
          <w:sdtPr>
            <w:alias w:val="3 str."/>
            <w:tag w:val="part_3764e9298a6a45d5a6431a7c081ca970"/>
            <w:lock w:val="sdtLocked"/>
            <w:richText/>
          </w:sdtPr>
          <w:sdtContent>
            <w:p>
              <w:pPr>
                <w:ind w:firstLine="709"/>
                <w:jc w:val="both"/>
                <w:rPr>
                  <w:rFonts w:eastAsia="Calibri"/>
                  <w:bCs/>
                  <w:szCs w:val="24"/>
                </w:rPr>
              </w:pPr>
              <w:sdt>
                <w:sdtPr>
                  <w:alias w:val="Numeris"/>
                  <w:tag w:val="nr_3764e9298a6a45d5a6431a7c081ca970"/>
                  <w:lock w:val="sdtLocked"/>
                  <w:richText/>
                </w:sdtPr>
                <w:sdtContent>
                  <w:r>
                    <w:rPr>
                      <w:rFonts w:eastAsia="Calibri"/>
                      <w:b/>
                      <w:bCs/>
                      <w:szCs w:val="24"/>
                    </w:rPr>
                    <w:t>3</w:t>
                  </w:r>
                </w:sdtContent>
              </w:sdt>
              <w:r>
                <w:rPr>
                  <w:rFonts w:eastAsia="Calibri"/>
                  <w:b/>
                  <w:bCs/>
                  <w:szCs w:val="24"/>
                </w:rPr>
                <w:t xml:space="preserve"> straipsnis. </w:t>
              </w:r>
              <w:sdt>
                <w:sdtPr>
                  <w:alias w:val="Pavadinimas"/>
                  <w:tag w:val="title_3764e9298a6a45d5a6431a7c081ca970"/>
                  <w:lock w:val="sdtLocked"/>
                  <w:richText/>
                </w:sdtPr>
                <w:sdtContent>
                  <w:r>
                    <w:rPr>
                      <w:rFonts w:eastAsia="Calibri"/>
                      <w:b/>
                      <w:bCs/>
                      <w:szCs w:val="24"/>
                    </w:rPr>
                    <w:t>Įstatymo įsigaliojimas</w:t>
                  </w:r>
                </w:sdtContent>
              </w:sdt>
            </w:p>
            <w:sdt>
              <w:sdtPr>
                <w:alias w:val="3 str. 1 d."/>
                <w:tag w:val="part_37fb3593423242d9b30d165611b0e713"/>
                <w:lock w:val="sdtLocked"/>
                <w:richText/>
              </w:sdtPr>
              <w:sdtContent>
                <w:p>
                  <w:pPr>
                    <w:ind w:firstLine="720"/>
                    <w:jc w:val="both"/>
                    <w:rPr>
                      <w:rFonts w:eastAsia="Calibri"/>
                      <w:szCs w:val="24"/>
                    </w:rPr>
                  </w:pPr>
                  <w:r>
                    <w:rPr>
                      <w:rFonts w:eastAsia="Calibri"/>
                      <w:szCs w:val="24"/>
                    </w:rPr>
                    <w:t>Šis įstatymas įsigalioja 2017 m. liepos 1 d.</w:t>
                  </w:r>
                </w:p>
                <w:p>
                  <w:pPr>
                    <w:ind w:firstLine="720"/>
                    <w:jc w:val="both"/>
                    <w:rPr>
                      <w:rFonts w:eastAsia="Calibri"/>
                      <w:szCs w:val="24"/>
                    </w:rPr>
                  </w:pPr>
                </w:p>
              </w:sdtContent>
            </w:sdt>
          </w:sdtContent>
        </w:sdt>
        <w:sdt>
          <w:sdtPr>
            <w:alias w:val="signatura"/>
            <w:tag w:val="part_b36e178be2ff415782ce671e9afc2f88"/>
            <w:lock w:val="sdtLocked"/>
            <w:richText/>
          </w:sdtPr>
          <w:sdtContent>
            <w:p>
              <w:pPr>
                <w:ind w:firstLine="720"/>
                <w:jc w:val="both"/>
                <w:rPr>
                  <w:rFonts w:eastAsia="Calibri"/>
                  <w:szCs w:val="24"/>
                  <w:lang w:eastAsia="lt-LT"/>
                </w:rPr>
              </w:pPr>
              <w:r>
                <w:rPr>
                  <w:rFonts w:eastAsia="Calibri"/>
                  <w:i/>
                  <w:iCs/>
                  <w:szCs w:val="24"/>
                  <w:lang w:eastAsia="lt-LT"/>
                </w:rPr>
                <w:t>Skelbiu šį Lietuvos Respublikos Seimo priimtą įstatymą.</w:t>
              </w:r>
            </w:p>
            <w:p>
              <w:pPr>
                <w:ind w:firstLine="782"/>
                <w:jc w:val="both"/>
                <w:rPr>
                  <w:rFonts w:eastAsia="Calibri"/>
                  <w:i/>
                  <w:iCs/>
                  <w:szCs w:val="24"/>
                  <w:lang w:eastAsia="lt-LT"/>
                </w:rPr>
              </w:pPr>
            </w:p>
            <w:p>
              <w:pPr>
                <w:jc w:val="both"/>
                <w:rPr>
                  <w:rFonts w:ascii="Calibri" w:eastAsia="Calibri" w:hAnsi="Calibri"/>
                  <w:sz w:val="22"/>
                  <w:szCs w:val="22"/>
                </w:rPr>
              </w:pPr>
              <w:r>
                <w:rPr>
                  <w:rFonts w:eastAsia="Calibri"/>
                  <w:szCs w:val="24"/>
                  <w:lang w:eastAsia="lt-LT"/>
                </w:rPr>
                <w:t>Respublikos Prezidentas</w:t>
              </w: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pgMar w:top="1701" w:right="991"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Calibri" w:eastAsia="Calibri" w:hAnsi="Calibri"/>
          <w:sz w:val="22"/>
          <w:szCs w:val="22"/>
        </w:rPr>
      </w:pPr>
      <w:r>
        <w:rPr>
          <w:rFonts w:ascii="Calibri" w:eastAsia="Calibri" w:hAnsi="Calibri"/>
          <w:sz w:val="22"/>
          <w:szCs w:val="22"/>
        </w:rPr>
        <w:separator/>
      </w:r>
    </w:p>
  </w:endnote>
  <w:endnote w:type="continuationSeparator" w:id="0">
    <w:p>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Times New (W1)">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spacing w:after="200" w:line="276" w:lineRule="auto"/>
      <w:rPr>
        <w:rFonts w:ascii="Calibri" w:eastAsia="Calibri" w:hAnsi="Calibri"/>
        <w:sz w:val="22"/>
        <w:szCs w:val="22"/>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spacing w:after="200" w:line="276" w:lineRule="auto"/>
      <w:rPr>
        <w:rFonts w:ascii="Calibri" w:eastAsia="Calibri" w:hAnsi="Calibri"/>
        <w:sz w:val="22"/>
        <w:szCs w:val="22"/>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spacing w:after="200" w:line="276" w:lineRule="auto"/>
      <w:rPr>
        <w:rFonts w:ascii="Calibri" w:eastAsia="Calibri" w:hAnsi="Calibri"/>
        <w:sz w:val="22"/>
        <w:szCs w:val="22"/>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Calibri" w:eastAsia="Calibri" w:hAnsi="Calibri"/>
          <w:sz w:val="22"/>
          <w:szCs w:val="22"/>
        </w:rPr>
      </w:pPr>
      <w:r>
        <w:rPr>
          <w:rFonts w:ascii="Calibri" w:eastAsia="Calibri" w:hAnsi="Calibri"/>
          <w:sz w:val="22"/>
          <w:szCs w:val="22"/>
        </w:rPr>
        <w:separator/>
      </w:r>
    </w:p>
  </w:footnote>
  <w:footnote w:type="continuationSeparator" w:id="0">
    <w:p>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spacing w:after="200" w:line="276" w:lineRule="auto"/>
      <w:rPr>
        <w:rFonts w:ascii="Calibri" w:eastAsia="Calibri" w:hAnsi="Calibri"/>
        <w:sz w:val="22"/>
        <w:szCs w:val="22"/>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spacing w:after="200" w:line="276" w:lineRule="auto"/>
      <w:jc w:val="center"/>
      <w:rPr>
        <w:rFonts w:eastAsia="Calibri"/>
        <w:sz w:val="22"/>
        <w:szCs w:val="22"/>
      </w:rPr>
    </w:pPr>
    <w:r>
      <w:rPr>
        <w:rFonts w:eastAsia="Calibri"/>
        <w:sz w:val="22"/>
        <w:szCs w:val="22"/>
      </w:rPr>
      <w:fldChar w:fldCharType="begin"/>
    </w:r>
    <w:r>
      <w:rPr>
        <w:rFonts w:eastAsia="Calibri"/>
        <w:sz w:val="22"/>
        <w:szCs w:val="22"/>
      </w:rPr>
      <w:instrText>PAGE   \* MERGEFORMAT</w:instrText>
    </w:r>
    <w:r>
      <w:rPr>
        <w:rFonts w:eastAsia="Calibri"/>
        <w:sz w:val="22"/>
        <w:szCs w:val="22"/>
      </w:rPr>
      <w:fldChar w:fldCharType="separate"/>
    </w:r>
    <w:r>
      <w:rPr>
        <w:rFonts w:eastAsia="Calibri"/>
        <w:sz w:val="22"/>
        <w:szCs w:val="22"/>
      </w:rPr>
      <w:t>3</w:t>
    </w:r>
    <w:r>
      <w:rPr>
        <w:rFonts w:eastAsia="Calibri"/>
        <w:sz w:val="22"/>
        <w:szCs w:val="22"/>
      </w:rPr>
      <w:fldChar w:fldCharType="end"/>
    </w:r>
  </w:p>
  <w:p>
    <w:pPr>
      <w:tabs>
        <w:tab w:val="center" w:pos="4819"/>
        <w:tab w:val="right" w:pos="9638"/>
      </w:tabs>
      <w:spacing w:after="200" w:line="276" w:lineRule="auto"/>
      <w:rPr>
        <w:rFonts w:ascii="Calibri" w:eastAsia="Calibri" w:hAnsi="Calibri"/>
        <w:sz w:val="22"/>
        <w:szCs w:val="22"/>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spacing w:after="200" w:line="276" w:lineRule="auto"/>
      <w:rPr>
        <w:rFonts w:ascii="Calibri" w:eastAsia="Calibri" w:hAnsi="Calibri"/>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C573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18666744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d68a7f290afc44ae8de275e2df638ca1" PartId="d43736ee391e4305b49daa3cceba15c0">
    <Part Type="straipsnis" Nr="1" Abbr="1 str." Title="42 straipsnio pakeitimas" DocPartId="49df6b82b7264dc2a8ef9d647f80331e" PartId="defba26bfbce43fa94a31a33d8e928f7">
      <Part Type="strDalis" Nr="1" Abbr="1 str. 1 d." DocPartId="1abd45624bbf4043a2166bdeccdc55a7" PartId="ae306171defb4ff79f63da6bcca2c836">
        <Part Type="citata" DocPartId="51363dcdaeee4dc9af7b2e0290157e5f" PartId="cd1d49acdb5141f287e7ef5d9170e211">
          <Part Type="strDalis" Nr="1" Abbr="1 d." DocPartId="9165d9e268574cccb78e6a1571f88f63" PartId="40859310cd254459baada61d921662c1"/>
        </Part>
      </Part>
      <Part Type="strDalis" Nr="2" Abbr="1 str. 2 d." DocPartId="bf6c8f1733624ff8909eda8c99865eb4" PartId="aa03a8da1ee84ee985f9f97257d0989e">
        <Part Type="citata" DocPartId="63c510a51b19487d858cea6b91529bb6" PartId="95fe525271ee4f9b8158a41ce22f8db4">
          <Part Type="strPunktas" Nr="8" Abbr="8 p." DocPartId="60ed324693214d698670d9eeb43ecdfe" PartId="bd8ad0a05fbf4e44bf801db917adcf35"/>
        </Part>
      </Part>
      <Part Type="strDalis" Nr="3" Abbr="1 str. 3 d." DocPartId="b05697c915134f48904765910084a9fb" PartId="4200230e2cdd418a8ccc1fd045f1db0a"/>
    </Part>
    <Part Type="straipsnis" Nr="2" Abbr="2 str." Title="Įstatymo 1 priedo pakeitimas" DocPartId="305acd55713e463a8c2d1ccfa35b4b0e" PartId="6cd3918807714a1d81ce87278776235b">
      <Part Type="strDalis" Nr="1" Abbr="2 str. 1 d." DocPartId="4afd7e0087f0464fa6477f57bcc11df8" PartId="310306de539e4f07afe29ac7917e5676">
        <Part Type="citata" DocPartId="154ad907967a4cca9d63771658e92f5d" PartId="b8d0368b19444b61b5ef38dd4f1126ef">
          <Part Type="priedas" Nr="1" Abbr="1 pr." Title="FINANSŲ RINKOS DALYVIAI, MOKANTYS ĮMOKAS FINANSŲ RINKOS PRIEŽIŪROS IŠLAIDOMS PADENGTI, ĮMOKŲ BAZĖ IR MAKSIMALŪS ĮMOKŲ DYDŽIAI" DocPartId="7a61c0f7d91c438a9e819702d21d4429" PartId="0ce7fd7758cf43d6b534ceed9ba9efc6"/>
        </Part>
        <Part Type="pastraipa" DocPartId="0d6c934350e5473590514644bf3c5bd8" PartId="9f5853f35ade4fb4973f5dd7576bc427"/>
      </Part>
    </Part>
    <Part Type="straipsnis" Nr="3" Abbr="3 str." Title="Įstatymo įsigaliojimas" DocPartId="36874b52363c4c1f8e4215dd0114faac" PartId="3764e9298a6a45d5a6431a7c081ca970">
      <Part Type="strDalis" Nr="1" Abbr="3 str. 1 d." DocPartId="f590f1b14d3748bfacc49b5ef53f53e3" PartId="37fb3593423242d9b30d165611b0e713"/>
    </Part>
    <Part Type="signatura" DocPartId="1cf33bc2a54a4c208c0afd4f94dc29e4" PartId="b36e178be2ff415782ce671e9afc2f88"/>
  </Part>
</Parts>
</file>

<file path=customXml/itemProps1.xml><?xml version="1.0" encoding="utf-8"?>
<ds:datastoreItem xmlns:ds="http://schemas.openxmlformats.org/officeDocument/2006/customXml" ds:itemID="{754D786E-1422-4CE6-BDBB-F7BC9E86EE66}">
  <ds:schemaRefs>
    <ds:schemaRef ds:uri="http://schemas.openxmlformats.org/officeDocument/2006/bibliography"/>
  </ds:schemaRefs>
</ds:datastoreItem>
</file>

<file path=customXml/itemProps2.xml><?xml version="1.0" encoding="utf-8"?>
<ds:datastoreItem xmlns:ds="http://schemas.openxmlformats.org/officeDocument/2006/customXml" ds:itemID="{EFA879AF-B705-4762-80F5-76C8E8A50BF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703</Words>
  <Characters>4971</Characters>
  <Application>Microsoft Office Word</Application>
  <DocSecurity>4</DocSecurity>
  <Lines>261</Lines>
  <Paragraphs>126</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Hewlett-Packard Company</Company>
  <LinksUpToDate>false</LinksUpToDate>
  <CharactersWithSpaces>5548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2016-09-30T06:03:00Z</dcterms:created>
  <dc:creator>Simona Balčiūnaitė</dc:creator>
  <lastModifiedBy>CLUSadmin</lastModifiedBy>
  <lastPrinted>2016-04-13T09:10:00Z</lastPrinted>
  <dcterms:modified xsi:type="dcterms:W3CDTF">2016-09-30T06:03:00Z</dcterms:modified>
  <revision>2</revision>
</coreProperties>
</file>