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intelligence2.xml" ContentType="application/vnd.ms-office.intelligence2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cf9eaf6921a49e9b66ab8d31fc08fa4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</w:pPr>
        </w:p>
        <w:p>
          <w:pPr>
            <w:ind w:left="6235" w:firstLine="1845"/>
            <w:rPr>
              <w:b/>
              <w:bCs/>
              <w:color w:val="000000"/>
              <w:szCs w:val="24"/>
              <w:lang w:eastAsia="en-GB"/>
            </w:rPr>
          </w:pPr>
          <w:r>
            <w:rPr>
              <w:b/>
              <w:bCs/>
              <w:color w:val="000000"/>
              <w:szCs w:val="24"/>
              <w:lang w:eastAsia="en-GB"/>
            </w:rPr>
            <w:t xml:space="preserve">Projektas </w:t>
          </w:r>
        </w:p>
        <w:p>
          <w:pPr>
            <w:rPr>
              <w:sz w:val="2"/>
              <w:szCs w:val="2"/>
            </w:rPr>
          </w:pPr>
        </w:p>
        <w:p>
          <w:pPr>
            <w:rPr>
              <w:sz w:val="2"/>
              <w:szCs w:val="2"/>
            </w:rPr>
          </w:pPr>
        </w:p>
        <w:p>
          <w:pPr>
            <w:ind w:firstLine="29"/>
            <w:jc w:val="center"/>
            <w:rPr>
              <w:b/>
              <w:bCs/>
              <w:szCs w:val="24"/>
            </w:rPr>
          </w:pPr>
        </w:p>
        <w:p>
          <w:pPr>
            <w:rPr>
              <w:sz w:val="2"/>
              <w:szCs w:val="2"/>
            </w:rPr>
          </w:pPr>
        </w:p>
        <w:p>
          <w:pPr>
            <w:jc w:val="center"/>
            <w:rPr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LIETUVOS RESPUBLIKOS ŠVIETIMO, MOKSLO IR SPORTO MINISTRAS</w:t>
          </w:r>
        </w:p>
        <w:p>
          <w:pPr>
            <w:rPr>
              <w:sz w:val="2"/>
              <w:szCs w:val="2"/>
            </w:rPr>
          </w:pPr>
        </w:p>
        <w:p>
          <w:pPr>
            <w:overflowPunct w:val="0"/>
            <w:jc w:val="center"/>
            <w:textAlignment w:val="baseline"/>
          </w:pPr>
        </w:p>
        <w:p>
          <w:pPr>
            <w:rPr>
              <w:sz w:val="2"/>
              <w:szCs w:val="2"/>
            </w:rPr>
          </w:pPr>
        </w:p>
        <w:p>
          <w:pPr>
            <w:overflowPunct w:val="0"/>
            <w:jc w:val="center"/>
            <w:textAlignment w:val="baseline"/>
            <w:rPr>
              <w:b/>
              <w:bCs/>
            </w:rPr>
          </w:pPr>
          <w:r>
            <w:rPr>
              <w:b/>
              <w:bCs/>
            </w:rPr>
            <w:t>ĮSAKYMAS</w:t>
          </w:r>
        </w:p>
        <w:p>
          <w:pPr>
            <w:rPr>
              <w:sz w:val="2"/>
              <w:szCs w:val="2"/>
            </w:rPr>
          </w:pPr>
        </w:p>
        <w:tbl>
          <w:tblPr>
            <w:tblW w:w="0" w:type="auto"/>
            <w:tblLayout w:type="fixed"/>
            <w:tblLook w:val="0000" w:firstRow="0" w:lastRow="0" w:firstColumn="0" w:lastColumn="0" w:noHBand="0" w:noVBand="0"/>
          </w:tblPr>
          <w:tblGrid>
            <w:gridCol w:w="9855"/>
          </w:tblGrid>
          <w:tr>
            <w:tc>
              <w:tcPr>
                <w:tcW w:w="9855" w:type="dxa"/>
              </w:tcPr>
              <w:p>
                <w:pPr>
                  <w:overflowPunct w:val="0"/>
                  <w:jc w:val="center"/>
                  <w:textAlignment w:val="baseline"/>
                  <w:rPr>
                    <w:b/>
                    <w:bCs/>
                    <w:caps/>
                  </w:rPr>
                </w:pPr>
                <w:r>
                  <w:rPr>
                    <w:b/>
                    <w:bCs/>
                  </w:rPr>
                  <w:t xml:space="preserve">DĖL </w:t>
                </w:r>
                <w:r>
                  <w:rPr>
                    <w:b/>
                    <w:bCs/>
                    <w:caps/>
                    <w:color w:val="000000"/>
                    <w:szCs w:val="24"/>
                  </w:rPr>
                  <w:t>ŠVIETIMO, MOKSLO IR SPORTO MINISTRO 2022 M. RUGPJŪČIO 24 D. ĮSAKYMO NR. V-1269 „</w:t>
                </w:r>
                <w:r>
                  <w:rPr>
                    <w:b/>
                    <w:bCs/>
                    <w:color w:val="000000"/>
                    <w:szCs w:val="24"/>
                  </w:rPr>
                  <w:t>DĖL </w:t>
                </w:r>
                <w:r>
                  <w:rPr>
                    <w:b/>
                    <w:bCs/>
                    <w:caps/>
                    <w:color w:val="000000"/>
                    <w:szCs w:val="24"/>
                  </w:rPr>
                  <w:t>PRIEŠMOKYKLINIO, PRADINIO, PAGRINDINIO IR VIDURINIO UGDYMO BENDRŲJŲ PROGRAMŲ PATVIRTINIMO“ PAKEITIMO</w:t>
                </w:r>
              </w:p>
            </w:tc>
          </w:tr>
        </w:tbl>
        <w:p>
          <w:pPr>
            <w:overflowPunct w:val="0"/>
            <w:jc w:val="center"/>
            <w:textAlignment w:val="baseline"/>
          </w:pPr>
        </w:p>
        <w:p>
          <w:pPr>
            <w:rPr>
              <w:sz w:val="2"/>
              <w:szCs w:val="2"/>
            </w:rPr>
          </w:pPr>
        </w:p>
        <w:tbl>
          <w:tblPr>
            <w:tblW w:w="0" w:type="auto"/>
            <w:tblLayout w:type="fixed"/>
            <w:tblLook w:val="0000" w:firstRow="0" w:lastRow="0" w:firstColumn="0" w:lastColumn="0" w:noHBand="0" w:noVBand="0"/>
          </w:tblPr>
          <w:tblGrid>
            <w:gridCol w:w="4927"/>
            <w:gridCol w:w="4928"/>
          </w:tblGrid>
          <w:tr>
            <w:trPr>
              <w:cantSplit/>
              <w:trHeight w:val="293"/>
            </w:trPr>
            <w:tc>
              <w:tcPr>
                <w:tcW w:w="4927" w:type="dxa"/>
              </w:tcPr>
              <w:p>
                <w:pPr>
                  <w:keepNext/>
                  <w:overflowPunct w:val="0"/>
                  <w:jc w:val="right"/>
                  <w:textAlignment w:val="baseline"/>
                  <w:outlineLvl w:val="2"/>
                </w:pPr>
                <w:r>
                  <w:t xml:space="preserve">2024 m.                     d. </w:t>
                </w:r>
              </w:p>
            </w:tc>
            <w:tc>
              <w:tcPr>
                <w:tcW w:w="4928" w:type="dxa"/>
              </w:tcPr>
              <w:p>
                <w:pPr>
                  <w:keepNext/>
                  <w:overflowPunct w:val="0"/>
                  <w:textAlignment w:val="baseline"/>
                  <w:outlineLvl w:val="2"/>
                </w:pPr>
                <w:r>
                  <w:t>Nr.      </w:t>
                </w:r>
              </w:p>
            </w:tc>
          </w:tr>
          <w:tr>
            <w:trPr>
              <w:cantSplit/>
              <w:trHeight w:val="292"/>
            </w:trPr>
            <w:tc>
              <w:tcPr>
                <w:tcW w:w="9855" w:type="dxa"/>
                <w:gridSpan w:val="2"/>
              </w:tcPr>
              <w:p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Vilnius</w:t>
                </w:r>
              </w:p>
            </w:tc>
          </w:tr>
        </w:tbl>
        <w:p>
          <w:pPr>
            <w:overflowPunct w:val="0"/>
            <w:ind w:firstLine="709"/>
            <w:jc w:val="both"/>
            <w:textAlignment w:val="baseline"/>
            <w:rPr>
              <w:color w:val="000000"/>
              <w:szCs w:val="24"/>
            </w:rPr>
          </w:pPr>
        </w:p>
        <w:p>
          <w:pPr>
            <w:rPr>
              <w:sz w:val="2"/>
              <w:szCs w:val="2"/>
            </w:rPr>
          </w:pPr>
        </w:p>
        <w:p>
          <w:pPr>
            <w:ind w:firstLine="709"/>
            <w:jc w:val="both"/>
          </w:pPr>
          <w:r>
            <w:rPr>
              <w:color w:val="000000"/>
              <w:szCs w:val="24"/>
            </w:rPr>
            <w:t>P a k e i č i u Lietuvos Respublikos švietimo, mokslo ir sporto ministro 2022 m. rugpjūčio 24 d. įsakymo Nr. V-1269 „Dėl Priešmokyklinio, pradinio, pagrindinio ir vidurinio ugdymo bendrųjų programų patvirtinimo“</w:t>
          </w:r>
          <w:r>
            <w:rPr>
              <w:color w:val="000000"/>
              <w:szCs w:val="24"/>
              <w:lang w:eastAsia="lt-LT"/>
            </w:rPr>
            <w:t xml:space="preserve"> </w:t>
          </w:r>
          <w:r>
            <w:t>31 priedą:</w:t>
          </w:r>
        </w:p>
        <w:sdt>
          <w:sdtPr>
            <w:alias w:val="1 p."/>
            <w:tag w:val="part_ecedbddfe04242a799d401e89dcc6203"/>
            <w:lock w:val="sdtLocked"/>
            <w:richText/>
          </w:sdtPr>
          <w:sdtContent>
            <w:p>
              <w:pPr>
                <w:ind w:firstLine="709"/>
                <w:jc w:val="both"/>
                <w:textAlignment w:val="baseline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ecedbddfe04242a799d401e89dcc6203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rFonts w:ascii="HelveticaLT" w:hAnsi="HelveticaLT"/>
                  <w:color w:val="000000"/>
                  <w:sz w:val="20"/>
                </w:rPr>
                <w:t xml:space="preserve"> </w:t>
              </w:r>
              <w:r>
                <w:rPr>
                  <w:color w:val="000000"/>
                  <w:szCs w:val="24"/>
                </w:rPr>
                <w:t xml:space="preserve">Pakeičiu </w:t>
              </w:r>
              <w:r>
                <w:rPr>
                  <w:rFonts w:eastAsia="Tahoma"/>
                  <w:szCs w:val="24"/>
                  <w:lang w:eastAsia="lt-LT"/>
                </w:rPr>
                <w:t xml:space="preserve">35.4.1 </w:t>
              </w:r>
              <w:r>
                <w:rPr>
                  <w:color w:val="000000"/>
                  <w:szCs w:val="24"/>
                </w:rPr>
                <w:t>papunktį ir jį išdėstau taip:</w:t>
              </w:r>
            </w:p>
            <w:sdt>
              <w:sdtPr>
                <w:alias w:val="citata"/>
                <w:tag w:val="part_45ade11ec1594a4c8ed10ca4b6f9afac"/>
                <w:lock w:val="sdtLocked"/>
                <w:richText/>
              </w:sdtPr>
              <w:sdtContent>
                <w:sdt>
                  <w:sdtPr>
                    <w:alias w:val="35.4.1 pp."/>
                    <w:tag w:val="part_5ac36c1d2eab4f49bee53183a3ba3632"/>
                    <w:lock w:val="sdtLocked"/>
                    <w:richText/>
                  </w:sdtPr>
                  <w:sdtContent>
                    <w:p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5ac36c1d2eab4f49bee53183a3ba3632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35.4.1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 istorijos mokymo(si) turinio ir pasiekimų sritys procentais tarpinio patikrinimo užduotyje:</w:t>
                      </w:r>
                    </w:p>
                    <w:tbl>
                      <w:tblPr>
                        <w:tblW w:w="9770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2405"/>
                        <w:gridCol w:w="1276"/>
                        <w:gridCol w:w="1701"/>
                        <w:gridCol w:w="1740"/>
                        <w:gridCol w:w="1396"/>
                        <w:gridCol w:w="1252"/>
                      </w:tblGrid>
                      <w:tr>
                        <w:trPr>
                          <w:trHeight w:val="328"/>
                        </w:trPr>
                        <w:tc>
                          <w:tcPr>
                            <w:tcW w:w="2405" w:type="dxa"/>
                            <w:vMerge w:val="restart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Mokymo(si) turinio sritys</w:t>
                            </w:r>
                          </w:p>
                        </w:tc>
                        <w:tc>
                          <w:tcPr>
                            <w:tcW w:w="6113" w:type="dxa"/>
                            <w:gridSpan w:val="4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Pasiekimų sritys</w:t>
                            </w:r>
                          </w:p>
                        </w:tc>
                        <w:tc>
                          <w:tcPr>
                            <w:tcW w:w="1252" w:type="dxa"/>
                            <w:vMerge w:val="restart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Užduoties taškai procentais</w:t>
                            </w:r>
                          </w:p>
                        </w:tc>
                      </w:tr>
                      <w:tr>
                        <w:tc>
                          <w:tcPr>
                            <w:tcW w:w="2405" w:type="dxa"/>
                            <w:vMerge/>
                            <w:vAlign w:val="center"/>
                          </w:tcPr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Istorinės raidos supratimas (A)</w:t>
                            </w:r>
                          </w:p>
                        </w:tc>
                        <w:tc>
                          <w:tcPr>
                            <w:tcW w:w="1701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Orientavimasis istoriniame laike ir erdvėje (B)</w:t>
                            </w:r>
                          </w:p>
                        </w:tc>
                        <w:tc>
                          <w:tcPr>
                            <w:tcW w:w="1740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Istorinis tyrimas ir interpretavimas (C)</w:t>
                            </w:r>
                          </w:p>
                        </w:tc>
                        <w:tc>
                          <w:tcPr>
                            <w:tcW w:w="1396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Istorinio pasakojimo kūrimas (D)</w:t>
                            </w:r>
                          </w:p>
                        </w:tc>
                        <w:tc>
                          <w:tcPr>
                            <w:tcW w:w="1252" w:type="dxa"/>
                            <w:vMerge/>
                            <w:vAlign w:val="center"/>
                          </w:tcPr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</w:tr>
                      <w:tr>
                        <w:tc>
                          <w:tcPr>
                            <w:tcW w:w="2405" w:type="dxa"/>
                          </w:tcPr>
                          <w:p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Istorikas, istorija ir istorinė kultūra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40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9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52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20</w:t>
                            </w:r>
                          </w:p>
                        </w:tc>
                      </w:tr>
                      <w:tr>
                        <w:trPr>
                          <w:trHeight w:val="375"/>
                        </w:trPr>
                        <w:tc>
                          <w:tcPr>
                            <w:tcW w:w="2405" w:type="dxa"/>
                          </w:tcPr>
                          <w:p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Valstybingumas: suverenitetas, idėjos, formos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40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9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52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trike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60</w:t>
                            </w:r>
                          </w:p>
                        </w:tc>
                      </w:tr>
                      <w:tr>
                        <w:tc>
                          <w:tcPr>
                            <w:tcW w:w="2405" w:type="dxa"/>
                          </w:tcPr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Kultūra ir mokslas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  <w:t xml:space="preserve"> </w:t>
                            </w: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(temos, įtraukiamos į tarpinį patikrinimą 2023–2024 mokslo metais:</w:t>
                            </w:r>
                          </w:p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Antikos pasiekimai ir jų reikšmė kultūros raidai;</w:t>
                            </w:r>
                          </w:p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Ikimoderniųjų laikų kultūros raiškos formos ir lūžiai: teologija ir literatūra, Gutenbergo ir mokslo revoliucijos;</w:t>
                            </w:r>
                          </w:p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 xml:space="preserve">Apšvieta ir modernybė XVIII a. – XX a. pr.: politinė filosofija, gamtos mokslai ir modernaus meno pradžia; </w:t>
                            </w:r>
                          </w:p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Kultūra ir menininko (ne)laisvė XX a. totalitarinėse santvarkose;</w:t>
                            </w:r>
                          </w:p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 xml:space="preserve">Pasaulio kultūros paveldas ir jo apsauga: priežastys, objektai, tikslai; </w:t>
                            </w:r>
                          </w:p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b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Mokslo ir pažinimo galimybės bei problemos: dirbtinis intelektas, mokslo etinės problemos, humanitarikos reikšmės klausimas)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>
                            <w:pPr>
                              <w:ind w:firstLine="57"/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40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9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52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trike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20</w:t>
                            </w:r>
                          </w:p>
                        </w:tc>
                      </w:tr>
                      <w:tr>
                        <w:tc>
                          <w:tcPr>
                            <w:tcW w:w="2405" w:type="dxa"/>
                          </w:tcPr>
                          <w:p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Iš viso taškų procentais</w:t>
                            </w:r>
                          </w:p>
                        </w:tc>
                        <w:tc>
                          <w:tcPr>
                            <w:tcW w:w="1276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35</w:t>
                            </w:r>
                          </w:p>
                        </w:tc>
                        <w:tc>
                          <w:tcPr>
                            <w:tcW w:w="1701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25</w:t>
                            </w:r>
                          </w:p>
                        </w:tc>
                        <w:tc>
                          <w:tcPr>
                            <w:tcW w:w="1740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40</w:t>
                            </w:r>
                          </w:p>
                        </w:tc>
                        <w:tc>
                          <w:tcPr>
                            <w:tcW w:w="1396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–</w:t>
                            </w:r>
                          </w:p>
                        </w:tc>
                        <w:tc>
                          <w:tcPr>
                            <w:tcW w:w="1252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100</w:t>
                            </w:r>
                          </w:p>
                        </w:tc>
                      </w:tr>
                    </w:tbl>
                    <w:p>
                      <w:pPr>
                        <w:jc w:val="both"/>
                        <w:rPr>
                          <w:sz w:val="20"/>
                          <w:lang w:eastAsia="lt-LT"/>
                        </w:rPr>
                      </w:pPr>
                      <w:r>
                        <w:rPr>
                          <w:sz w:val="20"/>
                          <w:lang w:eastAsia="lt-LT"/>
                        </w:rPr>
                        <w:t>Pastaba. </w:t>
                      </w:r>
                      <w:r>
                        <w:rPr>
                          <w:color w:val="000000"/>
                          <w:sz w:val="20"/>
                          <w:highlight w:val="white"/>
                          <w:lang w:eastAsia="lt-LT"/>
                        </w:rPr>
                        <w:t>Lentelėje pateikti skaičiai yra orientaciniai, užduotyje galima iki 5 procentų paklaida.</w:t>
                      </w:r>
                      <w:r>
                        <w:rPr>
                          <w:color w:val="000000"/>
                          <w:sz w:val="20"/>
                          <w:lang w:eastAsia="lt-LT"/>
                        </w:rPr>
                        <w:t>“</w:t>
                      </w:r>
                    </w:p>
                    <w:p/>
                  </w:sdtContent>
                </w:sdt>
              </w:sdtContent>
            </w:sdt>
          </w:sdtContent>
        </w:sdt>
        <w:sdt>
          <w:sdtPr>
            <w:alias w:val="2 p."/>
            <w:tag w:val="part_a0e9e5429f4f486daf7145bd9b792960"/>
            <w:lock w:val="sdtLocked"/>
            <w:richText/>
          </w:sdtPr>
          <w:sdtContent>
            <w:p>
              <w:pPr>
                <w:ind w:firstLine="709"/>
                <w:jc w:val="both"/>
                <w:textAlignment w:val="baseline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a0e9e5429f4f486daf7145bd9b792960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rFonts w:ascii="HelveticaLT" w:hAnsi="HelveticaLT"/>
                  <w:color w:val="000000"/>
                  <w:sz w:val="20"/>
                </w:rPr>
                <w:t xml:space="preserve"> </w:t>
              </w:r>
              <w:r>
                <w:rPr>
                  <w:color w:val="000000"/>
                  <w:szCs w:val="24"/>
                </w:rPr>
                <w:t xml:space="preserve">Pakeičiu </w:t>
              </w:r>
              <w:r>
                <w:rPr>
                  <w:rFonts w:eastAsia="Tahoma"/>
                  <w:szCs w:val="24"/>
                  <w:lang w:eastAsia="lt-LT"/>
                </w:rPr>
                <w:t xml:space="preserve">35.4.1 </w:t>
              </w:r>
              <w:r>
                <w:rPr>
                  <w:color w:val="000000"/>
                  <w:szCs w:val="24"/>
                </w:rPr>
                <w:t>papunktį ir jį išdėstau taip:</w:t>
              </w:r>
            </w:p>
            <w:sdt>
              <w:sdtPr>
                <w:alias w:val="citata"/>
                <w:tag w:val="part_bfea0c5e228a4bdb8502ccb434b11395"/>
                <w:lock w:val="sdtLocked"/>
                <w:richText/>
              </w:sdtPr>
              <w:sdtContent>
                <w:sdt>
                  <w:sdtPr>
                    <w:alias w:val="35.4.1 pp."/>
                    <w:tag w:val="part_6c07494cddb748a68c3bb4538c607162"/>
                    <w:lock w:val="sdtLocked"/>
                    <w:richText/>
                  </w:sdtPr>
                  <w:sdtContent>
                    <w:p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c07494cddb748a68c3bb4538c607162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35.4.1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 istorijos mokymo(si) turinio ir pasiekimų sritys procentais tarpinio patikrinimo užduotyje:</w:t>
                      </w:r>
                    </w:p>
                    <w:tbl>
                      <w:tblPr>
                        <w:tblW w:w="9628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2405"/>
                        <w:gridCol w:w="1276"/>
                        <w:gridCol w:w="1559"/>
                        <w:gridCol w:w="1740"/>
                        <w:gridCol w:w="1396"/>
                        <w:gridCol w:w="1252"/>
                      </w:tblGrid>
                      <w:tr>
                        <w:trPr>
                          <w:trHeight w:val="328"/>
                        </w:trPr>
                        <w:tc>
                          <w:tcPr>
                            <w:tcW w:w="240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Mokymo(si) turinio sritys</w:t>
                            </w:r>
                          </w:p>
                        </w:tc>
                        <w:tc>
                          <w:tcPr>
                            <w:tcW w:w="5971" w:type="dxa"/>
                            <w:gridSpan w:val="4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Pasiekimų sritys</w:t>
                            </w:r>
                          </w:p>
                        </w:tc>
                        <w:tc>
                          <w:tcPr>
                            <w:tcW w:w="1252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Užduoties taškai procentais</w:t>
                            </w:r>
                          </w:p>
                        </w:tc>
                      </w:tr>
                      <w:tr>
                        <w:tc>
                          <w:tcPr>
                            <w:tcW w:w="2405" w:type="dxa"/>
                            <w:vMerge/>
                            <w:vAlign w:val="center"/>
                          </w:tcPr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Istorinės raidos supratimas (A)</w:t>
                            </w:r>
                          </w:p>
                        </w:tc>
                        <w:tc>
                          <w:tcPr>
                            <w:tcW w:w="1559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Orientavimasis istoriniame laike ir erdvėje (B)</w:t>
                            </w:r>
                          </w:p>
                        </w:tc>
                        <w:tc>
                          <w:tcPr>
                            <w:tcW w:w="1740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Istorinis tyrimas ir interpretavimas (C)</w:t>
                            </w:r>
                          </w:p>
                        </w:tc>
                        <w:tc>
                          <w:tcPr>
                            <w:tcW w:w="1396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Istorinio pasakojimo kūrimas (D)</w:t>
                            </w:r>
                          </w:p>
                        </w:tc>
                        <w:tc>
                          <w:tcPr>
                            <w:tcW w:w="1252" w:type="dxa"/>
                            <w:vMerge/>
                            <w:vAlign w:val="center"/>
                          </w:tcPr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</w:tr>
                      <w:tr>
                        <w:tc>
                          <w:tcPr>
                            <w:tcW w:w="2405" w:type="dxa"/>
                          </w:tcPr>
                          <w:p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Istorikas, istorija ir istorinė kultūra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59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40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9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52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20</w:t>
                            </w:r>
                          </w:p>
                        </w:tc>
                      </w:tr>
                      <w:tr>
                        <w:trPr>
                          <w:trHeight w:val="375"/>
                        </w:trPr>
                        <w:tc>
                          <w:tcPr>
                            <w:tcW w:w="2405" w:type="dxa"/>
                          </w:tcPr>
                          <w:p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Valstybingumas: suverenitetas, idėjos, formos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59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40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9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52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trike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45</w:t>
                            </w:r>
                          </w:p>
                        </w:tc>
                      </w:tr>
                      <w:tr>
                        <w:tc>
                          <w:tcPr>
                            <w:tcW w:w="2405" w:type="dxa"/>
                          </w:tcPr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Kultūra ir mokslas</w:t>
                            </w:r>
                          </w:p>
                          <w:p>
                            <w:pPr>
                              <w:widowControl w:val="0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jc w:val="both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59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40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96" w:type="dxa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52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trike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35</w:t>
                            </w:r>
                          </w:p>
                        </w:tc>
                      </w:tr>
                      <w:tr>
                        <w:tc>
                          <w:tcPr>
                            <w:tcW w:w="2405" w:type="dxa"/>
                          </w:tcPr>
                          <w:p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Iš viso taškų procentais</w:t>
                            </w:r>
                          </w:p>
                        </w:tc>
                        <w:tc>
                          <w:tcPr>
                            <w:tcW w:w="1276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35</w:t>
                            </w:r>
                          </w:p>
                        </w:tc>
                        <w:tc>
                          <w:tcPr>
                            <w:tcW w:w="1559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25</w:t>
                            </w:r>
                          </w:p>
                        </w:tc>
                        <w:tc>
                          <w:tcPr>
                            <w:tcW w:w="1740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40</w:t>
                            </w:r>
                          </w:p>
                        </w:tc>
                        <w:tc>
                          <w:tcPr>
                            <w:tcW w:w="1396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–</w:t>
                            </w:r>
                          </w:p>
                        </w:tc>
                        <w:tc>
                          <w:tcPr>
                            <w:tcW w:w="1252" w:type="dxa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100</w:t>
                            </w:r>
                          </w:p>
                        </w:tc>
                      </w:tr>
                    </w:tbl>
                    <w:p>
                      <w:pPr>
                        <w:jc w:val="both"/>
                        <w:rPr>
                          <w:sz w:val="20"/>
                          <w:lang w:eastAsia="lt-LT"/>
                        </w:rPr>
                      </w:pPr>
                      <w:r>
                        <w:rPr>
                          <w:sz w:val="20"/>
                          <w:lang w:eastAsia="lt-LT"/>
                        </w:rPr>
                        <w:t>Pastaba. </w:t>
                      </w:r>
                      <w:r>
                        <w:rPr>
                          <w:color w:val="000000"/>
                          <w:sz w:val="20"/>
                          <w:highlight w:val="white"/>
                          <w:lang w:eastAsia="lt-LT"/>
                        </w:rPr>
                        <w:t>Lentelėje pateikti skaičiai yra orientaciniai, užduotyje galima iki 5 procentų paklaida.</w:t>
                      </w:r>
                      <w:r>
                        <w:rPr>
                          <w:color w:val="000000"/>
                          <w:sz w:val="20"/>
                          <w:lang w:eastAsia="lt-LT"/>
                        </w:rPr>
                        <w:t>“</w:t>
                      </w:r>
                    </w:p>
                    <w:p/>
                  </w:sdtContent>
                </w:sdt>
              </w:sdtContent>
            </w:sdt>
          </w:sdtContent>
        </w:sdt>
        <w:sdt>
          <w:sdtPr>
            <w:alias w:val="3 p."/>
            <w:tag w:val="part_fe194fea54664adc81ad1fa59be7f3a5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  <w:szCs w:val="24"/>
                  <w:highlight w:val="white"/>
                  <w:lang w:eastAsia="lt-LT"/>
                </w:rPr>
              </w:pPr>
              <w:sdt>
                <w:sdtPr>
                  <w:alias w:val="Numeris"/>
                  <w:tag w:val="nr_fe194fea54664adc81ad1fa59be7f3a5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highlight w:val="white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highlight w:val="white"/>
                  <w:lang w:eastAsia="lt-LT"/>
                </w:rPr>
                <w:t xml:space="preserve">. 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Nustatau, kad šio įsakymo 2 punktas įsigalioja </w:t>
              </w:r>
              <w:r>
                <w:rPr>
                  <w:color w:val="000000"/>
                  <w:szCs w:val="24"/>
                  <w:highlight w:val="white"/>
                  <w:lang w:eastAsia="lt-LT"/>
                </w:rPr>
                <w:t xml:space="preserve">2024 m rugsėjo 1 d. </w:t>
              </w:r>
            </w:p>
            <w:p>
              <w:pPr>
                <w:ind w:left="709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ind w:firstLine="567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tbl>
              <w:tblPr>
                <w:tblW w:w="9855" w:type="dxa"/>
                <w:tblLayout w:type="fixed"/>
                <w:tblLook w:val="0000" w:firstRow="0" w:lastRow="0" w:firstColumn="0" w:lastColumn="0" w:noHBand="0" w:noVBand="0"/>
              </w:tblPr>
              <w:tblGrid>
                <w:gridCol w:w="5778"/>
                <w:gridCol w:w="4077"/>
              </w:tblGrid>
              <w:tr>
                <w:trPr>
                  <w:cantSplit/>
                </w:trPr>
                <w:tc>
                  <w:tcPr>
                    <w:tcW w:w="5778" w:type="dxa"/>
                  </w:tcPr>
                  <w:p>
                    <w:pPr>
                      <w:overflowPunct w:val="0"/>
                      <w:jc w:val="both"/>
                      <w:textAlignment w:val="baseline"/>
                    </w:pPr>
                    <w:r>
                      <w:t>Švietimo, mokslo ir sporto ministras</w:t>
                    </w:r>
                  </w:p>
                </w:tc>
                <w:tc>
                  <w:tcPr>
                    <w:tcW w:w="4077" w:type="dxa"/>
                  </w:tcPr>
                  <w:p>
                    <w:pPr>
                      <w:overflowPunct w:val="0"/>
                      <w:jc w:val="center"/>
                      <w:textAlignment w:val="baseline"/>
                    </w:pPr>
                  </w:p>
                </w:tc>
              </w:tr>
            </w:tbl>
            <w:p>
              <w:pPr>
                <w:overflowPunct w:val="0"/>
                <w:jc w:val="both"/>
                <w:textAlignment w:val="baseline"/>
                <w:rPr>
                  <w:rFonts w:ascii="HelveticaLT" w:hAnsi="HelveticaLT"/>
                </w:rPr>
              </w:pPr>
            </w:p>
            <w:p>
              <w:pPr>
                <w:rPr>
                  <w:sz w:val="2"/>
                  <w:szCs w:val="2"/>
                </w:rPr>
              </w:pPr>
            </w:p>
            <w:p>
              <w:pPr>
                <w:overflowPunct w:val="0"/>
                <w:jc w:val="both"/>
                <w:textAlignment w:val="baseline"/>
                <w:rPr>
                  <w:rFonts w:ascii="HelveticaLT" w:hAnsi="HelveticaLT"/>
                </w:rPr>
              </w:pP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236" w:right="992" w:bottom="1140" w:left="1276" w:header="289" w:footer="720" w:gutter="0"/>
      <w:cols w:space="720"/>
      <w:noEndnote/>
      <w:titlePg/>
      <w:docGrid w:linePitch="272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separator/>
      </w:r>
    </w:p>
  </w:endnote>
  <w:endnote w:type="continuationSeparator" w:id="0">
    <w:p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</w:rPr>
    </w:pPr>
    <w:r>
      <w:rPr>
        <w:rFonts w:ascii="HelveticaLT" w:hAnsi="HelveticaLT"/>
        <w:sz w:val="20"/>
      </w:rPr>
      <w:fldChar w:fldCharType="begin"/>
    </w:r>
    <w:r>
      <w:rPr>
        <w:rFonts w:ascii="HelveticaLT" w:hAnsi="HelveticaLT"/>
        <w:sz w:val="20"/>
      </w:rPr>
      <w:instrText xml:space="preserve">PAGE  </w:instrText>
    </w:r>
    <w:r>
      <w:rPr>
        <w:rFonts w:ascii="HelveticaLT" w:hAnsi="HelveticaLT"/>
        <w:sz w:val="20"/>
      </w:rPr>
      <w:fldChar w:fldCharType="separate"/>
    </w:r>
    <w:r>
      <w:rPr>
        <w:rFonts w:ascii="HelveticaLT" w:hAnsi="HelveticaLT"/>
        <w:sz w:val="20"/>
      </w:rPr>
      <w:t>3</w:t>
    </w:r>
    <w:r>
      <w:rPr>
        <w:rFonts w:ascii="HelveticaLT" w:hAnsi="HelveticaLT"/>
        <w:sz w:val="20"/>
      </w:rPr>
      <w:fldChar w:fldCharType="end"/>
    </w:r>
  </w:p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16"/>
        <w:szCs w:val="16"/>
      </w:rPr>
    </w:pPr>
  </w:p>
  <w:p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separator/>
      </w:r>
    </w:p>
  </w:footnote>
  <w:footnote w:type="continuationSeparator" w:id="0">
    <w:p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071"/>
      </w:tabs>
      <w:overflowPunct w:val="0"/>
      <w:jc w:val="center"/>
      <w:textAlignment w:val="baseline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0TjhkQ1HPmXe+Y" int2:id="kc7RkDEI">
      <int2:state int2:value="Rejected" int2:type="AugLoop_Text_Critique"/>
    </int2:textHash>
    <int2:textHash int2:hashCode="pCs4vv3Vj1d+zT" int2:id="p0eT2rTz">
      <int2:state int2:value="Rejected" int2:type="AugLoop_Text_Critique"/>
    </int2:textHash>
    <int2:textHash int2:hashCode="BLL12KoKAKFEuB" int2:id="J7PsZPJK">
      <int2:state int2:value="Rejected" int2:type="AugLoop_Text_Critique"/>
    </int2:textHash>
    <int2:textHash int2:hashCode="xOsNQcUU8R6CUE" int2:id="JDQsXQTl">
      <int2:state int2:value="Rejected" int2:type="AugLoop_Text_Critique"/>
    </int2:textHash>
    <int2:textHash int2:hashCode="L0CZKtyPARzqWg" int2:id="5MtHRDr0">
      <int2:state int2:value="Rejected" int2:type="AugLoop_Text_Critique"/>
    </int2:textHash>
  </int2:observations>
  <int2:intelligenceSettings/>
  <int2:onDemandWorkflows/>
</int2:intelligence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intFractionalCharacterWidth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2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01575062-8A27-43B5-8015-8589A671A74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4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97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51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9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65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05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12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8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9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9" Type="http://schemas.microsoft.com/office/2020/10/relationships/intelligence" Target="intelligence2.xml"/>
  <Relationship Id="rId2" Type="http://schemas.openxmlformats.org/officeDocument/2006/relationships/customXml" Target="../customXml/item2.xml"/>
  <Relationship Id="rId20" Type="http://schemas.openxmlformats.org/officeDocument/2006/relationships/customXml" Target="../customXml/item5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149875867A94D24C97D3673D8ECB2620" ma:contentTypeVersion="16" ma:contentTypeDescription="Kurkite naują dokumentą." ma:contentTypeScope="" ma:versionID="3ddc932007a2bb9eb01cdb8a39e5336e">
  <xsd:schema xmlns:xsd="http://www.w3.org/2001/XMLSchema" xmlns:xs="http://www.w3.org/2001/XMLSchema" xmlns:p="http://schemas.microsoft.com/office/2006/metadata/properties" xmlns:ns3="bd2a18c2-06d4-44cd-af38-3237b532008a" xmlns:ns4="441e4d8e-a8ab-46be-9694-e40af28e9c61" targetNamespace="http://schemas.microsoft.com/office/2006/metadata/properties" ma:root="true" ma:fieldsID="33705bc05b092476487f8c42295c6974" ns3:_="" ns4:_="">
    <xsd:import namespace="bd2a18c2-06d4-44cd-af38-3237b532008a"/>
    <xsd:import namespace="441e4d8e-a8ab-46be-9694-e40af28e9c61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LengthInSeconds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Location" minOccurs="0"/>
                <xsd:element ref="ns4:_activity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2a18c2-06d4-44cd-af38-3237b532008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1e4d8e-a8ab-46be-9694-e40af28e9c6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41e4d8e-a8ab-46be-9694-e40af28e9c61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b2606dfb10fa4df4adccf74ba44baf3a" PartId="0cf9eaf6921a49e9b66ab8d31fc08fa4">
    <Part Type="punktas" Nr="1" Abbr="1 p." DocPartId="2e120effbfab46d3841f77fa781cfe2b" PartId="ecedbddfe04242a799d401e89dcc6203">
      <Part Type="citata" DocPartId="1e6f0b0b369d49da8f479487370f971f" PartId="45ade11ec1594a4c8ed10ca4b6f9afac">
        <Part Type="papunktis" Nr="35.4.1" Abbr="35.4.1 pp." DocPartId="b95d4ae37b704ae9a1ada224fea4c71f" PartId="5ac36c1d2eab4f49bee53183a3ba3632"/>
      </Part>
    </Part>
    <Part Type="punktas" Nr="2" Abbr="2 p." DocPartId="49a95b8c7da5422ba094d13f4c2c9bd4" PartId="a0e9e5429f4f486daf7145bd9b792960">
      <Part Type="citata" DocPartId="dcbed9c3bc3949eb9150fbe553afb21f" PartId="bfea0c5e228a4bdb8502ccb434b11395">
        <Part Type="papunktis" Nr="35.4.1" Abbr="35.4.1 pp." DocPartId="e45c9c9dc07044e391c3bfdae4457adf" PartId="6c07494cddb748a68c3bb4538c607162"/>
      </Part>
    </Part>
    <Part Type="punktas" Nr="3" Abbr="3 p." DocPartId="f6aeef20a0c845fe9335a5e2aff41cd4" PartId="fe194fea54664adc81ad1fa59be7f3a5"/>
  </Part>
</Parts>
</file>

<file path=customXml/itemProps1.xml><?xml version="1.0" encoding="utf-8"?>
<ds:datastoreItem xmlns:ds="http://schemas.openxmlformats.org/officeDocument/2006/customXml" ds:itemID="{B254062B-C3F5-47B4-A9B6-5E7F120D54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d2a18c2-06d4-44cd-af38-3237b532008a"/>
    <ds:schemaRef ds:uri="441e4d8e-a8ab-46be-9694-e40af28e9c6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FBC32AB-71C2-4C7B-BEAF-9D62FC7653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3967754-070F-416E-BCDE-C7D9E1B56111}">
  <ds:schemaRefs>
    <ds:schemaRef ds:uri="http://schemas.microsoft.com/office/2006/metadata/properties"/>
    <ds:schemaRef ds:uri="http://schemas.microsoft.com/office/infopath/2007/PartnerControls"/>
    <ds:schemaRef ds:uri="441e4d8e-a8ab-46be-9694-e40af28e9c61"/>
  </ds:schemaRefs>
</ds:datastoreItem>
</file>

<file path=customXml/itemProps4.xml><?xml version="1.0" encoding="utf-8"?>
<ds:datastoreItem xmlns:ds="http://schemas.openxmlformats.org/officeDocument/2006/customXml" ds:itemID="{DD883EFE-1944-483C-B741-9B5974529AE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C044EA5-5511-4283-A8E4-9795E426B6A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344</Words>
  <Characters>2231</Characters>
  <Application>Microsoft Office Word</Application>
  <DocSecurity>4</DocSecurity>
  <Lines>185</Lines>
  <Paragraphs>67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VKS</Company>
  <LinksUpToDate>false</LinksUpToDate>
  <CharactersWithSpaces>2508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2024-03-26T10:50:00Z</dcterms:created>
  <dc:creator>Navickaitė Jolanta | ŠMSM</dc:creator>
  <lastModifiedBy>adlibuser</lastModifiedBy>
  <lastPrinted>2010-02-18T07:54:00Z</lastPrinted>
  <dcterms:modified xsi:type="dcterms:W3CDTF">2024-03-26T10:50:00Z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0x010100149875867A94D24C97D3673D8ECB2620</vt:lpwstr>
  </property>
  <property fmtid="{D5CDD505-2E9C-101B-9397-08002B2CF9AE}" pid="4" name="MediaServiceImageTags">
    <vt:lpwstr/>
  </property>
</Properties>
</file>