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6484253c63994db0a6b5f081f62fae3e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jc w:val="right"/>
            <w:rPr>
              <w:sz w:val="20"/>
              <w:lang w:eastAsia="lt-LT"/>
            </w:rPr>
          </w:pPr>
          <w:r>
            <w:rPr>
              <w:b/>
              <w:lang w:eastAsia="lt-LT"/>
            </w:rPr>
            <w:t>Projektas</w:t>
          </w:r>
        </w:p>
        <w:p>
          <w:pPr>
            <w:jc w:val="center"/>
            <w:rPr>
              <w:sz w:val="18"/>
              <w:lang w:eastAsia="lt-LT"/>
            </w:rPr>
          </w:pPr>
        </w:p>
        <w:p>
          <w:pPr>
            <w:jc w:val="center"/>
            <w:rPr>
              <w:b/>
              <w:sz w:val="26"/>
              <w:lang w:eastAsia="lt-LT"/>
            </w:rPr>
          </w:pPr>
          <w:r>
            <w:rPr>
              <w:b/>
              <w:sz w:val="28"/>
              <w:lang w:eastAsia="lt-LT"/>
            </w:rPr>
            <w:t>LIETUVOS RESPUBLIKOS SUSISIEKIMO MINISTRAS</w:t>
          </w:r>
        </w:p>
        <w:p>
          <w:pPr>
            <w:jc w:val="center"/>
            <w:rPr>
              <w:b/>
              <w:sz w:val="26"/>
              <w:lang w:eastAsia="lt-LT"/>
            </w:rPr>
          </w:pPr>
        </w:p>
        <w:p>
          <w:pPr>
            <w:jc w:val="center"/>
            <w:rPr>
              <w:b/>
              <w:sz w:val="28"/>
              <w:lang w:eastAsia="lt-LT"/>
            </w:rPr>
          </w:pPr>
          <w:r>
            <w:rPr>
              <w:b/>
              <w:sz w:val="28"/>
              <w:lang w:eastAsia="lt-LT"/>
            </w:rPr>
            <w:t>ĮSAKYMAS</w:t>
          </w:r>
        </w:p>
        <w:p>
          <w:pPr>
            <w:jc w:val="center"/>
            <w:rPr>
              <w:b/>
              <w:sz w:val="28"/>
              <w:lang w:eastAsia="lt-LT"/>
            </w:rPr>
          </w:pPr>
          <w:r>
            <w:rPr>
              <w:b/>
              <w:sz w:val="28"/>
              <w:lang w:eastAsia="lt-LT"/>
            </w:rPr>
            <w:t>DĖL 2014–2020 METŲ EUROPOS SĄJUNGOS FONDŲ INVESTICIJŲ VEIKSMŲ PROGRAMOS 2 PRIORITETO „INFORMACINĖS VISUOMENĖS SKATINIMAS“ 02.1.1-CPVA-V-521 PRIEMONĖS „</w:t>
          </w:r>
          <w:r>
            <w:rPr>
              <w:b/>
              <w:caps/>
              <w:sz w:val="28"/>
              <w:lang w:eastAsia="lt-LT"/>
            </w:rPr>
            <w:t>NAUJOS KARTOS PRIEIGOS PLĖTRA</w:t>
          </w:r>
          <w:r>
            <w:rPr>
              <w:b/>
              <w:sz w:val="28"/>
              <w:lang w:eastAsia="lt-LT"/>
            </w:rPr>
            <w:t>“ PROJEKTŲ FINANSAVIMO SĄLYGŲ APRAŠO NR. 2 PATVIRTINIMO</w:t>
          </w:r>
        </w:p>
        <w:p>
          <w:pPr>
            <w:jc w:val="center"/>
            <w:rPr>
              <w:lang w:eastAsia="lt-LT"/>
            </w:rPr>
          </w:pPr>
        </w:p>
        <w:p>
          <w:pPr>
            <w:jc w:val="center"/>
            <w:rPr>
              <w:lang w:eastAsia="lt-LT"/>
            </w:rPr>
          </w:pPr>
          <w:r>
            <w:rPr>
              <w:lang w:eastAsia="lt-LT"/>
            </w:rPr>
            <w:t xml:space="preserve">__________________ Nr.    </w:t>
          </w:r>
        </w:p>
        <w:p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>
          <w:pPr>
            <w:jc w:val="center"/>
            <w:rPr>
              <w:lang w:eastAsia="lt-LT"/>
            </w:rPr>
          </w:pPr>
        </w:p>
        <w:p>
          <w:pPr>
            <w:jc w:val="center"/>
            <w:rPr>
              <w:lang w:eastAsia="lt-LT"/>
            </w:rPr>
          </w:pPr>
        </w:p>
        <w:sdt>
          <w:sdtPr>
            <w:alias w:val="preambule"/>
            <w:tag w:val="part_62bb7fd812e840d1bf9601d848916d68"/>
            <w:lock w:val="sdtLocked"/>
            <w:richText/>
          </w:sdtPr>
          <w:sdtContent>
            <w:p>
              <w:pPr>
                <w:shd w:val="clear" w:color="auto" w:fill="FFFFFF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Vadovaudamasis Atsakomybės ir funkcijų paskirstymo tarp institucijų, įgyvendinant 2014–2020 metų Europos Sąjungos fondų investicijų veiksmų programą, taisyklių, patvirtintų Lietuvos Respublikos Vyriausybės 2014 m. birželio 4 d. nutarimu Nr. 528 „Dėl atsakomybės ir funkcijų paskirstymo tarp institucijų, įgyvendinant 2014–2020 metų Europos Sąjungos fondų investicijų veiksmų programą“, 6.2.7 papunkčiu,</w:t>
              </w:r>
            </w:p>
          </w:sdtContent>
        </w:sdt>
        <w:sdt>
          <w:sdtPr>
            <w:alias w:val="pastraipa"/>
            <w:tag w:val="part_850d5c4908714e59a480c1493755d31d"/>
            <w:lock w:val="sdtLocked"/>
            <w:richText/>
          </w:sdtPr>
          <w:sdtContent>
            <w:p>
              <w:pPr>
                <w:tabs>
                  <w:tab w:val="left" w:pos="720"/>
                </w:tabs>
                <w:ind w:firstLine="709"/>
                <w:jc w:val="both"/>
                <w:rPr>
                  <w:lang w:eastAsia="lt-LT"/>
                </w:rPr>
              </w:pPr>
              <w:r>
                <w:rPr>
                  <w:lang w:eastAsia="lt-LT"/>
                </w:rPr>
                <w:t xml:space="preserve">t v i r t i n u  2014–2020 metų Europos Sąjungos fondų investicijų veiksmų programos </w:t>
                <w:br/>
                <w:t>2 prioriteto „Informacinės visuomenės skatinimas“ 02.1.1-CPVA-V-521 priemonės „Naujos kartos prieigos plėtra“ projektų finansavimo sąlygų aprašą Nr. 2 (pridedama).</w:t>
              </w:r>
            </w:p>
            <w:p>
              <w:pPr>
                <w:tabs>
                  <w:tab w:val="left" w:pos="720"/>
                </w:tabs>
                <w:jc w:val="both"/>
                <w:rPr>
                  <w:lang w:eastAsia="lt-LT"/>
                </w:rPr>
              </w:pPr>
            </w:p>
            <w:p>
              <w:pPr>
                <w:tabs>
                  <w:tab w:val="left" w:pos="5940"/>
                </w:tabs>
                <w:ind w:firstLine="5940"/>
                <w:jc w:val="both"/>
                <w:rPr>
                  <w:lang w:eastAsia="lt-LT"/>
                </w:rPr>
              </w:pPr>
            </w:p>
            <w:p>
              <w:pPr>
                <w:tabs>
                  <w:tab w:val="left" w:pos="720"/>
                </w:tabs>
                <w:jc w:val="both"/>
                <w:rPr>
                  <w:lang w:eastAsia="lt-LT"/>
                </w:rPr>
              </w:pPr>
            </w:p>
          </w:sdtContent>
        </w:sdt>
        <w:sdt>
          <w:sdtPr>
            <w:alias w:val="lentele"/>
            <w:tag w:val="part_b671a25db3ee4910a3b87ba1f8246eb9"/>
            <w:lock w:val="sdtLocked"/>
            <w:richText/>
          </w:sdtPr>
          <w:sdtContent>
            <w:tbl>
              <w:tblPr>
                <w:tblW w:w="0" w:type="auto"/>
                <w:tblLayout w:type="fixed"/>
                <w:tblLook w:val="0000" w:firstRow="0" w:lastRow="0" w:firstColumn="0" w:lastColumn="0" w:noHBand="0" w:noVBand="0"/>
              </w:tblPr>
              <w:tblGrid>
                <w:gridCol w:w="3794"/>
                <w:gridCol w:w="2773"/>
                <w:gridCol w:w="3283"/>
              </w:tblGrid>
              <w:tr>
                <w:trPr>
                  <w:trHeight w:val="240"/>
                </w:trPr>
                <w:tc>
                  <w:tcPr>
                    <w:tcW w:w="3794" w:type="dxa"/>
                  </w:tcPr>
                  <w:p>
                    <w:r>
                      <w:t>Susisiekimo ministras</w:t>
                    </w:r>
                  </w:p>
                </w:tc>
                <w:tc>
                  <w:tcPr>
                    <w:tcW w:w="2773" w:type="dxa"/>
                  </w:tcPr>
                  <w:p/>
                </w:tc>
                <w:tc>
                  <w:tcPr>
                    <w:tcW w:w="3283" w:type="dxa"/>
                  </w:tcPr>
                  <w:p/>
                </w:tc>
              </w:tr>
            </w:tbl>
            <w:p>
              <w:pPr>
                <w:rPr>
                  <w:lang w:eastAsia="lt-LT"/>
                </w:rPr>
              </w:pPr>
            </w:p>
            <w:p>
              <w:pPr>
                <w:rPr>
                  <w:lang w:eastAsia="lt-LT"/>
                </w:rPr>
              </w:pPr>
            </w:p>
            <w:p>
              <w:pPr>
                <w:rPr>
                  <w:lang w:eastAsia="lt-LT"/>
                </w:rPr>
              </w:pPr>
            </w:p>
            <w:p>
              <w:pPr>
                <w:rPr>
                  <w:lang w:eastAsia="lt-LT"/>
                </w:rPr>
              </w:pPr>
            </w:p>
            <w:p>
              <w:pPr>
                <w:rPr>
                  <w:lang w:eastAsia="lt-LT"/>
                </w:rPr>
              </w:pPr>
            </w:p>
            <w:p>
              <w:pPr>
                <w:rPr>
                  <w:lang w:eastAsia="lt-LT"/>
                </w:rPr>
              </w:pPr>
            </w:p>
            <w:p>
              <w:pPr>
                <w:rPr>
                  <w:lang w:eastAsia="lt-LT"/>
                </w:rPr>
              </w:pPr>
            </w:p>
          </w:sdtContent>
        </w:sdt>
        <w:sdt>
          <w:sdtPr>
            <w:alias w:val="lentele"/>
            <w:tag w:val="part_60f3aad0ae7245eab8ae693e747ff7b3"/>
            <w:lock w:val="sdtLocked"/>
            <w:richText/>
          </w:sdtPr>
          <w:sdtContent>
            <w:tbl>
              <w:tblPr>
                <w:tblW w:w="0" w:type="auto"/>
                <w:tblCellMar>
                  <w:left w:w="0" w:type="dxa"/>
                  <w:right w:w="0" w:type="dxa"/>
                </w:tblCellMar>
                <w:tblLook w:val="04A0" w:firstRow="1" w:lastRow="0" w:firstColumn="1" w:lastColumn="0" w:noHBand="0" w:noVBand="1"/>
              </w:tblPr>
              <w:tblGrid>
                <w:gridCol w:w="4927"/>
                <w:gridCol w:w="4927"/>
              </w:tblGrid>
              <w:tr>
                <w:tc>
                  <w:tcPr>
                    <w:tcW w:w="4931" w:type="dxa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>
                    <w:pPr>
                      <w:overflowPunct w:val="0"/>
                      <w:jc w:val="both"/>
                      <w:textAlignment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SUDERINTA</w:t>
                    </w:r>
                  </w:p>
                  <w:p>
                    <w:pPr>
                      <w:overflowPunct w:val="0"/>
                      <w:jc w:val="both"/>
                      <w:textAlignment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Lietuvos Respublikos finansų ministerijos</w:t>
                    </w:r>
                  </w:p>
                  <w:p>
                    <w:pPr>
                      <w:overflowPunct w:val="0"/>
                      <w:jc w:val="both"/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2018 m.             d. raštu Nr. </w:t>
                    </w:r>
                  </w:p>
                </w:tc>
                <w:tc>
                  <w:tcPr>
                    <w:tcW w:w="4931" w:type="dxa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>
                    <w:pPr>
                      <w:overflowPunct w:val="0"/>
                      <w:jc w:val="both"/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SUDERINTA</w:t>
                    </w:r>
                  </w:p>
                  <w:p>
                    <w:pPr>
                      <w:overflowPunct w:val="0"/>
                      <w:jc w:val="both"/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VšĮ Centrinės projektų valdymo agentūros   </w:t>
                    </w:r>
                  </w:p>
                  <w:p>
                    <w:pPr>
                      <w:overflowPunct w:val="0"/>
                      <w:jc w:val="both"/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2018 m. balandžio 12 d. raštu Nr. 2018/2-2243</w:t>
                    </w:r>
                  </w:p>
                </w:tc>
              </w:tr>
              <w:tr>
                <w:tc>
                  <w:tcPr>
                    <w:tcW w:w="4931" w:type="dxa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>
                    <w:pPr>
                      <w:overflowPunct w:val="0"/>
                      <w:jc w:val="both"/>
                      <w:textAlignment w:val="center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4931" w:type="dxa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>
                    <w:pPr>
                      <w:overflowPunct w:val="0"/>
                      <w:jc w:val="both"/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>
                <w:tc>
                  <w:tcPr>
                    <w:tcW w:w="4931" w:type="dxa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>
                    <w:pPr>
                      <w:overflowPunct w:val="0"/>
                      <w:jc w:val="both"/>
                      <w:textAlignment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SUDERINTA</w:t>
                    </w:r>
                  </w:p>
                  <w:p>
                    <w:pPr>
                      <w:overflowPunct w:val="0"/>
                      <w:jc w:val="both"/>
                      <w:textAlignment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Lietuvos Respublikos žemės ūkio ministerijos</w:t>
                    </w:r>
                  </w:p>
                  <w:p>
                    <w:pPr>
                      <w:overflowPunct w:val="0"/>
                      <w:jc w:val="both"/>
                      <w:textAlignment w:val="center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2015 m. </w:t>
                    </w:r>
                    <w:r>
                      <w:rPr>
                        <w:szCs w:val="24"/>
                      </w:rPr>
                      <w:t>gruodžio 2 d. raštu Nr. 2D-5631 (13.12)</w:t>
                    </w:r>
                  </w:p>
                </w:tc>
                <w:tc>
                  <w:tcPr>
                    <w:tcW w:w="4931" w:type="dxa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>
                    <w:pPr>
                      <w:overflowPunct w:val="0"/>
                      <w:jc w:val="both"/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</w:tbl>
            <w:p/>
            <w:p/>
            <w:p>
              <w:pPr>
                <w:rPr>
                  <w:sz w:val="20"/>
                </w:rPr>
              </w:pPr>
            </w:p>
            <w:p>
              <w:pPr>
                <w:rPr>
                  <w:sz w:val="20"/>
                </w:rPr>
              </w:pPr>
            </w:p>
            <w:p>
              <w:pPr>
                <w:rPr>
                  <w:sz w:val="20"/>
                </w:rPr>
              </w:pPr>
            </w:p>
          </w:sdtContent>
        </w:sdt>
        <w:sdt>
          <w:sdtPr>
            <w:alias w:val="signatura"/>
            <w:tag w:val="part_b127afafdb6b4e2d846a3fed79ec0381"/>
            <w:lock w:val="sdtLocked"/>
            <w:richText/>
          </w:sdtPr>
          <w:sdtContent>
            <w:p>
              <w:pPr>
                <w:rPr>
                  <w:sz w:val="20"/>
                </w:rPr>
              </w:pPr>
              <w:r>
                <w:rPr>
                  <w:sz w:val="20"/>
                </w:rPr>
                <w:t>Parengė</w:t>
              </w:r>
            </w:p>
            <w:p>
              <w:pPr>
                <w:rPr>
                  <w:sz w:val="20"/>
                </w:rPr>
              </w:pPr>
            </w:p>
            <w:p>
              <w:pPr>
                <w:rPr>
                  <w:sz w:val="20"/>
                </w:rPr>
              </w:pPr>
              <w:r>
                <w:rPr>
                  <w:sz w:val="20"/>
                </w:rPr>
                <w:t>E. Ramaškevičius</w:t>
              </w:r>
            </w:p>
            <w:p>
              <w:pPr>
                <w:rPr>
                  <w:sz w:val="20"/>
                </w:rPr>
              </w:pPr>
              <w:r>
                <w:rPr>
                  <w:sz w:val="20"/>
                </w:rPr>
                <w:t>2018-</w:t>
              </w:r>
            </w:p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zoom w:percent="110"/>
  <w:defaultTabStop w:val="1296"/>
  <w:hyphenationZone w:val="396"/>
  <w:doNotHyphenateCaps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60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ntTable" Target="fontTable.xml"/>
  <Relationship Id="rId6" Type="http://schemas.openxmlformats.org/officeDocument/2006/relationships/theme" Target="theme/theme1.xml"/>
  <Relationship Id="rId7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8053c8df56d64a23b698dd62499e0749" PartId="6484253c63994db0a6b5f081f62fae3e">
    <Part Type="preambule" DocPartId="c32fa27f34104c549774807391300472" PartId="62bb7fd812e840d1bf9601d848916d68"/>
    <Part Type="pastraipa" DocPartId="f0950e4397ac4b7084f14a54b90abd01" PartId="850d5c4908714e59a480c1493755d31d"/>
    <Part Type="lentele" DocPartId="afde514db28c43b1ba7934e87189bfe0" PartId="b671a25db3ee4910a3b87ba1f8246eb9"/>
    <Part Type="lentele" DocPartId="0e4081eb0d85448ea3717a4526b41ebe" PartId="60f3aad0ae7245eab8ae693e747ff7b3"/>
    <Part Type="signatura" DocPartId="30586fab0db043b6b7ac6445791cb92f" PartId="b127afafdb6b4e2d846a3fed79ec0381"/>
  </Part>
</Parts>
</file>

<file path=customXml/itemProps1.xml><?xml version="1.0" encoding="utf-8"?>
<ds:datastoreItem xmlns:ds="http://schemas.openxmlformats.org/officeDocument/2006/customXml" ds:itemID="{382EB69B-AEA6-4B10-9793-280FBA4E347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172</Words>
  <Characters>1186</Characters>
  <Application>Microsoft Office Word</Application>
  <DocSecurity>4</DocSecurity>
  <Lines>59</Lines>
  <Paragraphs>24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1334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2018-04-19T13:36:00Z</dcterms:created>
  <dc:creator>sevol</dc:creator>
  <lastModifiedBy>adlibuser</lastModifiedBy>
  <lastPrinted>2016-07-11T07:18:00Z</lastPrinted>
  <dcterms:modified xsi:type="dcterms:W3CDTF">2018-04-19T13:36:00Z</dcterms:modified>
  <revision>2</revision>
</coreProperties>
</file>