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sdt>
      <w:sdtPr>
        <w:alias w:val="pagrindine"/>
        <w:tag w:val="part_a1cb53af7f19466f83edeed4dd3eebd1"/>
        <w:lock w:val="sdtLocked"/>
        <w:richText/>
      </w:sdtPr>
      <w:sdtContent>
        <w:p>
          <w:pPr>
            <w:tabs>
              <w:tab w:val="left" w:pos="7440"/>
            </w:tabs>
            <w:ind w:firstLine="7440"/>
            <w:jc w:val="both"/>
            <w:rPr>
              <w:b/>
              <w:bCs/>
              <w:szCs w:val="24"/>
              <w:lang w:eastAsia="lt-LT"/>
            </w:rPr>
          </w:pPr>
          <w:r>
            <w:rPr>
              <w:b/>
              <w:bCs/>
              <w:szCs w:val="24"/>
              <w:lang w:eastAsia="lt-LT"/>
            </w:rPr>
            <w:t>Projektas</w:t>
          </w:r>
        </w:p>
        <w:p>
          <w:pPr>
            <w:tabs>
              <w:tab w:val="left" w:pos="7440"/>
            </w:tabs>
            <w:ind w:firstLine="7440"/>
            <w:jc w:val="both"/>
            <w:rPr>
              <w:szCs w:val="24"/>
              <w:lang w:eastAsia="lt-LT"/>
            </w:rPr>
          </w:pPr>
          <w:r>
            <w:rPr>
              <w:szCs w:val="24"/>
              <w:lang w:eastAsia="lt-LT"/>
            </w:rPr>
            <w:t>Nr. TSP-</w:t>
          </w:r>
        </w:p>
        <w:p>
          <w:pPr>
            <w:tabs>
              <w:tab w:val="left" w:pos="851"/>
              <w:tab w:val="left" w:pos="993"/>
              <w:tab w:val="left" w:pos="8100"/>
            </w:tabs>
            <w:rPr>
              <w:szCs w:val="24"/>
              <w:lang w:eastAsia="lt-LT"/>
            </w:rPr>
          </w:pPr>
        </w:p>
        <w:p>
          <w:pPr>
            <w:tabs>
              <w:tab w:val="left" w:pos="7920"/>
              <w:tab w:val="left" w:pos="8100"/>
            </w:tabs>
            <w:jc w:val="center"/>
            <w:rPr>
              <w:b/>
              <w:szCs w:val="24"/>
              <w:lang w:eastAsia="lt-LT"/>
            </w:rPr>
          </w:pPr>
          <w:r>
            <w:rPr>
              <w:b/>
              <w:szCs w:val="24"/>
              <w:lang w:eastAsia="lt-LT"/>
            </w:rPr>
            <w:t>RADVILIŠKIO RAJONO SAVIVALDYBĖS TARYBA</w:t>
          </w:r>
        </w:p>
        <w:p>
          <w:pPr>
            <w:tabs>
              <w:tab w:val="left" w:pos="7920"/>
              <w:tab w:val="left" w:pos="8100"/>
            </w:tabs>
            <w:jc w:val="center"/>
            <w:rPr>
              <w:szCs w:val="24"/>
              <w:lang w:eastAsia="lt-LT"/>
            </w:rPr>
          </w:pPr>
        </w:p>
        <w:p>
          <w:pPr>
            <w:tabs>
              <w:tab w:val="left" w:pos="7920"/>
              <w:tab w:val="left" w:pos="8100"/>
            </w:tabs>
            <w:jc w:val="center"/>
            <w:rPr>
              <w:b/>
              <w:szCs w:val="24"/>
              <w:lang w:eastAsia="lt-LT"/>
            </w:rPr>
          </w:pPr>
          <w:r>
            <w:rPr>
              <w:b/>
              <w:szCs w:val="24"/>
              <w:lang w:eastAsia="lt-LT"/>
            </w:rPr>
            <w:t>SPRENDIMAS</w:t>
          </w:r>
        </w:p>
        <w:p>
          <w:pPr>
            <w:tabs>
              <w:tab w:val="left" w:pos="7920"/>
              <w:tab w:val="left" w:pos="8100"/>
            </w:tabs>
            <w:jc w:val="center"/>
            <w:rPr>
              <w:b/>
              <w:szCs w:val="24"/>
              <w:lang w:eastAsia="lt-LT"/>
            </w:rPr>
          </w:pPr>
          <w:r>
            <w:rPr>
              <w:b/>
              <w:szCs w:val="24"/>
              <w:lang w:eastAsia="lt-LT"/>
            </w:rPr>
            <w:t xml:space="preserve">DĖL  NEKILNOJAMOJO TURTO MOKESČIO </w:t>
          </w:r>
        </w:p>
        <w:p>
          <w:pPr>
            <w:tabs>
              <w:tab w:val="left" w:pos="1418"/>
              <w:tab w:val="left" w:pos="7920"/>
              <w:tab w:val="left" w:pos="8100"/>
            </w:tabs>
            <w:jc w:val="center"/>
            <w:rPr>
              <w:szCs w:val="24"/>
              <w:lang w:eastAsia="lt-LT"/>
            </w:rPr>
          </w:pPr>
        </w:p>
        <w:p>
          <w:pPr>
            <w:tabs>
              <w:tab w:val="left" w:pos="7920"/>
            </w:tabs>
            <w:jc w:val="center"/>
            <w:rPr>
              <w:szCs w:val="24"/>
              <w:lang w:eastAsia="lt-LT"/>
            </w:rPr>
          </w:pPr>
          <w:r>
            <w:rPr>
              <w:szCs w:val="24"/>
              <w:lang w:eastAsia="lt-LT"/>
            </w:rPr>
            <w:t xml:space="preserve">2025 m.                     d. Nr. T-</w:t>
          </w:r>
        </w:p>
        <w:p>
          <w:pPr>
            <w:jc w:val="center"/>
            <w:rPr>
              <w:szCs w:val="24"/>
              <w:lang w:eastAsia="lt-LT"/>
            </w:rPr>
          </w:pPr>
          <w:r>
            <w:rPr>
              <w:szCs w:val="24"/>
              <w:lang w:eastAsia="lt-LT"/>
            </w:rPr>
            <w:t>Radviliškis</w:t>
          </w:r>
        </w:p>
        <w:p>
          <w:pPr>
            <w:jc w:val="center"/>
            <w:rPr>
              <w:szCs w:val="24"/>
              <w:lang w:eastAsia="lt-LT"/>
            </w:rPr>
          </w:pPr>
        </w:p>
        <w:sdt>
          <w:sdtPr>
            <w:alias w:val="preambule"/>
            <w:tag w:val="part_51e8171a807b48aa83337f2eb05b30e4"/>
            <w:lock w:val="sdtLocked"/>
            <w:richText/>
          </w:sdtPr>
          <w:sdtContent>
            <w:p>
              <w:pPr>
                <w:spacing w:line="360" w:lineRule="auto"/>
                <w:ind w:firstLine="720"/>
                <w:jc w:val="both"/>
                <w:rPr>
                  <w:szCs w:val="24"/>
                  <w:lang w:eastAsia="lt-LT"/>
                </w:rPr>
              </w:pPr>
              <w:r>
                <w:rPr>
                  <w:szCs w:val="24"/>
                  <w:lang w:eastAsia="lt-LT"/>
                </w:rPr>
                <w:t xml:space="preserve">Vadovaudamasi Lietuvos Respublikos vietos savivaldos įstatymo 15 straipsnio 2 dalies 14 punktu, Lietuvos Respublikos nekilnojamojo turto mokesčio įstatymo </w:t>
              </w:r>
              <w:r>
                <w:rPr>
                  <w:rFonts w:eastAsia="Calibri"/>
                  <w:szCs w:val="24"/>
                </w:rPr>
                <w:t>3 straipsnio 1 dalimi bei</w:t>
              </w:r>
              <w:r>
                <w:rPr>
                  <w:szCs w:val="24"/>
                  <w:lang w:eastAsia="lt-LT"/>
                </w:rPr>
                <w:t xml:space="preserve"> 7 straipsnio 5 dalimi, atsižvelgdama į Prašymų dėl žemės mokesčio, žemės nuomos mokesčio ir nekilnojamojo turto mokesčio nagrinėjimo darbo grupės, sudarytos Radviliškio rajono savivaldybės mero 2024 m. spalio 8 d. potvarkiu Nr. M-549 (2.5) „Dėl Radviliškio rajono savivaldybės mero 2023 m. spalio 13 d. potvarkio Nr. M-424 (2.5) „Dėl nekilnojamojo turto, žemės ir valstybinės žemės nuomos mokesčio prašymų nagrinėjimo darbo grupės sudarymo pakeitimo“, 2025 m. kovo 12 d.  posėdžio protokolą Nr. 1 ir UAB TM Trade LT, įmonės kodas 306577136 2025, m. sausio 21 d. prašymą,  Radviliškio rajono savivaldybės taryba </w:t>
              </w:r>
              <w:r>
                <w:rPr>
                  <w:spacing w:val="50"/>
                  <w:szCs w:val="24"/>
                  <w:lang w:eastAsia="lt-LT"/>
                </w:rPr>
                <w:t>nusprendži</w:t>
              </w:r>
              <w:r>
                <w:rPr>
                  <w:szCs w:val="24"/>
                  <w:lang w:eastAsia="lt-LT"/>
                </w:rPr>
                <w:t xml:space="preserve">a: </w:t>
              </w:r>
            </w:p>
          </w:sdtContent>
        </w:sdt>
        <w:sdt>
          <w:sdtPr>
            <w:alias w:val="1 p."/>
            <w:tag w:val="part_bb123a9da7ee4537978f9f49f6e3577a"/>
            <w:lock w:val="sdtLocked"/>
            <w:richText/>
          </w:sdtPr>
          <w:sdtContent>
            <w:p>
              <w:pPr>
                <w:tabs>
                  <w:tab w:val="left" w:pos="993"/>
                </w:tabs>
                <w:spacing w:line="360" w:lineRule="auto"/>
                <w:ind w:firstLine="720"/>
                <w:jc w:val="both"/>
                <w:rPr>
                  <w:szCs w:val="24"/>
                  <w:lang w:eastAsia="lt-LT"/>
                </w:rPr>
              </w:pPr>
              <w:sdt>
                <w:sdtPr>
                  <w:alias w:val="Numeris"/>
                  <w:tag w:val="nr_bb123a9da7ee4537978f9f49f6e3577a"/>
                  <w:lock w:val="sdtLocked"/>
                  <w:richText/>
                </w:sdtPr>
                <w:sdtContent>
                  <w:r>
                    <w:rPr>
                      <w:szCs w:val="24"/>
                      <w:lang w:eastAsia="lt-LT"/>
                    </w:rPr>
                    <w:t>1</w:t>
                  </w:r>
                </w:sdtContent>
              </w:sdt>
              <w:r>
                <w:rPr>
                  <w:szCs w:val="24"/>
                  <w:lang w:eastAsia="lt-LT"/>
                </w:rPr>
                <w:t>.</w:t>
                <w:tab/>
                <w:t>Tenkinti UAB TM Trade LT, įmonės kodas 306577136, 2025 m. sausio 21 d. prašymą ir atleisti nuo 2024 metų nekilnojamojo turto mokesčio už Radviliškio rajone nuosavybės teise valdomus nekilnojamojo turto objektus.</w:t>
              </w:r>
            </w:p>
          </w:sdtContent>
        </w:sdt>
        <w:sdt>
          <w:sdtPr>
            <w:alias w:val="2 p."/>
            <w:tag w:val="part_09f021009b6d44d39546981e74ba05b0"/>
            <w:lock w:val="sdtLocked"/>
            <w:richText/>
          </w:sdtPr>
          <w:sdtContent>
            <w:p>
              <w:pPr>
                <w:spacing w:line="360" w:lineRule="auto"/>
                <w:ind w:right="-81" w:firstLine="720"/>
                <w:jc w:val="both"/>
                <w:rPr>
                  <w:rFonts w:eastAsia="SimSun"/>
                  <w:bCs/>
                  <w:szCs w:val="24"/>
                </w:rPr>
              </w:pPr>
              <w:sdt>
                <w:sdtPr>
                  <w:alias w:val="Numeris"/>
                  <w:tag w:val="nr_09f021009b6d44d39546981e74ba05b0"/>
                  <w:lock w:val="sdtLocked"/>
                  <w:richText/>
                </w:sdtPr>
                <w:sdtContent>
                  <w:r>
                    <w:rPr>
                      <w:rFonts w:eastAsia="SimSun"/>
                      <w:bCs/>
                      <w:szCs w:val="24"/>
                    </w:rPr>
                    <w:t>2</w:t>
                  </w:r>
                </w:sdtContent>
              </w:sdt>
              <w:r>
                <w:rPr>
                  <w:rFonts w:eastAsia="SimSun"/>
                  <w:bCs/>
                  <w:szCs w:val="24"/>
                </w:rPr>
                <w:t>. Nurodyti, kad šis sprendimas ne vėliau kaip per vieną mėnesį nuo jo įsigaliojimo dienos gali būti skundžiamas paduodant skundą Lietuvos administracinių ginčų komisijos Šiaulių apygardos skyriui adresu: Dvaro g. 81, Šiauliai, arba Regionų administraciniam teismui bet kuriuose šio teismo rūmuose.</w:t>
              </w:r>
            </w:p>
            <w:p>
              <w:pPr>
                <w:spacing w:line="360" w:lineRule="auto"/>
                <w:ind w:right="-81" w:firstLine="720"/>
                <w:jc w:val="both"/>
                <w:rPr>
                  <w:rFonts w:eastAsia="SimSun"/>
                  <w:bCs/>
                  <w:szCs w:val="24"/>
                </w:rPr>
              </w:pPr>
            </w:p>
            <w:p>
              <w:pPr>
                <w:ind w:right="-81" w:firstLine="720"/>
                <w:jc w:val="both"/>
                <w:rPr>
                  <w:rFonts w:eastAsia="SimSun"/>
                  <w:bCs/>
                  <w:szCs w:val="24"/>
                </w:rPr>
              </w:pPr>
            </w:p>
            <w:p>
              <w:pPr>
                <w:tabs>
                  <w:tab w:val="left" w:pos="7740"/>
                </w:tabs>
                <w:jc w:val="both"/>
                <w:rPr>
                  <w:szCs w:val="24"/>
                  <w:lang w:eastAsia="lt-LT"/>
                </w:rPr>
              </w:pPr>
            </w:p>
            <w:p>
              <w:pPr>
                <w:tabs>
                  <w:tab w:val="left" w:pos="7740"/>
                </w:tabs>
                <w:jc w:val="both"/>
                <w:rPr>
                  <w:szCs w:val="24"/>
                  <w:lang w:eastAsia="lt-LT"/>
                </w:rPr>
              </w:pPr>
              <w:r>
                <w:rPr>
                  <w:szCs w:val="24"/>
                  <w:lang w:eastAsia="lt-LT"/>
                </w:rPr>
                <w:t xml:space="preserve">Savivaldybės meras                                                                                       </w:t>
              </w:r>
            </w:p>
            <w:p>
              <w:pPr>
                <w:ind w:firstLine="709"/>
                <w:rPr>
                  <w:szCs w:val="24"/>
                  <w:lang w:eastAsia="lt-LT"/>
                </w:rPr>
              </w:pPr>
            </w:p>
            <w:p>
              <w:pPr>
                <w:ind w:firstLine="709"/>
                <w:rPr>
                  <w:szCs w:val="24"/>
                  <w:lang w:eastAsia="lt-LT"/>
                </w:rPr>
              </w:pPr>
            </w:p>
            <w:p>
              <w:pPr>
                <w:ind w:firstLine="709"/>
                <w:rPr>
                  <w:szCs w:val="24"/>
                  <w:lang w:eastAsia="lt-LT"/>
                </w:rPr>
              </w:pPr>
            </w:p>
            <w:p>
              <w:pPr>
                <w:ind w:firstLine="709"/>
                <w:rPr>
                  <w:szCs w:val="24"/>
                  <w:lang w:eastAsia="lt-LT"/>
                </w:rPr>
              </w:pPr>
            </w:p>
            <w:p>
              <w:pPr>
                <w:ind w:firstLine="709"/>
                <w:rPr>
                  <w:szCs w:val="24"/>
                  <w:lang w:eastAsia="lt-LT"/>
                </w:rPr>
              </w:pPr>
            </w:p>
            <w:p>
              <w:pPr>
                <w:ind w:firstLine="709"/>
                <w:rPr>
                  <w:szCs w:val="24"/>
                  <w:lang w:eastAsia="lt-LT"/>
                </w:rPr>
              </w:pPr>
            </w:p>
            <w:p>
              <w:pPr>
                <w:ind w:firstLine="709"/>
                <w:rPr>
                  <w:szCs w:val="24"/>
                  <w:lang w:eastAsia="lt-LT"/>
                </w:rPr>
              </w:pPr>
            </w:p>
            <w:p>
              <w:pPr>
                <w:ind w:firstLine="709"/>
                <w:rPr>
                  <w:szCs w:val="24"/>
                  <w:lang w:eastAsia="lt-LT"/>
                </w:rPr>
              </w:pPr>
            </w:p>
            <w:p>
              <w:pPr>
                <w:ind w:firstLine="709"/>
                <w:rPr>
                  <w:szCs w:val="24"/>
                  <w:lang w:eastAsia="lt-LT"/>
                </w:rPr>
              </w:pPr>
            </w:p>
            <w:p>
              <w:pPr>
                <w:ind w:firstLine="709"/>
                <w:rPr>
                  <w:szCs w:val="24"/>
                  <w:lang w:eastAsia="lt-LT"/>
                </w:rPr>
              </w:pPr>
            </w:p>
            <w:p>
              <w:pPr>
                <w:rPr>
                  <w:szCs w:val="24"/>
                  <w:lang w:eastAsia="lt-LT"/>
                </w:rPr>
              </w:pPr>
            </w:p>
            <w:p>
              <w:pPr>
                <w:rPr>
                  <w:szCs w:val="24"/>
                  <w:lang w:eastAsia="lt-LT"/>
                </w:rPr>
              </w:pPr>
            </w:p>
            <w:p>
              <w:pPr>
                <w:rPr>
                  <w:szCs w:val="24"/>
                  <w:lang w:eastAsia="lt-LT"/>
                </w:rPr>
              </w:pPr>
            </w:p>
          </w:sdtContent>
        </w:sdt>
        <w:sdt>
          <w:sdtPr>
            <w:alias w:val="skirsnis"/>
            <w:tag w:val="part_587c408e31714f4997b6b9953f1226a3"/>
            <w:lock w:val="sdtLocked"/>
            <w:richText/>
          </w:sdtPr>
          <w:sdtContent>
            <w:sdt>
              <w:sdtPr>
                <w:alias w:val="Pavadinimas"/>
                <w:tag w:val="title_587c408e31714f4997b6b9953f1226a3"/>
                <w:lock w:val="sdtLocked"/>
                <w:richText/>
              </w:sdtPr>
              <w:sdtContent>
                <w:p>
                  <w:pPr>
                    <w:jc w:val="center"/>
                    <w:rPr>
                      <w:b/>
                      <w:bCs/>
                      <w:szCs w:val="24"/>
                      <w:lang w:eastAsia="lt-LT"/>
                    </w:rPr>
                  </w:pPr>
                  <w:r>
                    <w:rPr>
                      <w:b/>
                      <w:bCs/>
                      <w:szCs w:val="24"/>
                      <w:lang w:eastAsia="lt-LT"/>
                    </w:rPr>
                    <w:t>RADVILIŠKIO RAJONO SAVIVALDYBĖS TARYBOS SPRENDIMO PROJEKTO</w:t>
                  </w:r>
                </w:p>
                <w:p>
                  <w:pPr>
                    <w:tabs>
                      <w:tab w:val="left" w:pos="7920"/>
                      <w:tab w:val="left" w:pos="8100"/>
                    </w:tabs>
                    <w:ind w:firstLine="2046"/>
                    <w:jc w:val="both"/>
                    <w:rPr>
                      <w:b/>
                      <w:bCs/>
                      <w:szCs w:val="24"/>
                      <w:lang w:eastAsia="lt-LT"/>
                    </w:rPr>
                  </w:pPr>
                  <w:r>
                    <w:rPr>
                      <w:b/>
                      <w:bCs/>
                      <w:szCs w:val="24"/>
                      <w:lang w:eastAsia="lt-LT"/>
                    </w:rPr>
                    <w:t>„</w:t>
                  </w:r>
                  <w:r>
                    <w:rPr>
                      <w:b/>
                      <w:szCs w:val="24"/>
                      <w:lang w:eastAsia="lt-LT"/>
                    </w:rPr>
                    <w:t xml:space="preserve">DĖL  NEKILNOJAMOJO TURTO MOKESČIO</w:t>
                  </w:r>
                  <w:r>
                    <w:rPr>
                      <w:b/>
                      <w:bCs/>
                      <w:szCs w:val="24"/>
                      <w:lang w:eastAsia="lt-LT"/>
                    </w:rPr>
                    <w:t>“</w:t>
                  </w:r>
                </w:p>
                <w:p>
                  <w:pPr>
                    <w:jc w:val="center"/>
                    <w:rPr>
                      <w:b/>
                      <w:bCs/>
                      <w:szCs w:val="24"/>
                      <w:lang w:eastAsia="lt-LT"/>
                    </w:rPr>
                  </w:pPr>
                  <w:r>
                    <w:rPr>
                      <w:b/>
                      <w:bCs/>
                      <w:szCs w:val="24"/>
                      <w:lang w:eastAsia="lt-LT"/>
                    </w:rPr>
                    <w:t>AIŠKINAMASIS RAŠTAS</w:t>
                  </w:r>
                </w:p>
              </w:sdtContent>
            </w:sdt>
            <w:p>
              <w:pPr>
                <w:jc w:val="center"/>
                <w:rPr>
                  <w:b/>
                  <w:bCs/>
                  <w:szCs w:val="24"/>
                  <w:lang w:eastAsia="lt-LT"/>
                </w:rPr>
              </w:pPr>
            </w:p>
            <w:p>
              <w:pPr>
                <w:jc w:val="center"/>
                <w:rPr>
                  <w:bCs/>
                  <w:szCs w:val="24"/>
                  <w:lang w:eastAsia="lt-LT"/>
                </w:rPr>
              </w:pPr>
              <w:r>
                <w:rPr>
                  <w:bCs/>
                  <w:szCs w:val="24"/>
                  <w:lang w:eastAsia="lt-LT"/>
                </w:rPr>
                <w:t>2025 m. kovo 12 d.</w:t>
              </w:r>
            </w:p>
            <w:p>
              <w:pPr>
                <w:jc w:val="center"/>
                <w:rPr>
                  <w:bCs/>
                  <w:szCs w:val="24"/>
                  <w:lang w:eastAsia="lt-LT"/>
                </w:rPr>
              </w:pPr>
              <w:r>
                <w:rPr>
                  <w:bCs/>
                  <w:szCs w:val="24"/>
                  <w:lang w:eastAsia="lt-LT"/>
                </w:rPr>
                <w:t xml:space="preserve">Radviliškis </w:t>
              </w:r>
            </w:p>
            <w:p>
              <w:pPr>
                <w:rPr>
                  <w:b/>
                  <w:szCs w:val="24"/>
                  <w:lang w:eastAsia="lt-LT"/>
                </w:rPr>
              </w:pPr>
            </w:p>
            <w:sdt>
              <w:sdtPr>
                <w:alias w:val="1 p."/>
                <w:tag w:val="part_70b8a80450d2445cb286e0b0bbf4417b"/>
                <w:lock w:val="sdtLocked"/>
                <w:richText/>
              </w:sdtPr>
              <w:sdtContent>
                <w:p>
                  <w:pPr>
                    <w:tabs>
                      <w:tab w:val="left" w:pos="993"/>
                    </w:tabs>
                    <w:ind w:left="851" w:hanging="142"/>
                    <w:jc w:val="both"/>
                    <w:rPr>
                      <w:b/>
                      <w:szCs w:val="24"/>
                      <w:lang w:eastAsia="lt-LT"/>
                    </w:rPr>
                  </w:pPr>
                  <w:sdt>
                    <w:sdtPr>
                      <w:alias w:val="Numeris"/>
                      <w:tag w:val="nr_70b8a80450d2445cb286e0b0bbf4417b"/>
                      <w:lock w:val="sdtLocked"/>
                      <w:richText/>
                    </w:sdtPr>
                    <w:sdtContent>
                      <w:r>
                        <w:rPr>
                          <w:b/>
                          <w:szCs w:val="24"/>
                          <w:lang w:eastAsia="lt-LT"/>
                        </w:rPr>
                        <w:t>1</w:t>
                      </w:r>
                    </w:sdtContent>
                  </w:sdt>
                  <w:r>
                    <w:rPr>
                      <w:b/>
                      <w:szCs w:val="24"/>
                      <w:lang w:eastAsia="lt-LT"/>
                    </w:rPr>
                    <w:t>.</w:t>
                    <w:tab/>
                    <w:t>Projekto rengimą paskatinusios priežastys, parengto projekto tikslai ir uždaviniai.</w:t>
                  </w:r>
                </w:p>
                <w:p>
                  <w:pPr>
                    <w:ind w:firstLine="709"/>
                    <w:jc w:val="both"/>
                    <w:rPr>
                      <w:szCs w:val="24"/>
                      <w:lang w:eastAsia="lt-LT"/>
                    </w:rPr>
                  </w:pPr>
                  <w:r>
                    <w:rPr>
                      <w:szCs w:val="24"/>
                      <w:lang w:eastAsia="lt-LT"/>
                    </w:rPr>
                    <w:t xml:space="preserve">Sprendimo projektas parengtas, gavus 2025 m. sausio 21 d. UAB TM Trade LT, įmonės kodas 306577136, prašymą. Sprendimo projektu siūloma tenkinti UAB TM Trade LT, įmonės kodas 306577136, 2025 m. sausio 21 d. prašymą  ir atleisti nuo 2024 metų nekilnojamojo turto mokesčio. Nekilnojamojo turto mokestis už 2024 metus yra 2830,00 Eur.</w:t>
                  </w:r>
                </w:p>
              </w:sdtContent>
            </w:sdt>
            <w:sdt>
              <w:sdtPr>
                <w:alias w:val="2 p."/>
                <w:tag w:val="part_2d429f35dcf94532b3102212e0baa546"/>
                <w:lock w:val="sdtLocked"/>
                <w:richText/>
              </w:sdtPr>
              <w:sdtContent>
                <w:p>
                  <w:pPr>
                    <w:tabs>
                      <w:tab w:val="left" w:pos="993"/>
                    </w:tabs>
                    <w:ind w:left="851" w:hanging="142"/>
                    <w:jc w:val="both"/>
                    <w:rPr>
                      <w:b/>
                      <w:szCs w:val="24"/>
                      <w:lang w:eastAsia="lt-LT"/>
                    </w:rPr>
                  </w:pPr>
                  <w:sdt>
                    <w:sdtPr>
                      <w:alias w:val="Numeris"/>
                      <w:tag w:val="nr_2d429f35dcf94532b3102212e0baa546"/>
                      <w:lock w:val="sdtLocked"/>
                      <w:richText/>
                    </w:sdtPr>
                    <w:sdtContent>
                      <w:r>
                        <w:rPr>
                          <w:b/>
                          <w:szCs w:val="24"/>
                          <w:lang w:eastAsia="lt-LT"/>
                        </w:rPr>
                        <w:t>2</w:t>
                      </w:r>
                    </w:sdtContent>
                  </w:sdt>
                  <w:r>
                    <w:rPr>
                      <w:b/>
                      <w:szCs w:val="24"/>
                      <w:lang w:eastAsia="lt-LT"/>
                    </w:rPr>
                    <w:t>.</w:t>
                    <w:tab/>
                    <w:t>Projekto iniciatoriai (institucija, asmenys ar piliečių atstovai) ir rengėjai.</w:t>
                  </w:r>
                </w:p>
                <w:p>
                  <w:pPr>
                    <w:ind w:firstLine="709"/>
                    <w:jc w:val="both"/>
                    <w:rPr>
                      <w:szCs w:val="24"/>
                      <w:lang w:eastAsia="lt-LT"/>
                    </w:rPr>
                  </w:pPr>
                  <w:r>
                    <w:rPr>
                      <w:szCs w:val="24"/>
                      <w:lang w:eastAsia="lt-LT"/>
                    </w:rPr>
                    <w:t>Iniciatorius – Radviliškio rajono savivaldybės administracija. Sprendimo projektą parengė Finansų skyriaus vyriausioji specialistė Snieguolė Utkienė, tel. (0 422) 69 048.</w:t>
                  </w:r>
                </w:p>
              </w:sdtContent>
            </w:sdt>
            <w:sdt>
              <w:sdtPr>
                <w:alias w:val="3 p."/>
                <w:tag w:val="part_c9a19b6252164888a59cc6c3ed383e5c"/>
                <w:lock w:val="sdtLocked"/>
                <w:richText/>
              </w:sdtPr>
              <w:sdtContent>
                <w:p>
                  <w:pPr>
                    <w:tabs>
                      <w:tab w:val="left" w:pos="993"/>
                    </w:tabs>
                    <w:ind w:left="851" w:hanging="142"/>
                    <w:jc w:val="both"/>
                    <w:rPr>
                      <w:b/>
                      <w:szCs w:val="24"/>
                      <w:lang w:eastAsia="lt-LT"/>
                    </w:rPr>
                  </w:pPr>
                  <w:sdt>
                    <w:sdtPr>
                      <w:alias w:val="Numeris"/>
                      <w:tag w:val="nr_c9a19b6252164888a59cc6c3ed383e5c"/>
                      <w:lock w:val="sdtLocked"/>
                      <w:richText/>
                    </w:sdtPr>
                    <w:sdtContent>
                      <w:r>
                        <w:rPr>
                          <w:b/>
                          <w:szCs w:val="24"/>
                          <w:lang w:eastAsia="lt-LT"/>
                        </w:rPr>
                        <w:t>3</w:t>
                      </w:r>
                    </w:sdtContent>
                  </w:sdt>
                  <w:r>
                    <w:rPr>
                      <w:b/>
                      <w:szCs w:val="24"/>
                      <w:lang w:eastAsia="lt-LT"/>
                    </w:rPr>
                    <w:t>.</w:t>
                    <w:tab/>
                    <w:t>Kaip šiuo metu yra reguliuojami projekte aptarti teisiniai santykiai.</w:t>
                  </w:r>
                </w:p>
                <w:p>
                  <w:pPr>
                    <w:tabs>
                      <w:tab w:val="left" w:pos="851"/>
                    </w:tabs>
                    <w:ind w:firstLine="709"/>
                    <w:jc w:val="both"/>
                    <w:rPr>
                      <w:rFonts w:eastAsia="Calibri"/>
                      <w:szCs w:val="24"/>
                    </w:rPr>
                  </w:pPr>
                  <w:r>
                    <w:rPr>
                      <w:szCs w:val="24"/>
                      <w:lang w:eastAsia="lt-LT"/>
                    </w:rPr>
                    <w:t xml:space="preserve">Dabartinis sprendimo projekte aptariamų klausimų reguliavimas apibrėžtas Lietuvos Respublikos vietos savivaldos įstatymo 15 straipsnio 2 dalies 14 punktu, </w:t>
                  </w:r>
                  <w:r>
                    <w:rPr>
                      <w:rFonts w:eastAsia="Calibri"/>
                      <w:szCs w:val="24"/>
                    </w:rPr>
                    <w:t>Lietuvos Respublikos nekilnojamojo turto mokesčio įstatymo 7 straipsnio 5 dalyje, 3 straipsnio 1 dalyje nustatyta, kad nekilnojamojo turto mokestį moka</w:t>
                  </w:r>
                  <w:r>
                    <w:rPr>
                      <w:rFonts w:eastAsia="Calibri"/>
                      <w:b/>
                      <w:bCs/>
                      <w:szCs w:val="24"/>
                    </w:rPr>
                    <w:t xml:space="preserve"> </w:t>
                  </w:r>
                  <w:r>
                    <w:rPr>
                      <w:rFonts w:eastAsia="Calibri"/>
                      <w:szCs w:val="24"/>
                    </w:rPr>
                    <w:t xml:space="preserve">turto savininkai. Įstatymo 12 straipsnyje reglamentuota mokesčio apskaičiavimo, deklaravimo ir mokėjimo tvarka, o šio straipsnio 3 dalyje nustatyta, kad mokestį apskaičiuoja, deklaruoja ir sumoka šio įstatymo 3 straipsnyje mokesčio mokėtoju nurodytas asmuo. </w:t>
                  </w:r>
                  <w:r>
                    <w:rPr>
                      <w:szCs w:val="24"/>
                      <w:lang w:eastAsia="lt-LT"/>
                    </w:rPr>
                    <w:t>Minėti teisės aktai numato, kad savivaldybių tarybos savo biudžeto sąskaita turi teisę mažinti nekilnojamojo turto mokestį arba visai nuo jo atleisti.</w:t>
                  </w:r>
                </w:p>
              </w:sdtContent>
            </w:sdt>
            <w:sdt>
              <w:sdtPr>
                <w:alias w:val="4 p."/>
                <w:tag w:val="part_bd09afcccfcc4fdfb33f33ac7ad22560"/>
                <w:lock w:val="sdtLocked"/>
                <w:richText/>
              </w:sdtPr>
              <w:sdtContent>
                <w:p>
                  <w:pPr>
                    <w:tabs>
                      <w:tab w:val="left" w:pos="851"/>
                      <w:tab w:val="left" w:pos="993"/>
                    </w:tabs>
                    <w:ind w:firstLine="709"/>
                    <w:jc w:val="both"/>
                    <w:rPr>
                      <w:b/>
                      <w:szCs w:val="24"/>
                      <w:lang w:eastAsia="lt-LT"/>
                    </w:rPr>
                  </w:pPr>
                  <w:sdt>
                    <w:sdtPr>
                      <w:alias w:val="Numeris"/>
                      <w:tag w:val="nr_bd09afcccfcc4fdfb33f33ac7ad22560"/>
                      <w:lock w:val="sdtLocked"/>
                      <w:richText/>
                    </w:sdtPr>
                    <w:sdtContent>
                      <w:r>
                        <w:rPr>
                          <w:b/>
                          <w:szCs w:val="24"/>
                          <w:lang w:eastAsia="lt-LT"/>
                        </w:rPr>
                        <w:t>4</w:t>
                      </w:r>
                    </w:sdtContent>
                  </w:sdt>
                  <w:r>
                    <w:rPr>
                      <w:b/>
                      <w:szCs w:val="24"/>
                      <w:lang w:eastAsia="lt-LT"/>
                    </w:rPr>
                    <w:t>.</w:t>
                    <w:tab/>
                    <w:t>Kokios siūlomos naujos teisinio reguliavimo nuostatos, kokių teigiamų rezultatų laukiama.</w:t>
                  </w:r>
                </w:p>
                <w:p>
                  <w:pPr>
                    <w:ind w:firstLine="709"/>
                    <w:jc w:val="both"/>
                    <w:rPr>
                      <w:szCs w:val="24"/>
                      <w:lang w:eastAsia="lt-LT"/>
                    </w:rPr>
                  </w:pPr>
                  <w:r>
                    <w:rPr>
                      <w:szCs w:val="24"/>
                      <w:lang w:eastAsia="lt-LT"/>
                    </w:rPr>
                    <w:t>Nesiūloma.</w:t>
                  </w:r>
                </w:p>
              </w:sdtContent>
            </w:sdt>
            <w:sdt>
              <w:sdtPr>
                <w:alias w:val="5 p."/>
                <w:tag w:val="part_556ad998f3644fc0a128cfce089ac127"/>
                <w:lock w:val="sdtLocked"/>
                <w:richText/>
              </w:sdtPr>
              <w:sdtContent>
                <w:p>
                  <w:pPr>
                    <w:tabs>
                      <w:tab w:val="left" w:pos="851"/>
                      <w:tab w:val="left" w:pos="993"/>
                    </w:tabs>
                    <w:ind w:firstLine="709"/>
                    <w:jc w:val="both"/>
                    <w:rPr>
                      <w:b/>
                      <w:szCs w:val="24"/>
                      <w:lang w:eastAsia="lt-LT"/>
                    </w:rPr>
                  </w:pPr>
                  <w:sdt>
                    <w:sdtPr>
                      <w:alias w:val="Numeris"/>
                      <w:tag w:val="nr_556ad998f3644fc0a128cfce089ac127"/>
                      <w:lock w:val="sdtLocked"/>
                      <w:richText/>
                    </w:sdtPr>
                    <w:sdtContent>
                      <w:r>
                        <w:rPr>
                          <w:b/>
                          <w:szCs w:val="24"/>
                          <w:lang w:eastAsia="lt-LT"/>
                        </w:rPr>
                        <w:t>5</w:t>
                      </w:r>
                    </w:sdtContent>
                  </w:sdt>
                  <w:r>
                    <w:rPr>
                      <w:b/>
                      <w:szCs w:val="24"/>
                      <w:lang w:eastAsia="lt-LT"/>
                    </w:rPr>
                    <w:t>.</w:t>
                    <w:tab/>
                    <w:t>Galimos neigiamos priimto sprendimo projekto pasekmės ir kokių priemonių reikėtų imtis, kad tokių pasekmių būtų išvengta.</w:t>
                  </w:r>
                </w:p>
                <w:p>
                  <w:pPr>
                    <w:ind w:firstLine="709"/>
                    <w:jc w:val="both"/>
                    <w:rPr>
                      <w:b/>
                      <w:szCs w:val="24"/>
                      <w:lang w:eastAsia="lt-LT"/>
                    </w:rPr>
                  </w:pPr>
                  <w:r>
                    <w:rPr>
                      <w:szCs w:val="24"/>
                      <w:lang w:eastAsia="lt-LT"/>
                    </w:rPr>
                    <w:t xml:space="preserve">Į  Radviliškio rajono savivaldybės biudžetą bus surinkta 2830 Eur mažiau pajamų. </w:t>
                  </w:r>
                </w:p>
              </w:sdtContent>
            </w:sdt>
            <w:sdt>
              <w:sdtPr>
                <w:alias w:val="6 p."/>
                <w:tag w:val="part_9a30c2f37b664111bb9013969de44cc8"/>
                <w:lock w:val="sdtLocked"/>
                <w:richText/>
              </w:sdtPr>
              <w:sdtContent>
                <w:p>
                  <w:pPr>
                    <w:tabs>
                      <w:tab w:val="left" w:pos="851"/>
                      <w:tab w:val="left" w:pos="993"/>
                    </w:tabs>
                    <w:ind w:firstLine="709"/>
                    <w:jc w:val="both"/>
                    <w:rPr>
                      <w:b/>
                      <w:szCs w:val="24"/>
                      <w:lang w:eastAsia="lt-LT"/>
                    </w:rPr>
                  </w:pPr>
                  <w:sdt>
                    <w:sdtPr>
                      <w:alias w:val="Numeris"/>
                      <w:tag w:val="nr_9a30c2f37b664111bb9013969de44cc8"/>
                      <w:lock w:val="sdtLocked"/>
                      <w:richText/>
                    </w:sdtPr>
                    <w:sdtContent>
                      <w:r>
                        <w:rPr>
                          <w:b/>
                          <w:szCs w:val="24"/>
                          <w:lang w:eastAsia="lt-LT"/>
                        </w:rPr>
                        <w:t>6</w:t>
                      </w:r>
                    </w:sdtContent>
                  </w:sdt>
                  <w:r>
                    <w:rPr>
                      <w:b/>
                      <w:szCs w:val="24"/>
                      <w:lang w:eastAsia="lt-LT"/>
                    </w:rPr>
                    <w:t>.</w:t>
                    <w:tab/>
                    <w:t>Kokius teisės aktus būtina priimti, kokius galiojančius teisės aktus būtina pakeisti ar pripažinti netekusiais galios priėmus sprendimo projektą.</w:t>
                  </w:r>
                </w:p>
                <w:p>
                  <w:pPr>
                    <w:ind w:firstLine="709"/>
                    <w:jc w:val="both"/>
                    <w:rPr>
                      <w:szCs w:val="24"/>
                      <w:lang w:eastAsia="lt-LT"/>
                    </w:rPr>
                  </w:pPr>
                  <w:r>
                    <w:rPr>
                      <w:szCs w:val="24"/>
                      <w:lang w:eastAsia="lt-LT"/>
                    </w:rPr>
                    <w:t>Nėra.</w:t>
                  </w:r>
                </w:p>
              </w:sdtContent>
            </w:sdt>
            <w:sdt>
              <w:sdtPr>
                <w:alias w:val="7 p."/>
                <w:tag w:val="part_3dce140e9352447f951e0745becc0391"/>
                <w:lock w:val="sdtLocked"/>
                <w:richText/>
              </w:sdtPr>
              <w:sdtContent>
                <w:p>
                  <w:pPr>
                    <w:tabs>
                      <w:tab w:val="left" w:pos="851"/>
                      <w:tab w:val="left" w:pos="993"/>
                    </w:tabs>
                    <w:ind w:firstLine="709"/>
                    <w:jc w:val="both"/>
                    <w:rPr>
                      <w:b/>
                      <w:szCs w:val="24"/>
                      <w:lang w:eastAsia="lt-LT"/>
                    </w:rPr>
                  </w:pPr>
                  <w:sdt>
                    <w:sdtPr>
                      <w:alias w:val="Numeris"/>
                      <w:tag w:val="nr_3dce140e9352447f951e0745becc0391"/>
                      <w:lock w:val="sdtLocked"/>
                      <w:richText/>
                    </w:sdtPr>
                    <w:sdtContent>
                      <w:r>
                        <w:rPr>
                          <w:b/>
                          <w:szCs w:val="24"/>
                          <w:lang w:eastAsia="lt-LT"/>
                        </w:rPr>
                        <w:t>7</w:t>
                      </w:r>
                    </w:sdtContent>
                  </w:sdt>
                  <w:r>
                    <w:rPr>
                      <w:b/>
                      <w:szCs w:val="24"/>
                      <w:lang w:eastAsia="lt-LT"/>
                    </w:rPr>
                    <w:t>.</w:t>
                    <w:tab/>
                    <w:t>Sprendimo projektui įgyvendinti reikalingos lėšos, finansavimo šaltiniai.</w:t>
                  </w:r>
                </w:p>
                <w:p>
                  <w:pPr>
                    <w:ind w:firstLine="709"/>
                    <w:jc w:val="both"/>
                    <w:rPr>
                      <w:b/>
                      <w:szCs w:val="24"/>
                      <w:lang w:eastAsia="lt-LT"/>
                    </w:rPr>
                  </w:pPr>
                  <w:r>
                    <w:rPr>
                      <w:szCs w:val="24"/>
                      <w:lang w:eastAsia="lt-LT"/>
                    </w:rPr>
                    <w:t>Priėmus sprendimą Radviliškio rajono savivaldybės administracija papildomų išlaidų nepatirs</w:t>
                  </w:r>
                  <w:r>
                    <w:rPr>
                      <w:b/>
                      <w:szCs w:val="24"/>
                      <w:lang w:eastAsia="lt-LT"/>
                    </w:rPr>
                    <w:t>.</w:t>
                  </w:r>
                </w:p>
              </w:sdtContent>
            </w:sdt>
            <w:sdt>
              <w:sdtPr>
                <w:alias w:val="8 p."/>
                <w:tag w:val="part_044f3db670c142eca76a3d64a50b828a"/>
                <w:lock w:val="sdtLocked"/>
                <w:richText/>
              </w:sdtPr>
              <w:sdtContent>
                <w:p>
                  <w:pPr>
                    <w:tabs>
                      <w:tab w:val="left" w:pos="851"/>
                      <w:tab w:val="left" w:pos="993"/>
                    </w:tabs>
                    <w:ind w:firstLine="709"/>
                    <w:jc w:val="both"/>
                    <w:rPr>
                      <w:b/>
                      <w:szCs w:val="24"/>
                      <w:lang w:eastAsia="lt-LT"/>
                    </w:rPr>
                  </w:pPr>
                  <w:sdt>
                    <w:sdtPr>
                      <w:alias w:val="Numeris"/>
                      <w:tag w:val="nr_044f3db670c142eca76a3d64a50b828a"/>
                      <w:lock w:val="sdtLocked"/>
                      <w:richText/>
                    </w:sdtPr>
                    <w:sdtContent>
                      <w:r>
                        <w:rPr>
                          <w:b/>
                          <w:szCs w:val="24"/>
                          <w:lang w:eastAsia="lt-LT"/>
                        </w:rPr>
                        <w:t>8</w:t>
                      </w:r>
                    </w:sdtContent>
                  </w:sdt>
                  <w:r>
                    <w:rPr>
                      <w:b/>
                      <w:szCs w:val="24"/>
                      <w:lang w:eastAsia="lt-LT"/>
                    </w:rPr>
                    <w:t>.</w:t>
                    <w:tab/>
                    <w:t>Sprendimo projekto rengimo metu gauti specialistų vertinimai ir išvados.</w:t>
                  </w:r>
                </w:p>
                <w:p>
                  <w:pPr>
                    <w:tabs>
                      <w:tab w:val="left" w:pos="851"/>
                    </w:tabs>
                    <w:ind w:firstLine="709"/>
                    <w:jc w:val="both"/>
                    <w:rPr>
                      <w:bCs/>
                      <w:szCs w:val="24"/>
                      <w:lang w:eastAsia="lt-LT"/>
                    </w:rPr>
                  </w:pPr>
                  <w:r>
                    <w:rPr>
                      <w:szCs w:val="24"/>
                      <w:lang w:eastAsia="lt-LT"/>
                    </w:rPr>
                    <w:t xml:space="preserve">Žemės nuomos mokesčio ir nekilnojamojo turto mokesčio nagrinėjimo darbo grupės, sudarytos Radviliškio rajono savivaldybės mero 2024 m. spalio 8 d. potvarkiu Nr. M-549 (2.5) „Dėl Radviliškio rajono savivaldybės mero 2023 m. spalio 13 d. potvarkio Nr. M-424 (2.5) „Dėl nekilnojamojo turto, žemės ir valstybinės žemės nuomos mokesčio prašymų nagrinėjimo darbo grupės sudarymo pakeitimo“, 2025 m. kovo 12 d. posėdžio protokolas </w:t>
                  </w:r>
                  <w:r>
                    <w:rPr>
                      <w:bCs/>
                      <w:szCs w:val="24"/>
                      <w:lang w:eastAsia="lt-LT"/>
                    </w:rPr>
                    <w:t xml:space="preserve">Nr. 1. </w:t>
                  </w:r>
                </w:p>
                <w:p>
                  <w:pPr>
                    <w:tabs>
                      <w:tab w:val="left" w:pos="851"/>
                    </w:tabs>
                    <w:ind w:firstLine="709"/>
                    <w:jc w:val="both"/>
                    <w:rPr>
                      <w:bCs/>
                      <w:szCs w:val="24"/>
                      <w:lang w:eastAsia="lt-LT"/>
                    </w:rPr>
                  </w:pPr>
                  <w:r>
                    <w:rPr>
                      <w:bCs/>
                      <w:szCs w:val="24"/>
                      <w:lang w:eastAsia="lt-LT"/>
                    </w:rPr>
                    <w:t>Kitų sprendimo projekto rengimo metu specialistų vertinimų ir išvadų negauta.</w:t>
                  </w:r>
                </w:p>
              </w:sdtContent>
            </w:sdt>
            <w:sdt>
              <w:sdtPr>
                <w:alias w:val="9 p."/>
                <w:tag w:val="part_2b011a31b5a342ddb7ef9fccf11bff7d"/>
                <w:lock w:val="sdtLocked"/>
                <w:richText/>
              </w:sdtPr>
              <w:sdtContent>
                <w:p>
                  <w:pPr>
                    <w:tabs>
                      <w:tab w:val="left" w:pos="851"/>
                      <w:tab w:val="left" w:pos="1134"/>
                      <w:tab w:val="left" w:pos="1276"/>
                    </w:tabs>
                    <w:ind w:firstLine="709"/>
                    <w:jc w:val="both"/>
                    <w:rPr>
                      <w:b/>
                      <w:szCs w:val="24"/>
                      <w:lang w:eastAsia="lt-LT"/>
                    </w:rPr>
                  </w:pPr>
                  <w:sdt>
                    <w:sdtPr>
                      <w:alias w:val="Numeris"/>
                      <w:tag w:val="nr_2b011a31b5a342ddb7ef9fccf11bff7d"/>
                      <w:lock w:val="sdtLocked"/>
                      <w:richText/>
                    </w:sdtPr>
                    <w:sdtContent>
                      <w:r>
                        <w:rPr>
                          <w:b/>
                          <w:szCs w:val="24"/>
                          <w:lang w:eastAsia="lt-LT"/>
                        </w:rPr>
                        <w:t>9</w:t>
                      </w:r>
                    </w:sdtContent>
                  </w:sdt>
                  <w:r>
                    <w:rPr>
                      <w:b/>
                      <w:szCs w:val="24"/>
                      <w:lang w:eastAsia="lt-LT"/>
                    </w:rPr>
                    <w:t>.</w:t>
                    <w:tab/>
                    <w:t>Numatomo teisinio reguliavimo poveikio vertinimo rezultatai.</w:t>
                  </w:r>
                </w:p>
                <w:p>
                  <w:pPr>
                    <w:ind w:firstLine="709"/>
                    <w:jc w:val="both"/>
                    <w:rPr>
                      <w:szCs w:val="24"/>
                      <w:lang w:eastAsia="lt-LT"/>
                    </w:rPr>
                  </w:pPr>
                  <w:r>
                    <w:rPr>
                      <w:szCs w:val="24"/>
                      <w:lang w:eastAsia="lt-LT"/>
                    </w:rPr>
                    <w:t>Nevertinamas.</w:t>
                  </w:r>
                </w:p>
              </w:sdtContent>
            </w:sdt>
            <w:sdt>
              <w:sdtPr>
                <w:alias w:val="10 p."/>
                <w:tag w:val="part_2903ca4b29054cad899df4e83d403d95"/>
                <w:lock w:val="sdtLocked"/>
                <w:richText/>
              </w:sdtPr>
              <w:sdtContent>
                <w:p>
                  <w:pPr>
                    <w:tabs>
                      <w:tab w:val="left" w:pos="993"/>
                    </w:tabs>
                    <w:ind w:firstLine="709"/>
                    <w:jc w:val="both"/>
                    <w:rPr>
                      <w:b/>
                      <w:szCs w:val="24"/>
                      <w:lang w:eastAsia="lt-LT"/>
                    </w:rPr>
                  </w:pPr>
                  <w:sdt>
                    <w:sdtPr>
                      <w:alias w:val="Numeris"/>
                      <w:tag w:val="nr_2903ca4b29054cad899df4e83d403d95"/>
                      <w:lock w:val="sdtLocked"/>
                      <w:richText/>
                    </w:sdtPr>
                    <w:sdtContent>
                      <w:r>
                        <w:rPr>
                          <w:b/>
                          <w:szCs w:val="24"/>
                          <w:lang w:eastAsia="lt-LT"/>
                        </w:rPr>
                        <w:t>10</w:t>
                      </w:r>
                    </w:sdtContent>
                  </w:sdt>
                  <w:r>
                    <w:rPr>
                      <w:b/>
                      <w:szCs w:val="24"/>
                      <w:lang w:eastAsia="lt-LT"/>
                    </w:rPr>
                    <w:t>.</w:t>
                    <w:tab/>
                    <w:t>Sprendimo projekto antikorupcinis vertinimas.</w:t>
                  </w:r>
                </w:p>
                <w:p>
                  <w:pPr>
                    <w:ind w:firstLine="709"/>
                    <w:jc w:val="both"/>
                    <w:rPr>
                      <w:szCs w:val="24"/>
                      <w:lang w:eastAsia="lt-LT"/>
                    </w:rPr>
                  </w:pPr>
                  <w:r>
                    <w:rPr>
                      <w:szCs w:val="24"/>
                      <w:lang w:eastAsia="lt-LT"/>
                    </w:rPr>
                    <w:t>Vertinimas neatliekamas.</w:t>
                  </w:r>
                </w:p>
              </w:sdtContent>
            </w:sdt>
            <w:sdt>
              <w:sdtPr>
                <w:alias w:val="11 p."/>
                <w:tag w:val="part_a7e095730c0840a3ac52dd84a8c25f33"/>
                <w:lock w:val="sdtLocked"/>
                <w:richText/>
              </w:sdtPr>
              <w:sdtContent>
                <w:p>
                  <w:pPr>
                    <w:tabs>
                      <w:tab w:val="left" w:pos="993"/>
                    </w:tabs>
                    <w:ind w:firstLine="709"/>
                    <w:jc w:val="both"/>
                    <w:rPr>
                      <w:b/>
                      <w:szCs w:val="24"/>
                      <w:lang w:eastAsia="lt-LT"/>
                    </w:rPr>
                  </w:pPr>
                  <w:sdt>
                    <w:sdtPr>
                      <w:alias w:val="Numeris"/>
                      <w:tag w:val="nr_a7e095730c0840a3ac52dd84a8c25f33"/>
                      <w:lock w:val="sdtLocked"/>
                      <w:richText/>
                    </w:sdtPr>
                    <w:sdtContent>
                      <w:r>
                        <w:rPr>
                          <w:b/>
                          <w:szCs w:val="24"/>
                          <w:lang w:eastAsia="lt-LT"/>
                        </w:rPr>
                        <w:t>11</w:t>
                      </w:r>
                    </w:sdtContent>
                  </w:sdt>
                  <w:r>
                    <w:rPr>
                      <w:b/>
                      <w:szCs w:val="24"/>
                      <w:lang w:eastAsia="lt-LT"/>
                    </w:rPr>
                    <w:t>.</w:t>
                    <w:tab/>
                    <w:t>Kiti, iniciatoriaus nuomone, reikalingi pagrindimai ir paaiškinimai.</w:t>
                  </w:r>
                </w:p>
                <w:p>
                  <w:pPr>
                    <w:tabs>
                      <w:tab w:val="left" w:pos="851"/>
                    </w:tabs>
                    <w:ind w:firstLine="709"/>
                    <w:jc w:val="both"/>
                    <w:rPr>
                      <w:szCs w:val="24"/>
                      <w:lang w:eastAsia="lt-LT"/>
                    </w:rPr>
                  </w:pPr>
                  <w:r>
                    <w:rPr>
                      <w:szCs w:val="24"/>
                      <w:lang w:eastAsia="lt-LT"/>
                    </w:rPr>
                    <w:t>Radviliškio rajono savivaldybės administracija gavo UAB TM Trade LT, įmonės kodas 306577136, 2025 m. sausio 21 d. prašymą, kuriame pareiškėja prašo atleisti nuo 2024 mokestinių metų nekilnojamojo turto mokesčio. Prašymo motyvus įvardija šiuos: įmonė šiuo metu vykdo įsigytų patalpų, esančių Šiaulių g. 2, Radviliškyje, kapitalinį remontą bei atnaujinimo darbus, bus pilnai atnaujinti pastatai ir sutvarkyta aplinka. Pagal nekilnojamojo turto mokesčio deklaraciją už 2024 metus priskaičiuota NT mokėtina suma yra 2830,00 Eur.</w:t>
                  </w:r>
                </w:p>
                <w:p>
                  <w:pPr>
                    <w:tabs>
                      <w:tab w:val="left" w:pos="851"/>
                    </w:tabs>
                    <w:ind w:firstLine="709"/>
                    <w:jc w:val="both"/>
                    <w:rPr>
                      <w:szCs w:val="24"/>
                      <w:lang w:eastAsia="lt-LT"/>
                    </w:rPr>
                  </w:pPr>
                  <w:r>
                    <w:rPr>
                      <w:szCs w:val="24"/>
                      <w:lang w:eastAsia="lt-LT"/>
                    </w:rPr>
                    <w:t xml:space="preserve">Atkreiptinas dėmesys, kad įmonė įsigijo buvusio „Stiklo“ fabriko pastatus, esančius Radviliškio mieste, Šiaulių gatvėje – tai miesto nepuošusi ir neigiamą įspūdį kėlusi teritorija, kuri bus sutvarkyta. Pagrindinė naujųjų investuotojų veikla – sandėliavimo paslaugos. Šiuo metu pradėti pirminiai infrastruktūros atnaujinimo procesai, o artimiausiu metu planuojama atnaujinti pastatus, sutvarkyti aplinką bei pašalinti apgriuvusius statinius. Įgyvendinus šiuos uždavinius, planuojamos investicijos (apie 2 mln. Eur.), kuriamos naujas darbo vietos. </w:t>
                  </w:r>
                </w:p>
                <w:p>
                  <w:pPr>
                    <w:tabs>
                      <w:tab w:val="left" w:pos="851"/>
                    </w:tabs>
                    <w:ind w:firstLine="709"/>
                    <w:jc w:val="both"/>
                    <w:rPr>
                      <w:szCs w:val="24"/>
                      <w:lang w:eastAsia="lt-LT"/>
                    </w:rPr>
                  </w:pPr>
                  <w:r>
                    <w:rPr>
                      <w:szCs w:val="24"/>
                      <w:lang w:eastAsia="lt-LT"/>
                    </w:rPr>
                    <w:t xml:space="preserve">Reikia pažymėti, kad </w:t>
                  </w:r>
                  <w:r>
                    <w:rPr>
                      <w:bCs/>
                      <w:szCs w:val="24"/>
                      <w:lang w:eastAsia="lt-LT"/>
                    </w:rPr>
                    <w:t>Radviliškio rajono savivaldybės tarybos sprendime nustatyti nekilnojamojo turto mokesčio tarifai, tačiau nėra numatyta mokesčio lengvatų.</w:t>
                  </w:r>
                </w:p>
                <w:p>
                  <w:pPr>
                    <w:tabs>
                      <w:tab w:val="left" w:pos="851"/>
                    </w:tabs>
                    <w:ind w:firstLine="709"/>
                    <w:jc w:val="both"/>
                    <w:rPr>
                      <w:szCs w:val="24"/>
                      <w:lang w:eastAsia="lt-LT"/>
                    </w:rPr>
                  </w:pPr>
                  <w:r>
                    <w:rPr>
                      <w:szCs w:val="24"/>
                      <w:lang w:eastAsia="lt-LT"/>
                    </w:rPr>
                    <w:t>Atsižvelgdama į išdėstytus argumentus ir siekiant pritraukti į rajoną kuo daugiau investicijų, Darbo grupė daro išvadą, kad tenkinti prašymą yra pagrindas ir savivaldybės biudžeto sąskaita nuo nekilnojamojo turto mokesčio UAB TM Trade LT gali būti atleista.</w:t>
                  </w:r>
                </w:p>
                <w:p>
                  <w:pPr>
                    <w:tabs>
                      <w:tab w:val="left" w:pos="851"/>
                    </w:tabs>
                    <w:ind w:firstLine="709"/>
                    <w:jc w:val="both"/>
                    <w:rPr>
                      <w:szCs w:val="24"/>
                      <w:lang w:eastAsia="lt-LT"/>
                    </w:rPr>
                  </w:pPr>
                  <w:r>
                    <w:rPr>
                      <w:bCs/>
                      <w:szCs w:val="24"/>
                      <w:lang w:eastAsia="lt-LT"/>
                    </w:rPr>
                    <w:t xml:space="preserve">Lietuvos Respublikos žemės mokesčio įstatymo 8 straipsnio 3 dalyje, nustatyta, kad Savivaldybių tarybos turi teisę savo biudžeto sąskaita sumažinti mokestį arba visai nuo jo atleisti, taigi,  atleidimas nuo žemės mokesčio yra Tarybos teisė, bet ne pareiga.      </w:t>
                  </w:r>
                </w:p>
              </w:sdtContent>
            </w:sdt>
            <w:sdt>
              <w:sdtPr>
                <w:alias w:val="12 p."/>
                <w:tag w:val="part_bcd78c0b4f5e46b88ca8fcf062f8d69e"/>
                <w:lock w:val="sdtLocked"/>
                <w:richText/>
              </w:sdtPr>
              <w:sdtContent>
                <w:p>
                  <w:pPr>
                    <w:tabs>
                      <w:tab w:val="left" w:pos="993"/>
                    </w:tabs>
                    <w:ind w:firstLine="709"/>
                    <w:jc w:val="both"/>
                    <w:rPr>
                      <w:b/>
                      <w:szCs w:val="24"/>
                      <w:lang w:eastAsia="lt-LT"/>
                    </w:rPr>
                  </w:pPr>
                  <w:sdt>
                    <w:sdtPr>
                      <w:alias w:val="Numeris"/>
                      <w:tag w:val="nr_bcd78c0b4f5e46b88ca8fcf062f8d69e"/>
                      <w:lock w:val="sdtLocked"/>
                      <w:richText/>
                    </w:sdtPr>
                    <w:sdtContent>
                      <w:r>
                        <w:rPr>
                          <w:b/>
                          <w:szCs w:val="24"/>
                          <w:lang w:eastAsia="lt-LT"/>
                        </w:rPr>
                        <w:t>12</w:t>
                      </w:r>
                    </w:sdtContent>
                  </w:sdt>
                  <w:r>
                    <w:rPr>
                      <w:b/>
                      <w:szCs w:val="24"/>
                      <w:lang w:eastAsia="lt-LT"/>
                    </w:rPr>
                    <w:t>.</w:t>
                    <w:tab/>
                    <w:t>Pridedami dokumentai.</w:t>
                  </w:r>
                </w:p>
                <w:sdt>
                  <w:sdtPr>
                    <w:alias w:val="12 p. 1 pp."/>
                    <w:tag w:val="part_95fc47c3572e41e1a0bf6aaa081dd856"/>
                    <w:lock w:val="sdtLocked"/>
                    <w:richText/>
                  </w:sdtPr>
                  <w:sdtContent>
                    <w:p>
                      <w:pPr>
                        <w:tabs>
                          <w:tab w:val="left" w:pos="993"/>
                        </w:tabs>
                        <w:ind w:firstLine="709"/>
                        <w:jc w:val="both"/>
                        <w:rPr>
                          <w:b/>
                          <w:szCs w:val="24"/>
                          <w:lang w:eastAsia="lt-LT"/>
                        </w:rPr>
                      </w:pPr>
                      <w:sdt>
                        <w:sdtPr>
                          <w:alias w:val="Numeris"/>
                          <w:tag w:val="nr_95fc47c3572e41e1a0bf6aaa081dd856"/>
                          <w:lock w:val="sdtLocked"/>
                          <w:richText/>
                        </w:sdtPr>
                        <w:sdtContent>
                          <w:r>
                            <w:rPr>
                              <w:szCs w:val="24"/>
                              <w:lang w:eastAsia="lt-LT"/>
                            </w:rPr>
                            <w:t>1</w:t>
                          </w:r>
                        </w:sdtContent>
                      </w:sdt>
                      <w:r>
                        <w:rPr>
                          <w:szCs w:val="24"/>
                          <w:lang w:eastAsia="lt-LT"/>
                        </w:rPr>
                        <w:t xml:space="preserve">) UAB TM Trade LT 2025 m. sausio  21 d. prašymas, 1 lapas;</w:t>
                      </w:r>
                    </w:p>
                  </w:sdtContent>
                </w:sdt>
                <w:sdt>
                  <w:sdtPr>
                    <w:alias w:val="12 p. 2 pp."/>
                    <w:tag w:val="part_e2fbaf33fed644b8b43215f3640c17a7"/>
                    <w:lock w:val="sdtLocked"/>
                    <w:richText/>
                  </w:sdtPr>
                  <w:sdtContent>
                    <w:p>
                      <w:pPr>
                        <w:tabs>
                          <w:tab w:val="left" w:pos="993"/>
                        </w:tabs>
                        <w:ind w:firstLine="709"/>
                        <w:jc w:val="both"/>
                        <w:rPr>
                          <w:b/>
                          <w:szCs w:val="24"/>
                          <w:lang w:eastAsia="lt-LT"/>
                        </w:rPr>
                      </w:pPr>
                      <w:sdt>
                        <w:sdtPr>
                          <w:alias w:val="Numeris"/>
                          <w:tag w:val="nr_e2fbaf33fed644b8b43215f3640c17a7"/>
                          <w:lock w:val="sdtLocked"/>
                          <w:richText/>
                        </w:sdtPr>
                        <w:sdtContent>
                          <w:r>
                            <w:rPr>
                              <w:szCs w:val="24"/>
                              <w:lang w:eastAsia="lt-LT"/>
                            </w:rPr>
                            <w:t>2</w:t>
                          </w:r>
                        </w:sdtContent>
                      </w:sdt>
                      <w:r>
                        <w:rPr>
                          <w:szCs w:val="24"/>
                          <w:lang w:eastAsia="lt-LT"/>
                        </w:rPr>
                        <w:t>) 2024 metų nekilnojamojo turto deklaracija, 3 lapai;</w:t>
                      </w:r>
                    </w:p>
                  </w:sdtContent>
                </w:sdt>
                <w:sdt>
                  <w:sdtPr>
                    <w:alias w:val="12 p. 3 pp."/>
                    <w:tag w:val="part_81977966bf12489386edf654847038cf"/>
                    <w:lock w:val="sdtLocked"/>
                    <w:richText/>
                  </w:sdtPr>
                  <w:sdtContent>
                    <w:p>
                      <w:pPr>
                        <w:tabs>
                          <w:tab w:val="left" w:pos="993"/>
                        </w:tabs>
                        <w:ind w:firstLine="709"/>
                        <w:jc w:val="both"/>
                        <w:rPr>
                          <w:b/>
                          <w:szCs w:val="24"/>
                          <w:lang w:eastAsia="lt-LT"/>
                        </w:rPr>
                      </w:pPr>
                      <w:sdt>
                        <w:sdtPr>
                          <w:alias w:val="Numeris"/>
                          <w:tag w:val="nr_81977966bf12489386edf654847038cf"/>
                          <w:lock w:val="sdtLocked"/>
                          <w:richText/>
                        </w:sdtPr>
                        <w:sdtContent>
                          <w:r>
                            <w:rPr>
                              <w:szCs w:val="24"/>
                              <w:lang w:eastAsia="lt-LT"/>
                            </w:rPr>
                            <w:t>3</w:t>
                          </w:r>
                        </w:sdtContent>
                      </w:sdt>
                      <w:r>
                        <w:rPr>
                          <w:szCs w:val="24"/>
                          <w:lang w:eastAsia="lt-LT"/>
                        </w:rPr>
                        <w:t>) Pastatų bei teritorijos (po atnaujinimo darbų) vizualizacija, 3 lapai;</w:t>
                      </w:r>
                    </w:p>
                  </w:sdtContent>
                </w:sdt>
                <w:sdt>
                  <w:sdtPr>
                    <w:alias w:val="12 p. 4 pp."/>
                    <w:tag w:val="part_cba0cc17beea448cbf0ede7ecbd2e129"/>
                    <w:lock w:val="sdtLocked"/>
                    <w:richText/>
                  </w:sdtPr>
                  <w:sdtContent>
                    <w:p>
                      <w:pPr>
                        <w:tabs>
                          <w:tab w:val="left" w:pos="993"/>
                        </w:tabs>
                        <w:ind w:firstLine="709"/>
                        <w:jc w:val="both"/>
                        <w:rPr>
                          <w:szCs w:val="24"/>
                          <w:lang w:eastAsia="lt-LT"/>
                        </w:rPr>
                      </w:pPr>
                      <w:sdt>
                        <w:sdtPr>
                          <w:alias w:val="Numeris"/>
                          <w:tag w:val="nr_cba0cc17beea448cbf0ede7ecbd2e129"/>
                          <w:lock w:val="sdtLocked"/>
                          <w:richText/>
                        </w:sdtPr>
                        <w:sdtContent>
                          <w:r>
                            <w:rPr>
                              <w:szCs w:val="24"/>
                              <w:lang w:eastAsia="lt-LT"/>
                            </w:rPr>
                            <w:t>4</w:t>
                          </w:r>
                        </w:sdtContent>
                      </w:sdt>
                      <w:r>
                        <w:rPr>
                          <w:szCs w:val="24"/>
                          <w:lang w:eastAsia="lt-LT"/>
                        </w:rPr>
                        <w:t>) Darbo grupės protokolas, 2 lapai;</w:t>
                      </w:r>
                    </w:p>
                  </w:sdtContent>
                </w:sdt>
                <w:sdt>
                  <w:sdtPr>
                    <w:alias w:val="12 p. 5 pp."/>
                    <w:tag w:val="part_08b1eb27a003498dbca4046a34237c07"/>
                    <w:lock w:val="sdtLocked"/>
                    <w:richText/>
                  </w:sdtPr>
                  <w:sdtContent>
                    <w:p>
                      <w:pPr>
                        <w:tabs>
                          <w:tab w:val="left" w:pos="993"/>
                        </w:tabs>
                        <w:ind w:firstLine="709"/>
                        <w:jc w:val="both"/>
                        <w:rPr>
                          <w:b/>
                          <w:szCs w:val="24"/>
                          <w:lang w:eastAsia="lt-LT"/>
                        </w:rPr>
                      </w:pPr>
                      <w:sdt>
                        <w:sdtPr>
                          <w:alias w:val="Numeris"/>
                          <w:tag w:val="nr_08b1eb27a003498dbca4046a34237c07"/>
                          <w:lock w:val="sdtLocked"/>
                          <w:richText/>
                        </w:sdtPr>
                        <w:sdtContent>
                          <w:r>
                            <w:rPr>
                              <w:szCs w:val="24"/>
                              <w:lang w:eastAsia="lt-LT"/>
                            </w:rPr>
                            <w:t>5</w:t>
                          </w:r>
                        </w:sdtContent>
                      </w:sdt>
                      <w:r>
                        <w:rPr>
                          <w:szCs w:val="24"/>
                          <w:lang w:eastAsia="lt-LT"/>
                        </w:rPr>
                        <w:t>) Registrų centro išrašas dėl įmonės registravimo, 1 lapas.</w:t>
                      </w:r>
                    </w:p>
                    <w:p>
                      <w:pPr>
                        <w:ind w:firstLine="567"/>
                        <w:jc w:val="both"/>
                        <w:rPr>
                          <w:szCs w:val="24"/>
                          <w:lang w:eastAsia="lt-LT"/>
                        </w:rPr>
                      </w:pPr>
                    </w:p>
                    <w:p>
                      <w:pPr>
                        <w:jc w:val="both"/>
                        <w:rPr>
                          <w:szCs w:val="24"/>
                          <w:lang w:eastAsia="lt-LT"/>
                        </w:rPr>
                      </w:pPr>
                    </w:p>
                    <w:p>
                      <w:pPr>
                        <w:jc w:val="both"/>
                        <w:rPr>
                          <w:szCs w:val="24"/>
                          <w:lang w:eastAsia="lt-LT"/>
                        </w:rPr>
                      </w:pPr>
                    </w:p>
                  </w:sdtContent>
                </w:sdt>
              </w:sdtContent>
            </w:sdt>
          </w:sdtContent>
        </w:sdt>
        <w:sdt>
          <w:sdtPr>
            <w:alias w:val="signatura"/>
            <w:tag w:val="part_3eb4a5386dc74d659a9d6745c75d13d1"/>
            <w:lock w:val="sdtLocked"/>
            <w:richText/>
          </w:sdtPr>
          <w:sdtContent>
            <w:p>
              <w:pPr>
                <w:jc w:val="both"/>
                <w:rPr>
                  <w:szCs w:val="24"/>
                  <w:lang w:eastAsia="lt-LT"/>
                </w:rPr>
              </w:pPr>
              <w:r>
                <w:rPr>
                  <w:szCs w:val="24"/>
                  <w:lang w:eastAsia="lt-LT"/>
                </w:rPr>
                <w:t>Finansų skyriaus</w:t>
              </w:r>
            </w:p>
            <w:p>
              <w:pPr>
                <w:jc w:val="both"/>
                <w:rPr>
                  <w:b/>
                  <w:szCs w:val="24"/>
                  <w:lang w:eastAsia="lt-LT"/>
                </w:rPr>
              </w:pPr>
              <w:r>
                <w:rPr>
                  <w:szCs w:val="24"/>
                  <w:lang w:eastAsia="lt-LT"/>
                </w:rPr>
                <w:t xml:space="preserve">vyriausioji specialistė                                                                                                Snieguolė Utkienė                                                                                            </w:t>
              </w:r>
            </w:p>
          </w:sdtContent>
        </w:sdt>
      </w:sdtContent>
    </w:sdt>
    <w:sectPr>
      <w:pgSz w:w="11906" w:h="16838"/>
      <w:pgMar w:top="1134" w:right="567" w:bottom="1134" w:left="1701" w:header="567" w:footer="567" w:gutter="0"/>
      <w:cols w:space="1296"/>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rPr>
          <w:szCs w:val="24"/>
          <w:lang w:eastAsia="lt-LT"/>
        </w:rPr>
      </w:pPr>
      <w:r>
        <w:rPr>
          <w:szCs w:val="24"/>
          <w:lang w:eastAsia="lt-LT"/>
        </w:rPr>
        <w:separator/>
      </w:r>
    </w:p>
  </w:endnote>
  <w:endnote w:type="continuationSeparator" w:id="0">
    <w:p>
      <w:pPr>
        <w:rPr>
          <w:szCs w:val="24"/>
          <w:lang w:eastAsia="lt-LT"/>
        </w:rPr>
      </w:pPr>
      <w:r>
        <w:rPr>
          <w:szCs w:val="24"/>
          <w:lang w:eastAsia="lt-LT"/>
        </w:rP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rPr>
          <w:szCs w:val="24"/>
          <w:lang w:eastAsia="lt-LT"/>
        </w:rPr>
      </w:pPr>
      <w:r>
        <w:rPr>
          <w:szCs w:val="24"/>
          <w:lang w:eastAsia="lt-LT"/>
        </w:rPr>
        <w:separator/>
      </w:r>
    </w:p>
  </w:footnote>
  <w:footnote w:type="continuationSeparator" w:id="0">
    <w:p>
      <w:pPr>
        <w:rPr>
          <w:szCs w:val="24"/>
          <w:lang w:eastAsia="lt-LT"/>
        </w:rPr>
      </w:pPr>
      <w:r>
        <w:rPr>
          <w:szCs w:val="24"/>
          <w:lang w:eastAsia="lt-LT"/>
        </w:rPr>
        <w:continuationSeparator/>
      </w:r>
    </w:p>
  </w:footnote>
</w:footnotes>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96"/>
  <w:hyphenationZone w:val="396"/>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61F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5322110-7C0E-482E-BBF9-1909307FF80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1026563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fontTable" Target="fontTable.xml"/>
  <Relationship Id="rId8" Type="http://schemas.openxmlformats.org/officeDocument/2006/relationships/theme" Target="theme/theme1.xml"/>
  <Relationship Id="rId9" Type="http://schemas.openxmlformats.org/officeDocument/2006/relationships/customXml" Target="../customXml/item2.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arts xmlns="http://lrs.lt/TAIS/DocParts">
  <Part Type="pagrindine" DocPartId="501a1bfa09694b4da238586a7e848e4f" PartId="a1cb53af7f19466f83edeed4dd3eebd1">
    <Part Type="preambule" DocPartId="6cdb8f74dede478daf5ad77578a4772d" PartId="51e8171a807b48aa83337f2eb05b30e4"/>
    <Part Type="punktas" Nr="1" Abbr="1 p." DocPartId="6eec71bb239144b290f544e4fd27b66e" PartId="bb123a9da7ee4537978f9f49f6e3577a"/>
    <Part Type="punktas" Nr="2" Abbr="2 p." DocPartId="a79546d51fbf4859ab108d270af46807" PartId="09f021009b6d44d39546981e74ba05b0"/>
    <Part Type="skirsnis" Title="RADVILIŠKIO RAJONO SAVIVALDYBĖS TARYBOS SPRENDIMO PROJEKTO „DĖL NEKILNOJAMOJO TURTO MOKESČIO“ AIŠKINAMASIS RAŠTAS" DocPartId="97e16f42bf6f4f06acaf75e10869d711" PartId="587c408e31714f4997b6b9953f1226a3">
      <Part Type="punktas" Nr="1" Abbr="1 p." DocPartId="d47dfa2809f04f9593d5d69a4526e460" PartId="70b8a80450d2445cb286e0b0bbf4417b"/>
      <Part Type="punktas" Nr="2" Abbr="2 p." DocPartId="7792cb045a38452eb8bd6b398583a96c" PartId="2d429f35dcf94532b3102212e0baa546"/>
      <Part Type="punktas" Nr="3" Abbr="3 p." DocPartId="a1a693d0e10b47cca4abfb07027fed9b" PartId="c9a19b6252164888a59cc6c3ed383e5c"/>
      <Part Type="punktas" Nr="4" Abbr="4 p." DocPartId="f023cf716ba54e89b45ea76625eb6983" PartId="bd09afcccfcc4fdfb33f33ac7ad22560"/>
      <Part Type="punktas" Nr="5" Abbr="5 p." DocPartId="54393a95e01f4965af00b91c259dc721" PartId="556ad998f3644fc0a128cfce089ac127"/>
      <Part Type="punktas" Nr="6" Abbr="6 p." DocPartId="6393ea170763485eaa7128faff570648" PartId="9a30c2f37b664111bb9013969de44cc8"/>
      <Part Type="punktas" Nr="7" Abbr="7 p." DocPartId="402f9fe59b4b4106ab9503f6fda382ce" PartId="3dce140e9352447f951e0745becc0391"/>
      <Part Type="punktas" Nr="8" Abbr="8 p." DocPartId="0648246ccf514b2a9fc13b79155b7fcf" PartId="044f3db670c142eca76a3d64a50b828a"/>
      <Part Type="punktas" Nr="9" Abbr="9 p." DocPartId="8de76bbfabbc4ea3ab97b79e9a780eeb" PartId="2b011a31b5a342ddb7ef9fccf11bff7d"/>
      <Part Type="punktas" Nr="10" Abbr="10 p." DocPartId="2eaf4f4f32374642b1f735104aadce6d" PartId="2903ca4b29054cad899df4e83d403d95"/>
      <Part Type="punktas" Nr="11" Abbr="11 p." DocPartId="ddf83c6a0d814d3ba87926860d6c3d0d" PartId="a7e095730c0840a3ac52dd84a8c25f33"/>
      <Part Type="punktas" Nr="12" Abbr="12 p." DocPartId="122bc783e94749fa9d5fb2a64fc2fe6a" PartId="bcd78c0b4f5e46b88ca8fcf062f8d69e">
        <Part Type="strPapunktis" Nr="1" Abbr="12 p. 1 pp." DocPartId="6f772a4483b5469787bbb01cb7393f09" PartId="95fc47c3572e41e1a0bf6aaa081dd856"/>
        <Part Type="strPapunktis" Nr="2" Abbr="12 p. 2 pp." DocPartId="35fe74844f6249a4ad5bce36bcc616fd" PartId="e2fbaf33fed644b8b43215f3640c17a7"/>
        <Part Type="strPapunktis" Nr="3" Abbr="12 p. 3 pp." DocPartId="d5f5f38152104f46a1b3a7f946f41e33" PartId="81977966bf12489386edf654847038cf"/>
        <Part Type="strPapunktis" Nr="4" Abbr="12 p. 4 pp." DocPartId="9320ec4ec0d8460e92f8ccab09339986" PartId="cba0cc17beea448cbf0ede7ecbd2e129"/>
        <Part Type="strPapunktis" Nr="5" Abbr="12 p. 5 pp." DocPartId="0878b64bedaa43f6b57457183d8dd28b" PartId="08b1eb27a003498dbca4046a34237c07"/>
      </Part>
    </Part>
    <Part Type="signatura" DocPartId="2ab0c7f4d2724721b55644dc3854451d" PartId="3eb4a5386dc74d659a9d6745c75d13d1"/>
  </Part>
</Parts>
</file>

<file path=customXml/itemProps1.xml><?xml version="1.0" encoding="utf-8"?>
<ds:datastoreItem xmlns:ds="http://schemas.openxmlformats.org/officeDocument/2006/customXml" ds:itemID="{5218CA83-C2B8-49DC-8C27-B2E18F602E54}">
  <ds:schemaRefs>
    <ds:schemaRef ds:uri="http://schemas.openxmlformats.org/officeDocument/2006/bibliography"/>
  </ds:schemaRefs>
</ds:datastoreItem>
</file>

<file path=customXml/itemProps2.xml><?xml version="1.0" encoding="utf-8"?>
<ds:datastoreItem xmlns:ds="http://schemas.openxmlformats.org/officeDocument/2006/customXml" ds:itemID="{10E29656-3F04-466F-906A-66E65EB34B9F}">
  <ds:schemaRefs>
    <ds:schemaRef ds:uri="http://lrs.lt/TAIS/DocPar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923</Words>
  <Characters>6048</Characters>
  <Application>Microsoft Office Word</Application>
  <DocSecurity>4</DocSecurity>
  <Lines>131</Lines>
  <Paragraphs>61</Paragraphs>
  <ScaleCrop>false</ScaleCrop>
  <HeadingPairs>
    <vt:vector size="2" baseType="variant">
      <vt:variant>
        <vt:lpstr>Pavadinimas</vt:lpstr>
      </vt:variant>
      <vt:variant>
        <vt:i4>1</vt:i4>
      </vt:variant>
    </vt:vector>
  </HeadingPairs>
  <TitlesOfParts>
    <vt:vector size="1" baseType="lpstr">
      <vt:lpstr/>
    </vt:vector>
  </TitlesOfParts>
  <Company>Savivaldybe</Company>
  <LinksUpToDate>false</LinksUpToDate>
  <CharactersWithSpaces>6910</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2025-03-20T14:01:00Z</dcterms:created>
  <dc:creator>Administracija</dc:creator>
  <lastModifiedBy>adlibuser</lastModifiedBy>
  <lastPrinted>2025-03-12T11:59:00Z</lastPrinted>
  <dcterms:modified xsi:type="dcterms:W3CDTF">2025-03-20T14:01:00Z</dcterms:modified>
  <revision>2</revision>
</coreProperties>
</file>