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2e706c0bf64f148f1fd024ed32d979"/>
        <w:lock w:val="sdtLocked"/>
        <w:richText/>
      </w:sdtPr>
      <w:sdtContent>
        <w:p>
          <w:pPr>
            <w:tabs>
              <w:tab w:val="left" w:pos="7371"/>
            </w:tabs>
            <w:ind w:left="6804" w:firstLine="7929"/>
            <w:rPr>
              <w:b/>
              <w:szCs w:val="24"/>
            </w:rPr>
          </w:pPr>
          <w:r>
            <w:rPr>
              <w:b/>
              <w:szCs w:val="24"/>
            </w:rPr>
            <w:t>Projektas</w:t>
          </w:r>
        </w:p>
        <w:p>
          <w:pPr>
            <w:tabs>
              <w:tab w:val="left" w:pos="7371"/>
            </w:tabs>
            <w:ind w:left="6804" w:firstLine="62"/>
            <w:rPr>
              <w:b/>
              <w:szCs w:val="24"/>
            </w:rPr>
          </w:pPr>
        </w:p>
        <w:p>
          <w:pPr>
            <w:tabs>
              <w:tab w:val="left" w:pos="7371"/>
            </w:tabs>
            <w:ind w:left="6804"/>
            <w:jc w:val="both"/>
            <w:rPr>
              <w:b/>
              <w:szCs w:val="24"/>
            </w:rPr>
          </w:pPr>
        </w:p>
        <w:p>
          <w:pPr>
            <w:jc w:val="center"/>
            <w:rPr>
              <w:color w:val="000000"/>
              <w:szCs w:val="24"/>
              <w:lang w:eastAsia="lt-LT"/>
            </w:rPr>
          </w:pPr>
          <w:r>
            <w:rPr>
              <w:b/>
              <w:bCs/>
              <w:caps/>
              <w:color w:val="000000"/>
              <w:szCs w:val="24"/>
              <w:lang w:eastAsia="lt-LT"/>
            </w:rPr>
            <w:t>lIETUVOS RESPUBLIKOS</w:t>
          </w:r>
        </w:p>
        <w:p>
          <w:pPr>
            <w:jc w:val="center"/>
            <w:rPr>
              <w:b/>
              <w:bCs/>
              <w:color w:val="000000"/>
              <w:szCs w:val="24"/>
            </w:rPr>
          </w:pPr>
          <w:r>
            <w:rPr>
              <w:b/>
              <w:bCs/>
              <w:caps/>
              <w:color w:val="000000"/>
              <w:szCs w:val="24"/>
              <w:lang w:eastAsia="lt-LT"/>
            </w:rPr>
            <w:t>SVEIKATOS PRIEŽIŪROS ĮSTAIGŲ ĮSTATYMo nr. </w:t>
          </w:r>
          <w:r>
            <w:rPr>
              <w:b/>
              <w:bCs/>
              <w:color w:val="000000"/>
              <w:szCs w:val="24"/>
            </w:rPr>
            <w:t>I-1367 PAPILDYMO 15</w:t>
          </w:r>
          <w:r>
            <w:rPr>
              <w:b/>
              <w:bCs/>
              <w:color w:val="000000"/>
              <w:szCs w:val="24"/>
              <w:vertAlign w:val="superscript"/>
            </w:rPr>
            <w:t>4 </w:t>
          </w:r>
          <w:r>
            <w:rPr>
              <w:b/>
              <w:bCs/>
              <w:color w:val="000000"/>
              <w:szCs w:val="24"/>
            </w:rPr>
            <w:t xml:space="preserve">STRAIPSNIU </w:t>
          </w:r>
        </w:p>
        <w:p>
          <w:pPr>
            <w:jc w:val="center"/>
            <w:rPr>
              <w:color w:val="000000"/>
              <w:szCs w:val="24"/>
              <w:lang w:eastAsia="lt-LT"/>
            </w:rPr>
          </w:pPr>
          <w:r>
            <w:rPr>
              <w:b/>
              <w:bCs/>
              <w:color w:val="000000"/>
              <w:szCs w:val="24"/>
            </w:rPr>
            <w:t>ĮSTATYMAS</w:t>
          </w:r>
        </w:p>
        <w:p>
          <w:pPr>
            <w:jc w:val="center"/>
            <w:rPr>
              <w:b/>
              <w:szCs w:val="24"/>
            </w:rPr>
          </w:pPr>
        </w:p>
        <w:p>
          <w:pPr>
            <w:tabs>
              <w:tab w:val="left" w:pos="567"/>
            </w:tabs>
            <w:jc w:val="center"/>
            <w:rPr>
              <w:szCs w:val="24"/>
            </w:rPr>
          </w:pPr>
          <w:r>
            <w:rPr>
              <w:szCs w:val="24"/>
            </w:rPr>
            <w:t xml:space="preserve">2026 m.                      d. Nr.</w:t>
          </w:r>
        </w:p>
        <w:p>
          <w:pPr>
            <w:tabs>
              <w:tab w:val="left" w:pos="567"/>
            </w:tabs>
            <w:jc w:val="center"/>
            <w:rPr>
              <w:szCs w:val="24"/>
            </w:rPr>
          </w:pPr>
          <w:r>
            <w:rPr>
              <w:szCs w:val="24"/>
            </w:rPr>
            <w:t>Vilnius</w:t>
          </w:r>
        </w:p>
        <w:p>
          <w:pPr>
            <w:jc w:val="center"/>
            <w:rPr>
              <w:b/>
              <w:szCs w:val="24"/>
            </w:rPr>
          </w:pPr>
        </w:p>
        <w:sdt>
          <w:sdtPr>
            <w:alias w:val="1 str."/>
            <w:tag w:val="part_3ad5db9f26d145028892b09c15375071"/>
            <w:lock w:val="sdtLocked"/>
            <w:richText/>
          </w:sdtPr>
          <w:sdtContent>
            <w:p>
              <w:pPr>
                <w:ind w:firstLine="851"/>
                <w:jc w:val="both"/>
                <w:rPr>
                  <w:b/>
                  <w:bCs/>
                  <w:lang w:eastAsia="lt-LT"/>
                </w:rPr>
              </w:pPr>
              <w:sdt>
                <w:sdtPr>
                  <w:alias w:val="Numeris"/>
                  <w:tag w:val="nr_3ad5db9f26d145028892b09c15375071"/>
                  <w:lock w:val="sdtLocked"/>
                  <w:richText/>
                </w:sdtPr>
                <w:sdtContent>
                  <w:r>
                    <w:rPr>
                      <w:b/>
                      <w:bCs/>
                      <w:lang w:eastAsia="lt-LT"/>
                    </w:rPr>
                    <w:t>1</w:t>
                  </w:r>
                </w:sdtContent>
              </w:sdt>
              <w:r>
                <w:rPr>
                  <w:b/>
                  <w:bCs/>
                  <w:lang w:eastAsia="lt-LT"/>
                </w:rPr>
                <w:t xml:space="preserve"> straipsnis. </w:t>
              </w:r>
              <w:sdt>
                <w:sdtPr>
                  <w:alias w:val="Pavadinimas"/>
                  <w:tag w:val="title_3ad5db9f26d145028892b09c15375071"/>
                  <w:lock w:val="sdtLocked"/>
                  <w:richText/>
                </w:sdtPr>
                <w:sdtContent>
                  <w:r>
                    <w:rPr>
                      <w:b/>
                      <w:bCs/>
                      <w:lang w:eastAsia="lt-LT"/>
                    </w:rPr>
                    <w:t>Įstatymo papildymas 15</w:t>
                  </w:r>
                  <w:r>
                    <w:rPr>
                      <w:b/>
                      <w:bCs/>
                      <w:vertAlign w:val="superscript"/>
                      <w:lang w:eastAsia="lt-LT"/>
                    </w:rPr>
                    <w:t>4</w:t>
                  </w:r>
                  <w:r>
                    <w:rPr>
                      <w:b/>
                      <w:bCs/>
                      <w:lang w:eastAsia="lt-LT"/>
                    </w:rPr>
                    <w:t> straipsniu</w:t>
                  </w:r>
                </w:sdtContent>
              </w:sdt>
            </w:p>
            <w:sdt>
              <w:sdtPr>
                <w:alias w:val="1 str. 1 d."/>
                <w:tag w:val="part_4862d9ff1c5740408ac8478f8b10a2e7"/>
                <w:lock w:val="sdtLocked"/>
                <w:richText/>
              </w:sdtPr>
              <w:sdtContent>
                <w:p>
                  <w:pPr>
                    <w:widowControl w:val="0"/>
                    <w:suppressAutoHyphens/>
                    <w:spacing w:line="360" w:lineRule="atLeast"/>
                    <w:ind w:left="851"/>
                    <w:jc w:val="both"/>
                    <w:textAlignment w:val="center"/>
                    <w:rPr>
                      <w:color w:val="000000"/>
                      <w:szCs w:val="24"/>
                      <w:lang w:eastAsia="lt-LT"/>
                    </w:rPr>
                  </w:pPr>
                  <w:r>
                    <w:rPr>
                      <w:color w:val="000000"/>
                      <w:szCs w:val="24"/>
                      <w:lang w:eastAsia="lt-LT"/>
                    </w:rPr>
                    <w:t xml:space="preserve">Papildyti </w:t>
                  </w:r>
                  <w:r>
                    <w:rPr>
                      <w:szCs w:val="24"/>
                    </w:rPr>
                    <w:t xml:space="preserve">Įstatymą </w:t>
                  </w:r>
                  <w:r>
                    <w:rPr>
                      <w:color w:val="000000"/>
                      <w:szCs w:val="24"/>
                      <w:lang w:eastAsia="lt-LT"/>
                    </w:rPr>
                    <w:t>15</w:t>
                  </w:r>
                  <w:r>
                    <w:rPr>
                      <w:color w:val="000000"/>
                      <w:szCs w:val="24"/>
                      <w:vertAlign w:val="superscript"/>
                      <w:lang w:eastAsia="lt-LT"/>
                    </w:rPr>
                    <w:t>4</w:t>
                  </w:r>
                  <w:r>
                    <w:rPr>
                      <w:color w:val="000000"/>
                      <w:szCs w:val="24"/>
                      <w:lang w:eastAsia="lt-LT"/>
                    </w:rPr>
                    <w:t xml:space="preserve"> straipsniu:</w:t>
                  </w:r>
                </w:p>
                <w:sdt>
                  <w:sdtPr>
                    <w:alias w:val="citata"/>
                    <w:tag w:val="part_c93ca9edc65e45adac029c56a6a0ccc1"/>
                    <w:lock w:val="sdtLocked"/>
                    <w:richText/>
                  </w:sdtPr>
                  <w:sdtContent>
                    <w:sdt>
                      <w:sdtPr>
                        <w:alias w:val="15-4 str."/>
                        <w:tag w:val="part_a62bf6723fc1453f954e6bbd97b2eb91"/>
                        <w:lock w:val="sdtLocked"/>
                        <w:richText/>
                      </w:sdtPr>
                      <w:sdtContent>
                        <w:p>
                          <w:pPr>
                            <w:widowControl w:val="0"/>
                            <w:suppressAutoHyphens/>
                            <w:ind w:firstLine="851"/>
                            <w:jc w:val="both"/>
                            <w:textAlignment w:val="center"/>
                            <w:rPr>
                              <w:b/>
                              <w:bCs/>
                              <w:color w:val="000000"/>
                              <w:szCs w:val="24"/>
                              <w:lang w:eastAsia="lt-LT"/>
                            </w:rPr>
                          </w:pPr>
                          <w:r>
                            <w:rPr>
                              <w:color w:val="000000"/>
                              <w:szCs w:val="24"/>
                              <w:lang w:eastAsia="lt-LT"/>
                            </w:rPr>
                            <w:t>„</w:t>
                          </w:r>
                          <w:sdt>
                            <w:sdtPr>
                              <w:alias w:val="Numeris"/>
                              <w:tag w:val="nr_a62bf6723fc1453f954e6bbd97b2eb91"/>
                              <w:lock w:val="sdtLocked"/>
                              <w:richText/>
                            </w:sdtPr>
                            <w:sdtContent>
                              <w:r>
                                <w:rPr>
                                  <w:b/>
                                  <w:bCs/>
                                  <w:color w:val="000000"/>
                                  <w:szCs w:val="24"/>
                                  <w:lang w:eastAsia="lt-LT"/>
                                </w:rPr>
                                <w:t>15</w:t>
                              </w:r>
                              <w:r>
                                <w:rPr>
                                  <w:b/>
                                  <w:bCs/>
                                  <w:color w:val="000000"/>
                                  <w:szCs w:val="24"/>
                                  <w:vertAlign w:val="superscript"/>
                                  <w:lang w:eastAsia="lt-LT"/>
                                </w:rPr>
                                <w:t>4</w:t>
                              </w:r>
                            </w:sdtContent>
                          </w:sdt>
                          <w:r>
                            <w:rPr>
                              <w:b/>
                              <w:bCs/>
                              <w:color w:val="000000"/>
                              <w:szCs w:val="24"/>
                              <w:lang w:eastAsia="lt-LT"/>
                            </w:rPr>
                            <w:t xml:space="preserve"> straipsnis. </w:t>
                          </w:r>
                          <w:sdt>
                            <w:sdtPr>
                              <w:alias w:val="Pavadinimas"/>
                              <w:tag w:val="title_a62bf6723fc1453f954e6bbd97b2eb91"/>
                              <w:lock w:val="sdtLocked"/>
                              <w:richText/>
                            </w:sdtPr>
                            <w:sdtContent>
                              <w:r>
                                <w:rPr>
                                  <w:b/>
                                  <w:bCs/>
                                  <w:color w:val="000000"/>
                                  <w:szCs w:val="24"/>
                                  <w:lang w:eastAsia="lt-LT"/>
                                </w:rPr>
                                <w:t>LNSS valstybės ir savivaldybių viešųjų bei biudžetinių įstaigų, sudariusių sutartis su Valstybine ligonių kasa, tvarkomų sveikatos duomenų skaitmenizavimo ir jų saugos vertinimas bei šių įstaigų skatinimas</w:t>
                              </w:r>
                            </w:sdtContent>
                          </w:sdt>
                        </w:p>
                        <w:sdt>
                          <w:sdtPr>
                            <w:alias w:val="15-4 str. 1 d."/>
                            <w:tag w:val="part_0d82d7102ae5449d9f3f324944cf8518"/>
                            <w:lock w:val="sdtLocked"/>
                            <w:richText/>
                          </w:sdtPr>
                          <w:sdtContent>
                            <w:p>
                              <w:pPr>
                                <w:ind w:firstLine="851"/>
                                <w:jc w:val="both"/>
                              </w:pPr>
                              <w:sdt>
                                <w:sdtPr>
                                  <w:alias w:val="Numeris"/>
                                  <w:tag w:val="nr_0d82d7102ae5449d9f3f324944cf8518"/>
                                  <w:lock w:val="sdtLocked"/>
                                  <w:richText/>
                                </w:sdtPr>
                                <w:sdtContent>
                                  <w:r>
                                    <w:t>1</w:t>
                                  </w:r>
                                </w:sdtContent>
                              </w:sdt>
                              <w:r>
                                <w:t>. LNSS valstybės ir savivaldybių viešųjų bei biudžetinių įstaigų, sudariusių sutartis su Valstybine ligonių kasa, tvarkomų sveikatos duomenų skaitmenizavimo ir jų saugos lygio vertinimą atlieka Vyriausybės įgaliotos institucijos.</w:t>
                              </w:r>
                            </w:p>
                          </w:sdtContent>
                        </w:sdt>
                        <w:sdt>
                          <w:sdtPr>
                            <w:alias w:val="15-4 str. 2 d."/>
                            <w:tag w:val="part_2bf4b100c53b4a83bbca990dadc7952c"/>
                            <w:lock w:val="sdtLocked"/>
                            <w:richText/>
                          </w:sdtPr>
                          <w:sdtContent>
                            <w:p>
                              <w:pPr>
                                <w:ind w:firstLine="851"/>
                                <w:jc w:val="both"/>
                              </w:pPr>
                              <w:sdt>
                                <w:sdtPr>
                                  <w:alias w:val="Numeris"/>
                                  <w:tag w:val="nr_2bf4b100c53b4a83bbca990dadc7952c"/>
                                  <w:lock w:val="sdtLocked"/>
                                  <w:richText/>
                                </w:sdtPr>
                                <w:sdtContent>
                                  <w:r>
                                    <w:t>2</w:t>
                                  </w:r>
                                </w:sdtContent>
                              </w:sdt>
                              <w:r>
                                <w:t>. LNSS valstybės ir savivaldybių viešosioms bei biudžetinėms įstaigoms, sudariusioms sutartis su Valstybine ligonių kasa, pagal sveikatos duomenų skaitmenizavimo ir jų saugos mastą priskiriamas bazinis, vidutinis arba aukštas skaitmenizavimo ir saugos lygis. LNSS valstybės ir savivaldybių viešųjų bei biudžetinių įstaigų, sudariusių sutartis su Valstybine ligonių kasa, tvarkomų sveikatos duomenų skaitmenizavimo ir jų saugos lygio vertinimo tvarką nustato Vyriausybė ar jos įgaliota institucija.</w:t>
                              </w:r>
                            </w:p>
                          </w:sdtContent>
                        </w:sdt>
                        <w:sdt>
                          <w:sdtPr>
                            <w:alias w:val="15-4 str. 3 d."/>
                            <w:tag w:val="part_84a3ed9a32324f519dafc816fc694314"/>
                            <w:lock w:val="sdtLocked"/>
                            <w:richText/>
                          </w:sdtPr>
                          <w:sdtContent>
                            <w:p>
                              <w:pPr>
                                <w:ind w:firstLine="851"/>
                                <w:jc w:val="both"/>
                              </w:pPr>
                              <w:sdt>
                                <w:sdtPr>
                                  <w:alias w:val="Numeris"/>
                                  <w:tag w:val="nr_84a3ed9a32324f519dafc816fc694314"/>
                                  <w:lock w:val="sdtLocked"/>
                                  <w:richText/>
                                </w:sdtPr>
                                <w:sdtContent>
                                  <w:r>
                                    <w:t>3</w:t>
                                  </w:r>
                                </w:sdtContent>
                              </w:sdt>
                              <w:r>
                                <w:t>. LNSS valstybės ir savivaldybių viešosios ir biudžetinės įstaigos, sudariusios sutartis su Valstybine ligonių kasa, už pasiektą vidutinį ir aukštą skaitmenizavimo bei saugos lygį skatinamos Privalomojo sveikatos draudimo fondo biudžeto lėšomis sveikatos apsaugos ministro nustatyta tvarka.“</w:t>
                              </w:r>
                            </w:p>
                            <w:p>
                              <w:pPr>
                                <w:ind w:firstLine="851"/>
                                <w:jc w:val="both"/>
                              </w:pPr>
                            </w:p>
                          </w:sdtContent>
                        </w:sdt>
                      </w:sdtContent>
                    </w:sdt>
                  </w:sdtContent>
                </w:sdt>
              </w:sdtContent>
            </w:sdt>
          </w:sdtContent>
        </w:sdt>
        <w:sdt>
          <w:sdtPr>
            <w:alias w:val="2 str."/>
            <w:tag w:val="part_7a584feae3cb400fb48a3058d78b03a9"/>
            <w:lock w:val="sdtLocked"/>
            <w:richText/>
          </w:sdtPr>
          <w:sdtContent>
            <w:p>
              <w:pPr>
                <w:spacing w:line="276" w:lineRule="auto"/>
                <w:ind w:firstLine="851"/>
                <w:jc w:val="both"/>
                <w:rPr>
                  <w:b/>
                  <w:bCs/>
                  <w:szCs w:val="24"/>
                  <w:lang w:eastAsia="lt-LT"/>
                </w:rPr>
              </w:pPr>
              <w:sdt>
                <w:sdtPr>
                  <w:alias w:val="Numeris"/>
                  <w:tag w:val="nr_7a584feae3cb400fb48a3058d78b03a9"/>
                  <w:lock w:val="sdtLocked"/>
                  <w:richText/>
                </w:sdtPr>
                <w:sdtContent>
                  <w:r>
                    <w:rPr>
                      <w:b/>
                      <w:bCs/>
                      <w:szCs w:val="24"/>
                      <w:lang w:eastAsia="lt-LT"/>
                    </w:rPr>
                    <w:t>2</w:t>
                  </w:r>
                </w:sdtContent>
              </w:sdt>
              <w:r>
                <w:rPr>
                  <w:b/>
                  <w:bCs/>
                  <w:szCs w:val="24"/>
                  <w:lang w:eastAsia="lt-LT"/>
                </w:rPr>
                <w:t xml:space="preserve"> straipsnis. </w:t>
              </w:r>
              <w:sdt>
                <w:sdtPr>
                  <w:alias w:val="Pavadinimas"/>
                  <w:tag w:val="title_7a584feae3cb400fb48a3058d78b03a9"/>
                  <w:lock w:val="sdtLocked"/>
                  <w:richText/>
                </w:sdtPr>
                <w:sdtContent>
                  <w:r>
                    <w:rPr>
                      <w:b/>
                      <w:bCs/>
                      <w:szCs w:val="24"/>
                      <w:lang w:eastAsia="lt-LT"/>
                    </w:rPr>
                    <w:t>Įstatymo įsigaliojimas ir įgyvendinimas</w:t>
                  </w:r>
                </w:sdtContent>
              </w:sdt>
            </w:p>
            <w:sdt>
              <w:sdtPr>
                <w:alias w:val="2 str. 1 d."/>
                <w:tag w:val="part_44bd28853b6348b28ac713aa8b368792"/>
                <w:lock w:val="sdtLocked"/>
                <w:richText/>
              </w:sdtPr>
              <w:sdtContent>
                <w:p>
                  <w:pPr>
                    <w:ind w:firstLine="851"/>
                    <w:jc w:val="both"/>
                    <w:rPr>
                      <w:szCs w:val="24"/>
                      <w:lang w:eastAsia="lt-LT"/>
                    </w:rPr>
                  </w:pPr>
                  <w:sdt>
                    <w:sdtPr>
                      <w:alias w:val="Numeris"/>
                      <w:tag w:val="nr_44bd28853b6348b28ac713aa8b368792"/>
                      <w:lock w:val="sdtLocked"/>
                      <w:richText/>
                    </w:sdtPr>
                    <w:sdtContent>
                      <w:r>
                        <w:rPr>
                          <w:szCs w:val="24"/>
                          <w:lang w:eastAsia="lt-LT"/>
                        </w:rPr>
                        <w:t>1</w:t>
                      </w:r>
                    </w:sdtContent>
                  </w:sdt>
                  <w:r>
                    <w:rPr>
                      <w:szCs w:val="24"/>
                      <w:lang w:eastAsia="lt-LT"/>
                    </w:rPr>
                    <w:t xml:space="preserve">. Šis įstatymas, išskyrus šio straipsnio 2 dalį, įsigalioja 2027 m. sausio 1 d. </w:t>
                  </w:r>
                </w:p>
              </w:sdtContent>
            </w:sdt>
            <w:sdt>
              <w:sdtPr>
                <w:alias w:val="2 str. 2 d."/>
                <w:tag w:val="part_f1931853762f4d2b8a9ddbd505913a3b"/>
                <w:lock w:val="sdtLocked"/>
                <w:richText/>
              </w:sdtPr>
              <w:sdtContent>
                <w:p>
                  <w:pPr>
                    <w:spacing w:line="278" w:lineRule="auto"/>
                    <w:ind w:firstLine="851"/>
                    <w:jc w:val="both"/>
                    <w:rPr>
                      <w:kern w:val="2"/>
                      <w:szCs w:val="24"/>
                      <w:lang w:eastAsia="lt-LT"/>
                    </w:rPr>
                  </w:pPr>
                  <w:sdt>
                    <w:sdtPr>
                      <w:alias w:val="Numeris"/>
                      <w:tag w:val="nr_f1931853762f4d2b8a9ddbd505913a3b"/>
                      <w:lock w:val="sdtLocked"/>
                      <w:richText/>
                    </w:sdtPr>
                    <w:sdtContent>
                      <w:r>
                        <w:rPr>
                          <w:kern w:val="2"/>
                          <w:szCs w:val="24"/>
                          <w:lang w:eastAsia="lt-LT"/>
                        </w:rPr>
                        <w:t>2</w:t>
                      </w:r>
                    </w:sdtContent>
                  </w:sdt>
                  <w:r>
                    <w:rPr>
                      <w:kern w:val="2"/>
                      <w:szCs w:val="24"/>
                      <w:lang w:eastAsia="lt-LT"/>
                    </w:rPr>
                    <w:t>. Lietuvos Respublikos Vyriausybė ir sveikatos apsaugos ministras iki 2026 m. gruodžio 31 d. priima šio įstatymo įgyvendinamuosius teisės aktus.</w:t>
                  </w:r>
                </w:p>
                <w:p>
                  <w:pPr>
                    <w:spacing w:line="276" w:lineRule="auto"/>
                    <w:ind w:firstLine="851"/>
                    <w:jc w:val="both"/>
                    <w:rPr>
                      <w:bCs/>
                      <w:szCs w:val="24"/>
                      <w:lang w:eastAsia="lt-LT"/>
                    </w:rPr>
                  </w:pPr>
                </w:p>
                <w:p>
                  <w:pPr>
                    <w:spacing w:line="276" w:lineRule="auto"/>
                    <w:ind w:firstLine="851"/>
                    <w:jc w:val="both"/>
                    <w:rPr>
                      <w:bCs/>
                      <w:szCs w:val="24"/>
                      <w:lang w:eastAsia="lt-LT"/>
                    </w:rPr>
                  </w:pPr>
                </w:p>
              </w:sdtContent>
            </w:sdt>
          </w:sdtContent>
        </w:sdt>
        <w:sdt>
          <w:sdtPr>
            <w:alias w:val="signatura"/>
            <w:tag w:val="part_8e1e2c1168d84d58a2ed6ef122644236"/>
            <w:lock w:val="sdtLocked"/>
            <w:richText/>
          </w:sdtPr>
          <w:sdtContent>
            <w:p>
              <w:pPr>
                <w:spacing w:line="276" w:lineRule="auto"/>
                <w:ind w:firstLine="851"/>
                <w:jc w:val="both"/>
                <w:rPr>
                  <w:i/>
                  <w:color w:val="000000"/>
                  <w:szCs w:val="24"/>
                </w:rPr>
              </w:pPr>
              <w:r>
                <w:rPr>
                  <w:i/>
                  <w:color w:val="000000"/>
                  <w:szCs w:val="24"/>
                </w:rPr>
                <w:t>Skelbiu šį Lietuvos Respublikos Seimo priimtą įstatymą.</w:t>
              </w:r>
            </w:p>
            <w:p>
              <w:pPr>
                <w:spacing w:line="276" w:lineRule="auto"/>
                <w:jc w:val="both"/>
                <w:rPr>
                  <w:color w:val="000000"/>
                  <w:szCs w:val="24"/>
                </w:rPr>
              </w:pPr>
            </w:p>
            <w:p>
              <w:pPr>
                <w:spacing w:line="276" w:lineRule="auto"/>
                <w:jc w:val="both"/>
                <w:rPr>
                  <w:color w:val="000000"/>
                  <w:szCs w:val="24"/>
                </w:rPr>
              </w:pPr>
            </w:p>
            <w:p>
              <w:pPr>
                <w:spacing w:line="276" w:lineRule="auto"/>
                <w:jc w:val="both"/>
                <w:rPr>
                  <w:color w:val="000000"/>
                  <w:szCs w:val="24"/>
                </w:rPr>
              </w:pPr>
            </w:p>
            <w:p>
              <w:pPr>
                <w:spacing w:line="276" w:lineRule="auto"/>
                <w:jc w:val="both"/>
                <w:rPr>
                  <w:szCs w:val="24"/>
                </w:rPr>
              </w:pPr>
              <w:r>
                <w:rPr>
                  <w:szCs w:val="24"/>
                </w:rPr>
                <w:t>Respublikos Prezidentas</w:t>
              </w:r>
            </w:p>
            <w:p>
              <w:pPr>
                <w:rPr>
                  <w:szCs w:val="24"/>
                </w:rPr>
              </w:pPr>
            </w:p>
            <w:p>
              <w:pPr>
                <w:rPr>
                  <w:szCs w:val="24"/>
                </w:rPr>
              </w:pPr>
              <w:r>
                <w:rPr>
                  <w:szCs w:val="24"/>
                </w:rPr>
                <w:t>Teikia Seimo nariai</w:t>
              </w:r>
            </w:p>
            <w:p>
              <w:r>
                <w:t>Orinta Leiputė</w:t>
              </w:r>
            </w:p>
            <w:p>
              <w:r>
                <w:t>Andrius Busila</w:t>
              </w:r>
            </w:p>
            <w:p>
              <w:r>
                <w:t>Indrė Kižienė</w:t>
              </w:r>
            </w:p>
            <w:p>
              <w:r>
                <w:t xml:space="preserve">Birutė Vėsaitė </w:t>
              </w:r>
            </w:p>
            <w:p>
              <w:r>
                <w:t>Jurgita Šukevičienė</w:t>
              </w:r>
            </w:p>
            <w:p>
              <w:r>
                <w:t>Raminta Popovienė</w:t>
              </w:r>
            </w:p>
            <w:p>
              <w:r>
                <w:t>Ramūnas Vyžintas</w:t>
              </w:r>
            </w:p>
            <w:p>
              <w:r>
                <w:t xml:space="preserve">Violeta Turauskaitė </w:t>
              </w:r>
            </w:p>
            <w:p>
              <w:r>
                <w:t>Laurynas Šedvydis</w:t>
              </w:r>
            </w:p>
            <w:p>
              <w:r>
                <w:t>Vilija Targamadzė</w:t>
              </w:r>
            </w:p>
            <w:p>
              <w:r>
                <w:t>Algimantas Radvila</w:t>
              </w:r>
            </w:p>
            <w:p>
              <w:r>
                <w:t>Saulius Čaplinskas</w:t>
              </w:r>
            </w:p>
            <w:p/>
            <w:p/>
          </w:sdtContent>
        </w:sdt>
      </w:sdtContent>
    </w:sdt>
    <w:sectPr>
      <w:pgSz w:w="11906" w:h="16838"/>
      <w:pgMar w:top="1418"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2C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840A6B-AF1E-4230-8FBA-8D8EF27383E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cf3aca987f4a719a10debd0140e9c8" PartId="e02e706c0bf64f148f1fd024ed32d979">
    <Part Type="straipsnis" Nr="1" Abbr="1 str." Title="Įstatymo papildymas 15⁴ straipsniu" DocPartId="7e49325bfba449e4b5ed19089bd23bdf" PartId="3ad5db9f26d145028892b09c15375071">
      <Part Type="strDalis" Nr="1" Abbr="1 str. 1 d." DocPartId="85f33ef6111b4df1bd4409d101bc28e4" PartId="4862d9ff1c5740408ac8478f8b10a2e7">
        <Part Type="citata" DocPartId="646a2ee51ac140338da525573132972c" PartId="c93ca9edc65e45adac029c56a6a0ccc1">
          <Part Type="straipsnis" Nr="15-4" Abbr="15-4 str." Title="LNSS valstybės ir savivaldybių viešųjų bei biudžetinių įstaigų, sudariusių sutartis su Valstybine ligonių kasa, tvarkomų sveikatos duomenų skaitmenizavimo ir jų saugos vertinimas bei šių įstaigų skatinimas" DocPartId="19dad4c08d25465d918ef47290011a5a" PartId="a62bf6723fc1453f954e6bbd97b2eb91">
            <Part Type="strDalis" Nr="1" Abbr="15-4 str. 1 d." DocPartId="f392eaaf1ef54b1497cc37ddf5851edf" PartId="0d82d7102ae5449d9f3f324944cf8518"/>
            <Part Type="strDalis" Nr="2" Abbr="15-4 str. 2 d." DocPartId="24b239b38ec34e4fba2bb147675b5070" PartId="2bf4b100c53b4a83bbca990dadc7952c"/>
            <Part Type="strDalis" Nr="3" Abbr="15-4 str. 3 d." DocPartId="b9f4cf7307e64ffa8bb795f2f5dcf3a6" PartId="84a3ed9a32324f519dafc816fc694314"/>
          </Part>
        </Part>
      </Part>
    </Part>
    <Part Type="straipsnis" Nr="2" Abbr="2 str." Title="Įstatymo įsigaliojimas ir įgyvendinimas" DocPartId="08e504f99276469ab14a34efc4a40f30" PartId="7a584feae3cb400fb48a3058d78b03a9">
      <Part Type="strDalis" Nr="1" Abbr="2 str. 1 d." DocPartId="73f7f994fbb2497cbd0fc06b44648e7b" PartId="44bd28853b6348b28ac713aa8b368792"/>
      <Part Type="strDalis" Nr="2" Abbr="2 str. 2 d." DocPartId="5cf6385600ab48d18e086702be816655" PartId="f1931853762f4d2b8a9ddbd505913a3b"/>
    </Part>
    <Part Type="signatura" DocPartId="c1ed488099c14586b52af7fe6d836b77" PartId="8e1e2c1168d84d58a2ed6ef122644236"/>
  </Part>
</Parts>
</file>

<file path=customXml/itemProps1.xml><?xml version="1.0" encoding="utf-8"?>
<ds:datastoreItem xmlns:ds="http://schemas.openxmlformats.org/officeDocument/2006/customXml" ds:itemID="{93721685-0E3B-4164-BBDB-EA08A6476A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262</Words>
  <Characters>1833</Characters>
  <Application>Microsoft Office Word</Application>
  <DocSecurity>4</DocSecurity>
  <Lines>57</Lines>
  <Paragraphs>34</Paragraphs>
  <ScaleCrop>false</ScaleCrop>
  <Company/>
  <LinksUpToDate>false</LinksUpToDate>
  <CharactersWithSpaces>2061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2026-06-09T13:49:00Z</dcterms:created>
  <dc:creator>SAZONAITĖ Izabelė</dc:creator>
  <lastModifiedBy>adlibuser</lastModifiedBy>
  <dcterms:modified xsi:type="dcterms:W3CDTF">2026-06-09T13:49:00Z</dcterms:modified>
  <revision>2</revision>
</coreProperties>
</file>