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195ad6e6f7444e8ac6506c5d96e7e79"/>
        <w:lock w:val="sdtLocked"/>
        <w:richText/>
      </w:sdtPr>
      <w:sdtContent>
        <w:p w14:paraId="50A56B38" w14:textId="77777777">
          <w:pPr>
            <w:widowControl w:val="0"/>
            <w:tabs>
              <w:tab w:val="center" w:pos="4819"/>
              <w:tab w:val="right" w:pos="9638"/>
            </w:tabs>
            <w:suppressAutoHyphens/>
            <w:ind w:left="142"/>
            <w:rPr>
              <w:rFonts w:eastAsia="Andale Sans UI"/>
              <w:color w:val="FF0000"/>
              <w:kern w:val="2"/>
              <w:szCs w:val="24"/>
              <w:lang w:eastAsia="ar-SA"/>
            </w:rPr>
          </w:pPr>
        </w:p>
        <w:p w14:paraId="334BCCC4" w14:textId="49E96A87">
          <w:pPr>
            <w:widowControl w:val="0"/>
            <w:suppressAutoHyphens/>
            <w:jc w:val="right"/>
            <w:rPr>
              <w:rFonts w:eastAsia="Andale Sans UI"/>
              <w:b/>
              <w:kern w:val="2"/>
              <w:szCs w:val="24"/>
              <w:lang w:eastAsia="ar-SA"/>
            </w:rPr>
          </w:pPr>
          <w:r>
            <w:rPr>
              <w:rFonts w:eastAsia="Andale Sans UI"/>
              <w:b/>
              <w:kern w:val="2"/>
              <w:szCs w:val="24"/>
              <w:lang w:eastAsia="ar-SA"/>
            </w:rPr>
            <w:t>Projekto</w:t>
          </w:r>
        </w:p>
        <w:p w14:paraId="50667123" w14:textId="01050FA4">
          <w:pPr>
            <w:widowControl w:val="0"/>
            <w:suppressAutoHyphens/>
            <w:jc w:val="right"/>
            <w:rPr>
              <w:rFonts w:eastAsia="Andale Sans UI"/>
              <w:b/>
              <w:kern w:val="2"/>
              <w:szCs w:val="24"/>
              <w:lang w:eastAsia="ar-SA"/>
            </w:rPr>
          </w:pPr>
          <w:r>
            <w:rPr>
              <w:rFonts w:eastAsia="Andale Sans UI"/>
              <w:b/>
              <w:kern w:val="2"/>
              <w:szCs w:val="24"/>
              <w:lang w:eastAsia="ar-SA"/>
            </w:rPr>
            <w:t>nauja redakcija</w:t>
          </w:r>
        </w:p>
        <w:p w14:paraId="66D31197" w14:textId="77777777">
          <w:pPr>
            <w:widowControl w:val="0"/>
            <w:suppressAutoHyphens/>
            <w:jc w:val="center"/>
            <w:rPr>
              <w:rFonts w:eastAsia="Andale Sans UI"/>
              <w:b/>
              <w:kern w:val="2"/>
              <w:szCs w:val="24"/>
              <w:lang w:eastAsia="ar-SA"/>
            </w:rPr>
          </w:pPr>
        </w:p>
        <w:p w14:paraId="7BE3C7AD" w14:textId="1FF3CB83">
          <w:pPr>
            <w:widowControl w:val="0"/>
            <w:suppressAutoHyphens/>
            <w:jc w:val="center"/>
            <w:rPr>
              <w:rFonts w:eastAsia="Andale Sans UI"/>
              <w:b/>
              <w:kern w:val="2"/>
              <w:szCs w:val="24"/>
              <w:lang w:eastAsia="ar-SA"/>
            </w:rPr>
          </w:pPr>
          <w:r>
            <w:rPr>
              <w:rFonts w:eastAsia="Andale Sans UI"/>
              <w:b/>
              <w:kern w:val="2"/>
              <w:szCs w:val="24"/>
              <w:lang w:eastAsia="ar-SA"/>
            </w:rPr>
            <w:t>ŠIAULIŲ MIESTO SAVIVALDYBĖS TARYBA</w:t>
          </w:r>
        </w:p>
        <w:p w14:paraId="6C703892" w14:textId="77777777">
          <w:pPr>
            <w:widowControl w:val="0"/>
            <w:suppressAutoHyphens/>
            <w:jc w:val="center"/>
            <w:rPr>
              <w:rFonts w:eastAsia="Andale Sans UI"/>
              <w:b/>
              <w:kern w:val="2"/>
              <w:szCs w:val="24"/>
              <w:lang w:eastAsia="ar-SA"/>
            </w:rPr>
          </w:pPr>
        </w:p>
        <w:p w14:paraId="28373BA4" w14:textId="77777777">
          <w:pPr>
            <w:widowControl w:val="0"/>
            <w:suppressAutoHyphens/>
            <w:jc w:val="center"/>
            <w:rPr>
              <w:rFonts w:eastAsia="Andale Sans UI"/>
              <w:b/>
              <w:kern w:val="2"/>
              <w:szCs w:val="24"/>
              <w:lang w:eastAsia="ar-SA"/>
            </w:rPr>
          </w:pPr>
          <w:r>
            <w:rPr>
              <w:rFonts w:eastAsia="Andale Sans UI"/>
              <w:b/>
              <w:kern w:val="2"/>
              <w:szCs w:val="24"/>
              <w:lang w:eastAsia="ar-SA"/>
            </w:rPr>
            <w:t>SPRENDIMAS</w:t>
          </w:r>
        </w:p>
        <w:p w14:paraId="69F7CD21" w14:textId="491B6ABB">
          <w:pPr>
            <w:widowControl w:val="0"/>
            <w:suppressAutoHyphens/>
            <w:jc w:val="center"/>
            <w:rPr>
              <w:rFonts w:eastAsia="Andale Sans UI"/>
              <w:b/>
              <w:kern w:val="2"/>
              <w:szCs w:val="24"/>
              <w:lang w:eastAsia="ar-SA"/>
            </w:rPr>
          </w:pPr>
          <w:r>
            <w:rPr>
              <w:rFonts w:eastAsia="Andale Sans UI"/>
              <w:b/>
              <w:kern w:val="2"/>
              <w:szCs w:val="24"/>
              <w:lang w:eastAsia="ar-SA"/>
            </w:rPr>
            <w:t>DĖL ŠIAULIŲ MIESTO SAVIVALDYBĖS TARYBOS 2023 M. VASARIO 2 D. SPRENDIMO NR. T-30 „DĖL ŠIAULIŲ MIESTO SAVIVALDYBĖS TARYBOS VEIKLOS REGLAMENTO PATVIRTINIMO“ PAKEITIMO</w:t>
          </w:r>
        </w:p>
        <w:p w14:paraId="628560EC" w14:textId="77777777">
          <w:pPr>
            <w:jc w:val="center"/>
            <w:rPr>
              <w:rFonts w:eastAsia="Arial Unicode MS"/>
              <w:bCs/>
              <w:szCs w:val="24"/>
            </w:rPr>
          </w:pPr>
        </w:p>
        <w:p w14:paraId="31E43A31" w14:textId="15C2AA08">
          <w:pPr>
            <w:widowControl w:val="0"/>
            <w:suppressAutoHyphens/>
            <w:jc w:val="center"/>
            <w:rPr>
              <w:rFonts w:eastAsia="Andale Sans UI"/>
              <w:bCs/>
              <w:kern w:val="2"/>
              <w:szCs w:val="24"/>
              <w:lang w:eastAsia="ar-SA"/>
            </w:rPr>
          </w:pPr>
          <w:r>
            <w:rPr>
              <w:rFonts w:eastAsia="Andale Sans UI"/>
              <w:bCs/>
              <w:kern w:val="2"/>
              <w:szCs w:val="24"/>
              <w:lang w:eastAsia="ar-SA"/>
            </w:rPr>
            <w:t xml:space="preserve">2024 m.           d. Nr. T-</w:t>
          </w:r>
        </w:p>
        <w:p w14:paraId="1B993854" w14:textId="77777777">
          <w:pPr>
            <w:widowControl w:val="0"/>
            <w:suppressAutoHyphens/>
            <w:jc w:val="center"/>
            <w:rPr>
              <w:rFonts w:eastAsia="Andale Sans UI"/>
              <w:bCs/>
              <w:kern w:val="2"/>
              <w:szCs w:val="24"/>
              <w:lang w:eastAsia="ar-SA"/>
            </w:rPr>
          </w:pPr>
          <w:r>
            <w:rPr>
              <w:rFonts w:eastAsia="Andale Sans UI"/>
              <w:bCs/>
              <w:kern w:val="2"/>
              <w:szCs w:val="24"/>
              <w:lang w:eastAsia="ar-SA"/>
            </w:rPr>
            <w:t>Šiauliai</w:t>
          </w:r>
        </w:p>
        <w:p w14:paraId="47EE4726" w14:textId="77777777">
          <w:pPr>
            <w:widowControl w:val="0"/>
            <w:suppressAutoHyphens/>
            <w:ind w:firstLine="709"/>
            <w:jc w:val="both"/>
            <w:rPr>
              <w:rFonts w:eastAsia="Andale Sans UI"/>
              <w:bCs/>
              <w:kern w:val="2"/>
              <w:szCs w:val="24"/>
              <w:lang w:eastAsia="ar-SA"/>
            </w:rPr>
          </w:pPr>
        </w:p>
        <w:sdt>
          <w:sdtPr>
            <w:alias w:val="preambule"/>
            <w:tag w:val="part_c9f3d26e6b73413a96af927ae96ccfcf"/>
            <w:lock w:val="sdtLocked"/>
            <w:richText/>
          </w:sdtPr>
          <w:sdtContent>
            <w:p w14:paraId="1B2C5F30" w14:textId="73EADBCF">
              <w:pPr>
                <w:widowControl w:val="0"/>
                <w:suppressAutoHyphens/>
                <w:ind w:firstLine="709"/>
                <w:jc w:val="both"/>
                <w:rPr>
                  <w:rFonts w:eastAsia="Andale Sans UI"/>
                  <w:bCs/>
                  <w:kern w:val="2"/>
                  <w:szCs w:val="24"/>
                  <w:shd w:val="clear" w:color="auto" w:fill="FFFFFF"/>
                  <w:lang w:eastAsia="ar-SA"/>
                </w:rPr>
              </w:pPr>
              <w:r>
                <w:rPr>
                  <w:rFonts w:eastAsia="Andale Sans UI"/>
                  <w:bCs/>
                  <w:kern w:val="2"/>
                  <w:szCs w:val="24"/>
                  <w:lang w:eastAsia="ar-SA"/>
                </w:rPr>
                <w:t xml:space="preserve">Vadovaudamasi Lietuvos Respublikos vietos savivaldos įstatymo 15 straipsnio 2 dalies              1 punktu, Šiaulių miesto savivaldybės taryba  </w:t>
              </w:r>
              <w:r>
                <w:rPr>
                  <w:rFonts w:eastAsia="Andale Sans UI"/>
                  <w:bCs/>
                  <w:spacing w:val="80"/>
                  <w:kern w:val="2"/>
                  <w:szCs w:val="24"/>
                  <w:shd w:val="clear" w:color="auto" w:fill="FFFFFF"/>
                  <w:lang w:eastAsia="ar-SA"/>
                </w:rPr>
                <w:t>nusprendži</w:t>
              </w:r>
              <w:r>
                <w:rPr>
                  <w:rFonts w:eastAsia="Andale Sans UI"/>
                  <w:bCs/>
                  <w:kern w:val="2"/>
                  <w:szCs w:val="24"/>
                  <w:shd w:val="clear" w:color="auto" w:fill="FFFFFF"/>
                  <w:lang w:eastAsia="ar-SA"/>
                </w:rPr>
                <w:t>a:</w:t>
              </w:r>
            </w:p>
          </w:sdtContent>
        </w:sdt>
        <w:sdt>
          <w:sdtPr>
            <w:alias w:val="pastraipa"/>
            <w:tag w:val="part_13370fb5af7749a6b4ac34ec506d525c"/>
            <w:lock w:val="sdtLocked"/>
            <w:richText/>
          </w:sdtPr>
          <w:sdtContent>
            <w:p w14:paraId="5FD75A22" w14:textId="77777777">
              <w:pPr>
                <w:widowControl w:val="0"/>
                <w:suppressAutoHyphens/>
                <w:ind w:firstLine="709"/>
                <w:jc w:val="both"/>
                <w:rPr>
                  <w:rFonts w:eastAsia="Andale Sans UI"/>
                  <w:bCs/>
                  <w:kern w:val="2"/>
                  <w:szCs w:val="24"/>
                  <w:shd w:val="clear" w:color="auto" w:fill="FFFFFF"/>
                  <w:lang w:eastAsia="ar-SA"/>
                </w:rPr>
              </w:pPr>
              <w:r>
                <w:rPr>
                  <w:rFonts w:eastAsia="Andale Sans UI"/>
                  <w:bCs/>
                  <w:kern w:val="2"/>
                  <w:szCs w:val="24"/>
                  <w:shd w:val="clear" w:color="auto" w:fill="FFFFFF"/>
                  <w:lang w:eastAsia="ar-SA"/>
                </w:rPr>
                <w:t>Pakeisti Šiaulių miesto savivaldybės tarybos veiklos reglamentą, patvirtintą Šiaulių miesto savivaldybės tarybos 2023 m. vasario 2 d. sprendimu Nr. T-30 „Dėl Šiaulių miesto savivaldybės tarybos veiklos reglamento patvirtinimo“:</w:t>
              </w:r>
            </w:p>
          </w:sdtContent>
        </w:sdt>
        <w:sdt>
          <w:sdtPr>
            <w:alias w:val="1 p."/>
            <w:tag w:val="part_b6e71151ed684c5c9c92010b096eb046"/>
            <w:lock w:val="sdtLocked"/>
            <w:richText/>
          </w:sdtPr>
          <w:sdtContent>
            <w:p w14:paraId="675F1CD5" w14:textId="77777777">
              <w:pPr>
                <w:widowControl w:val="0"/>
                <w:suppressAutoHyphens/>
                <w:ind w:firstLine="709"/>
                <w:jc w:val="both"/>
                <w:rPr>
                  <w:rFonts w:eastAsia="Andale Sans UI"/>
                  <w:bCs/>
                  <w:kern w:val="2"/>
                  <w:szCs w:val="24"/>
                  <w:vertAlign w:val="superscript"/>
                  <w:lang w:eastAsia="ar-SA"/>
                </w:rPr>
              </w:pPr>
              <w:sdt>
                <w:sdtPr>
                  <w:alias w:val="Numeris"/>
                  <w:tag w:val="nr_b6e71151ed684c5c9c92010b096eb046"/>
                  <w:lock w:val="sdtLocked"/>
                  <w:richText/>
                </w:sdtPr>
                <w:sdtContent>
                  <w:r>
                    <w:rPr>
                      <w:rFonts w:eastAsia="Andale Sans UI"/>
                      <w:bCs/>
                      <w:kern w:val="2"/>
                      <w:szCs w:val="24"/>
                      <w:shd w:val="clear" w:color="auto" w:fill="FFFFFF"/>
                      <w:lang w:eastAsia="ar-SA"/>
                    </w:rPr>
                    <w:t>1</w:t>
                  </w:r>
                </w:sdtContent>
              </w:sdt>
              <w:r>
                <w:rPr>
                  <w:rFonts w:eastAsia="Andale Sans UI"/>
                  <w:bCs/>
                  <w:kern w:val="2"/>
                  <w:szCs w:val="24"/>
                  <w:shd w:val="clear" w:color="auto" w:fill="FFFFFF"/>
                  <w:lang w:eastAsia="ar-SA"/>
                </w:rPr>
                <w:t xml:space="preserve">. </w:t>
              </w:r>
              <w:r>
                <w:rPr>
                  <w:rFonts w:eastAsia="Andale Sans UI"/>
                  <w:bCs/>
                  <w:kern w:val="2"/>
                  <w:szCs w:val="24"/>
                  <w:lang w:eastAsia="ar-SA"/>
                </w:rPr>
                <w:t>Pakeisti 23 punktą ir jį išdėstyti taip:</w:t>
              </w:r>
            </w:p>
            <w:sdt>
              <w:sdtPr>
                <w:alias w:val="citata"/>
                <w:tag w:val="part_d1d168bc7cf84aa184a49f548ce91a4d"/>
                <w:lock w:val="sdtLocked"/>
                <w:richText/>
              </w:sdtPr>
              <w:sdtContent>
                <w:sdt>
                  <w:sdtPr>
                    <w:alias w:val="23 p."/>
                    <w:tag w:val="part_6c3c5aac0c5846918cc715dc69daf7c9"/>
                    <w:lock w:val="sdtLocked"/>
                    <w:richText/>
                  </w:sdtPr>
                  <w:sdtContent>
                    <w:p w14:paraId="46E1F75D" w14:textId="0D8AD437">
                      <w:pPr>
                        <w:widowControl w:val="0"/>
                        <w:suppressAutoHyphens/>
                        <w:ind w:firstLine="709"/>
                        <w:jc w:val="both"/>
                        <w:rPr>
                          <w:rFonts w:eastAsia="Andale Sans UI"/>
                          <w:bCs/>
                          <w:kern w:val="2"/>
                          <w:szCs w:val="24"/>
                          <w:shd w:val="clear" w:color="auto" w:fill="FFFFFF"/>
                          <w:lang w:eastAsia="ar-SA"/>
                        </w:rPr>
                      </w:pPr>
                      <w:r>
                        <w:rPr>
                          <w:rFonts w:eastAsia="Andale Sans UI"/>
                          <w:bCs/>
                          <w:kern w:val="2"/>
                          <w:szCs w:val="24"/>
                          <w:shd w:val="clear" w:color="auto" w:fill="FFFFFF"/>
                          <w:lang w:eastAsia="ar-SA"/>
                        </w:rPr>
                        <w:t>„</w:t>
                      </w:r>
                      <w:sdt>
                        <w:sdtPr>
                          <w:alias w:val="Numeris"/>
                          <w:tag w:val="nr_6c3c5aac0c5846918cc715dc69daf7c9"/>
                          <w:lock w:val="sdtLocked"/>
                          <w:richText/>
                        </w:sdtPr>
                        <w:sdtContent>
                          <w:r>
                            <w:rPr>
                              <w:rFonts w:eastAsia="Andale Sans UI"/>
                              <w:bCs/>
                              <w:kern w:val="2"/>
                              <w:szCs w:val="24"/>
                              <w:shd w:val="clear" w:color="auto" w:fill="FFFFFF"/>
                              <w:lang w:eastAsia="ar-SA"/>
                            </w:rPr>
                            <w:t>23</w:t>
                          </w:r>
                        </w:sdtContent>
                      </w:sdt>
                      <w:r>
                        <w:rPr>
                          <w:rFonts w:eastAsia="Andale Sans UI"/>
                          <w:bCs/>
                          <w:kern w:val="2"/>
                          <w:szCs w:val="24"/>
                          <w:shd w:val="clear" w:color="auto" w:fill="FFFFFF"/>
                          <w:lang w:eastAsia="ar-SA"/>
                        </w:rPr>
                        <w:t>. Tarybos narys, prieš pradedant Tarybos posėdyje svarstyti klausimą, kuris jam sukelia interesų konfliktą, privalo informuoti Tarybą apie esamą interesų konfliktą, pareikšti apie nusišalinimą ir, jeigu Taryba nusišalinimą priima, jokia forma nedalyvauti toliau svarstant šį klausimą. Tarybos narys apie jam kylantį interesų konfliktą gali iš anksto raštu informuoti Tarybos posėdžių sekretorių arba Tarybą informuoti žodžiu posėdžio metu.“</w:t>
                      </w:r>
                    </w:p>
                  </w:sdtContent>
                </w:sdt>
              </w:sdtContent>
            </w:sdt>
          </w:sdtContent>
        </w:sdt>
        <w:sdt>
          <w:sdtPr>
            <w:alias w:val="2 p."/>
            <w:tag w:val="part_b7394b8f60ed4d0b90ec0896bc6aa33b"/>
            <w:lock w:val="sdtLocked"/>
            <w:richText/>
          </w:sdtPr>
          <w:sdtContent>
            <w:p w14:paraId="65DB7869" w14:textId="77777777">
              <w:pPr>
                <w:widowControl w:val="0"/>
                <w:suppressAutoHyphens/>
                <w:ind w:firstLine="709"/>
                <w:jc w:val="both"/>
                <w:rPr>
                  <w:rFonts w:eastAsia="Andale Sans UI"/>
                  <w:bCs/>
                  <w:kern w:val="2"/>
                  <w:szCs w:val="24"/>
                  <w:vertAlign w:val="superscript"/>
                  <w:lang w:eastAsia="ar-SA"/>
                </w:rPr>
              </w:pPr>
              <w:sdt>
                <w:sdtPr>
                  <w:alias w:val="Numeris"/>
                  <w:tag w:val="nr_b7394b8f60ed4d0b90ec0896bc6aa33b"/>
                  <w:lock w:val="sdtLocked"/>
                  <w:richText/>
                </w:sdtPr>
                <w:sdtContent>
                  <w:r>
                    <w:rPr>
                      <w:rFonts w:eastAsia="Andale Sans UI"/>
                      <w:bCs/>
                      <w:kern w:val="2"/>
                      <w:szCs w:val="24"/>
                      <w:shd w:val="clear" w:color="auto" w:fill="FFFFFF"/>
                      <w:lang w:eastAsia="ar-SA"/>
                    </w:rPr>
                    <w:t>2</w:t>
                  </w:r>
                </w:sdtContent>
              </w:sdt>
              <w:r>
                <w:rPr>
                  <w:rFonts w:eastAsia="Andale Sans UI"/>
                  <w:bCs/>
                  <w:kern w:val="2"/>
                  <w:szCs w:val="24"/>
                  <w:shd w:val="clear" w:color="auto" w:fill="FFFFFF"/>
                  <w:lang w:eastAsia="ar-SA"/>
                </w:rPr>
                <w:t xml:space="preserve">. </w:t>
              </w:r>
              <w:r>
                <w:rPr>
                  <w:rFonts w:eastAsia="Andale Sans UI"/>
                  <w:bCs/>
                  <w:kern w:val="2"/>
                  <w:szCs w:val="24"/>
                  <w:lang w:eastAsia="ar-SA"/>
                </w:rPr>
                <w:t>Pakeisti 37 punktą ir jį išdėstyti taip:</w:t>
              </w:r>
            </w:p>
            <w:sdt>
              <w:sdtPr>
                <w:alias w:val="citata"/>
                <w:tag w:val="part_02dd14892f7d41898c31abb981ecdd22"/>
                <w:lock w:val="sdtLocked"/>
                <w:richText/>
              </w:sdtPr>
              <w:sdtContent>
                <w:sdt>
                  <w:sdtPr>
                    <w:alias w:val="37 p."/>
                    <w:tag w:val="part_444ad2e00a544b44838fda21ac331761"/>
                    <w:lock w:val="sdtLocked"/>
                    <w:richText/>
                  </w:sdtPr>
                  <w:sdtContent>
                    <w:p w14:paraId="2FA734E1" w14:textId="21FBF17D">
                      <w:pPr>
                        <w:widowControl w:val="0"/>
                        <w:suppressAutoHyphens/>
                        <w:ind w:firstLine="720"/>
                        <w:jc w:val="both"/>
                        <w:rPr>
                          <w:rFonts w:eastAsia="Andale Sans UI"/>
                          <w:bCs/>
                          <w:kern w:val="2"/>
                          <w:szCs w:val="24"/>
                          <w:shd w:val="clear" w:color="auto" w:fill="FFFFFF"/>
                          <w:lang w:eastAsia="ar-SA"/>
                        </w:rPr>
                      </w:pPr>
                      <w:r>
                        <w:rPr>
                          <w:rFonts w:eastAsia="Andale Sans UI"/>
                          <w:bCs/>
                          <w:kern w:val="2"/>
                          <w:szCs w:val="24"/>
                          <w:shd w:val="clear" w:color="auto" w:fill="FFFFFF"/>
                          <w:lang w:eastAsia="ar-SA"/>
                        </w:rPr>
                        <w:t>„</w:t>
                      </w:r>
                      <w:sdt>
                        <w:sdtPr>
                          <w:alias w:val="Numeris"/>
                          <w:tag w:val="nr_444ad2e00a544b44838fda21ac331761"/>
                          <w:lock w:val="sdtLocked"/>
                          <w:richText/>
                        </w:sdtPr>
                        <w:sdtContent>
                          <w:r>
                            <w:rPr>
                              <w:rFonts w:eastAsia="Andale Sans UI"/>
                              <w:kern w:val="2"/>
                              <w:szCs w:val="24"/>
                              <w:lang w:eastAsia="lt-LT"/>
                            </w:rPr>
                            <w:t>37</w:t>
                          </w:r>
                        </w:sdtContent>
                      </w:sdt>
                      <w:r>
                        <w:rPr>
                          <w:rFonts w:eastAsia="Andale Sans UI"/>
                          <w:kern w:val="2"/>
                          <w:szCs w:val="24"/>
                          <w:lang w:eastAsia="lt-LT"/>
                        </w:rPr>
                        <w:t>. Kai užregistruotam sprendimo projektui yra būtina Savivaldybės administracijos išvada, ši išvada pateikiama Sekretoriatui teisės aktuose nustatytais terminais, bet ne vėliau kaip likus 24 val. iki Tarybos posėdžio. Gautą išvadą Sekretoriatas nedelsdamas paskelbia kartu su sprendimo projektu ir el. paštu išsiunčia Tarybos nariams.</w:t>
                      </w:r>
                      <w:r>
                        <w:rPr>
                          <w:rFonts w:eastAsia="Andale Sans UI"/>
                          <w:kern w:val="2"/>
                          <w:szCs w:val="24"/>
                          <w:shd w:val="clear" w:color="auto" w:fill="FFFFFF"/>
                          <w:lang w:eastAsia="ar-SA"/>
                        </w:rPr>
                        <w:t>“</w:t>
                      </w:r>
                    </w:p>
                  </w:sdtContent>
                </w:sdt>
              </w:sdtContent>
            </w:sdt>
          </w:sdtContent>
        </w:sdt>
        <w:sdt>
          <w:sdtPr>
            <w:alias w:val="3 p."/>
            <w:tag w:val="part_73e1208f456445f18ad006e1218d048f"/>
            <w:lock w:val="sdtLocked"/>
            <w:richText/>
          </w:sdtPr>
          <w:sdtContent>
            <w:p w14:paraId="3CA46252" w14:textId="77777777">
              <w:pPr>
                <w:widowControl w:val="0"/>
                <w:suppressAutoHyphens/>
                <w:ind w:firstLine="709"/>
                <w:jc w:val="both"/>
                <w:rPr>
                  <w:rFonts w:eastAsia="Andale Sans UI"/>
                  <w:bCs/>
                  <w:kern w:val="2"/>
                  <w:szCs w:val="24"/>
                  <w:vertAlign w:val="superscript"/>
                  <w:lang w:eastAsia="ar-SA"/>
                </w:rPr>
              </w:pPr>
              <w:sdt>
                <w:sdtPr>
                  <w:alias w:val="Numeris"/>
                  <w:tag w:val="nr_73e1208f456445f18ad006e1218d048f"/>
                  <w:lock w:val="sdtLocked"/>
                  <w:richText/>
                </w:sdtPr>
                <w:sdtContent>
                  <w:r>
                    <w:rPr>
                      <w:rFonts w:eastAsia="Andale Sans UI"/>
                      <w:bCs/>
                      <w:kern w:val="2"/>
                      <w:szCs w:val="24"/>
                      <w:shd w:val="clear" w:color="auto" w:fill="FFFFFF"/>
                      <w:lang w:eastAsia="ar-SA"/>
                    </w:rPr>
                    <w:t>3</w:t>
                  </w:r>
                </w:sdtContent>
              </w:sdt>
              <w:r>
                <w:rPr>
                  <w:rFonts w:eastAsia="Andale Sans UI"/>
                  <w:bCs/>
                  <w:kern w:val="2"/>
                  <w:szCs w:val="24"/>
                  <w:shd w:val="clear" w:color="auto" w:fill="FFFFFF"/>
                  <w:lang w:eastAsia="ar-SA"/>
                </w:rPr>
                <w:t xml:space="preserve">. </w:t>
              </w:r>
              <w:r>
                <w:rPr>
                  <w:rFonts w:eastAsia="Andale Sans UI"/>
                  <w:bCs/>
                  <w:kern w:val="2"/>
                  <w:szCs w:val="24"/>
                  <w:lang w:eastAsia="ar-SA"/>
                </w:rPr>
                <w:t>Pakeisti 149 punktą ir jį išdėstyti taip:</w:t>
              </w:r>
            </w:p>
            <w:sdt>
              <w:sdtPr>
                <w:alias w:val="citata"/>
                <w:tag w:val="part_2cab60d41bd349df9df92adb5735cf43"/>
                <w:lock w:val="sdtLocked"/>
                <w:richText/>
              </w:sdtPr>
              <w:sdtContent>
                <w:sdt>
                  <w:sdtPr>
                    <w:alias w:val="149 p."/>
                    <w:tag w:val="part_debb11c60cb34d36a8c37ea6992944dc"/>
                    <w:lock w:val="sdtLocked"/>
                    <w:richText/>
                  </w:sdtPr>
                  <w:sdtContent>
                    <w:p w14:paraId="095CC1AE" w14:textId="1F96BA89">
                      <w:pPr>
                        <w:widowControl w:val="0"/>
                        <w:suppressAutoHyphens/>
                        <w:ind w:firstLine="720"/>
                        <w:jc w:val="both"/>
                        <w:rPr>
                          <w:rFonts w:eastAsia="Andale Sans UI"/>
                          <w:bCs/>
                          <w:kern w:val="2"/>
                          <w:szCs w:val="24"/>
                          <w:shd w:val="clear" w:color="auto" w:fill="FFFFFF"/>
                          <w:lang w:eastAsia="ar-SA"/>
                        </w:rPr>
                      </w:pPr>
                      <w:r>
                        <w:rPr>
                          <w:rFonts w:eastAsia="Andale Sans UI"/>
                          <w:bCs/>
                          <w:kern w:val="2"/>
                          <w:szCs w:val="24"/>
                          <w:shd w:val="clear" w:color="auto" w:fill="FFFFFF"/>
                          <w:lang w:eastAsia="ar-SA"/>
                        </w:rPr>
                        <w:t>„</w:t>
                      </w:r>
                      <w:sdt>
                        <w:sdtPr>
                          <w:alias w:val="Numeris"/>
                          <w:tag w:val="nr_debb11c60cb34d36a8c37ea6992944dc"/>
                          <w:lock w:val="sdtLocked"/>
                          <w:richText/>
                        </w:sdtPr>
                        <w:sdtContent>
                          <w:r>
                            <w:rPr>
                              <w:rFonts w:eastAsia="Andale Sans UI"/>
                              <w:bCs/>
                              <w:kern w:val="2"/>
                              <w:szCs w:val="24"/>
                              <w:shd w:val="clear" w:color="auto" w:fill="FFFFFF"/>
                              <w:lang w:eastAsia="ar-SA"/>
                            </w:rPr>
                            <w:t>149</w:t>
                          </w:r>
                        </w:sdtContent>
                      </w:sdt>
                      <w:r>
                        <w:rPr>
                          <w:rFonts w:eastAsia="Andale Sans UI"/>
                          <w:bCs/>
                          <w:kern w:val="2"/>
                          <w:szCs w:val="24"/>
                          <w:shd w:val="clear" w:color="auto" w:fill="FFFFFF"/>
                          <w:lang w:eastAsia="ar-SA"/>
                        </w:rPr>
                        <w:t>. Tarybos komisijų posėdžiai transliuojami tiesiogiai ir daromas garso ir vaizdo įrašas. Komisijų posėdžių garso ir vaizdo įrašai saugomi informacinėse laikmenose ir skelbiami Savivaldybės interneto svetainėje. Komisijų posėdžių garso ir vaizdo įrašai neskelbiami ir netransliuojami viešai, kai tai gali atskleisti valstybės, tarnybos ar komercinę paslaptį, pažeisti fizinių asmenų teisę į privataus gyvenimo neliečiamumą ir teisę į asmens duomenų apsaugą.“</w:t>
                      </w:r>
                    </w:p>
                  </w:sdtContent>
                </w:sdt>
              </w:sdtContent>
            </w:sdt>
          </w:sdtContent>
        </w:sdt>
        <w:sdt>
          <w:sdtPr>
            <w:alias w:val="4 p."/>
            <w:tag w:val="part_18315c36079140b294b0839d1ec8ac89"/>
            <w:lock w:val="sdtLocked"/>
            <w:richText/>
          </w:sdtPr>
          <w:sdtContent>
            <w:p w14:paraId="467ED42D" w14:textId="77777777">
              <w:pPr>
                <w:widowControl w:val="0"/>
                <w:suppressAutoHyphens/>
                <w:ind w:firstLine="709"/>
                <w:jc w:val="both"/>
                <w:rPr>
                  <w:rFonts w:eastAsia="Andale Sans UI"/>
                  <w:bCs/>
                  <w:kern w:val="2"/>
                  <w:szCs w:val="24"/>
                  <w:lang w:eastAsia="ar-SA"/>
                </w:rPr>
              </w:pPr>
              <w:sdt>
                <w:sdtPr>
                  <w:alias w:val="Numeris"/>
                  <w:tag w:val="nr_18315c36079140b294b0839d1ec8ac89"/>
                  <w:lock w:val="sdtLocked"/>
                  <w:richText/>
                </w:sdtPr>
                <w:sdtContent>
                  <w:r>
                    <w:rPr>
                      <w:rFonts w:eastAsia="Andale Sans UI"/>
                      <w:bCs/>
                      <w:kern w:val="2"/>
                      <w:szCs w:val="24"/>
                      <w:lang w:eastAsia="ar-SA"/>
                    </w:rPr>
                    <w:t>4</w:t>
                  </w:r>
                </w:sdtContent>
              </w:sdt>
              <w:r>
                <w:rPr>
                  <w:rFonts w:eastAsia="Andale Sans UI"/>
                  <w:bCs/>
                  <w:kern w:val="2"/>
                  <w:szCs w:val="24"/>
                  <w:lang w:eastAsia="ar-SA"/>
                </w:rPr>
                <w:t>. Pakeisti 164 punktą ir jį išdėstyti taip:</w:t>
              </w:r>
            </w:p>
            <w:sdt>
              <w:sdtPr>
                <w:alias w:val="citata"/>
                <w:tag w:val="part_77f45a91f27342a3aa44c1fc6ee3d310"/>
                <w:lock w:val="sdtLocked"/>
                <w:richText/>
              </w:sdtPr>
              <w:sdtContent>
                <w:sdt>
                  <w:sdtPr>
                    <w:alias w:val="164 p."/>
                    <w:tag w:val="part_6a764b6dd06f4d89b946b82427d89252"/>
                    <w:lock w:val="sdtLocked"/>
                    <w:richText/>
                  </w:sdtPr>
                  <w:sdtContent>
                    <w:p w14:paraId="0A9EA362" w14:textId="747ED423">
                      <w:pPr>
                        <w:widowControl w:val="0"/>
                        <w:suppressAutoHyphens/>
                        <w:ind w:firstLine="720"/>
                        <w:jc w:val="both"/>
                        <w:rPr>
                          <w:rFonts w:eastAsia="Andale Sans UI"/>
                          <w:kern w:val="2"/>
                          <w:szCs w:val="24"/>
                          <w:lang w:eastAsia="lt-LT"/>
                        </w:rPr>
                      </w:pPr>
                      <w:r>
                        <w:rPr>
                          <w:rFonts w:eastAsia="Andale Sans UI"/>
                          <w:kern w:val="2"/>
                          <w:szCs w:val="24"/>
                          <w:lang w:eastAsia="lt-LT"/>
                        </w:rPr>
                        <w:t>„</w:t>
                      </w:r>
                      <w:sdt>
                        <w:sdtPr>
                          <w:alias w:val="Numeris"/>
                          <w:tag w:val="nr_6a764b6dd06f4d89b946b82427d89252"/>
                          <w:lock w:val="sdtLocked"/>
                          <w:richText/>
                        </w:sdtPr>
                        <w:sdtContent>
                          <w:r>
                            <w:rPr>
                              <w:rFonts w:eastAsia="Andale Sans UI"/>
                              <w:kern w:val="2"/>
                              <w:szCs w:val="24"/>
                              <w:lang w:eastAsia="lt-LT"/>
                            </w:rPr>
                            <w:t>164</w:t>
                          </w:r>
                        </w:sdtContent>
                      </w:sdt>
                      <w:r>
                        <w:rPr>
                          <w:rFonts w:eastAsia="Andale Sans UI"/>
                          <w:kern w:val="2"/>
                          <w:szCs w:val="24"/>
                          <w:lang w:eastAsia="lt-LT"/>
                        </w:rPr>
                        <w:t xml:space="preserve">. </w:t>
                      </w:r>
                      <w:r>
                        <w:rPr>
                          <w:rFonts w:eastAsia="Andale Sans UI"/>
                          <w:color w:val="000000"/>
                          <w:kern w:val="2"/>
                          <w:szCs w:val="24"/>
                          <w:lang w:eastAsia="ar-SA"/>
                        </w:rPr>
                        <w:t xml:space="preserve">Tarybos įgaliojimų laikui iš mero, vicemerų, direktoriaus, Tarybos komitetų pirmininkų, Etikos komisijos pirmininko, Antikorupcijos komisijos pirmininko ir opozicijos lyderio mero sprendimu sudaroma kolegija. </w:t>
                      </w:r>
                      <w:r>
                        <w:rPr>
                          <w:rFonts w:eastAsia="Andale Sans UI"/>
                          <w:kern w:val="2"/>
                          <w:szCs w:val="24"/>
                          <w:lang w:eastAsia="lt-LT"/>
                        </w:rPr>
                        <w:t>Kolegijos posėdžiams pirmininkauja meras (posėdžio pirmininkas).“</w:t>
                      </w:r>
                    </w:p>
                  </w:sdtContent>
                </w:sdt>
              </w:sdtContent>
            </w:sdt>
          </w:sdtContent>
        </w:sdt>
        <w:sdt>
          <w:sdtPr>
            <w:alias w:val="5 p."/>
            <w:tag w:val="part_e38603cd1f7143cf9fc73bfcbce27578"/>
            <w:lock w:val="sdtLocked"/>
            <w:richText/>
          </w:sdtPr>
          <w:sdtContent>
            <w:p w14:paraId="02EEA2B3" w14:textId="77777777">
              <w:pPr>
                <w:widowControl w:val="0"/>
                <w:suppressAutoHyphens/>
                <w:ind w:firstLine="709"/>
                <w:jc w:val="both"/>
                <w:rPr>
                  <w:rFonts w:eastAsia="Andale Sans UI"/>
                  <w:bCs/>
                  <w:kern w:val="2"/>
                  <w:szCs w:val="24"/>
                  <w:vertAlign w:val="superscript"/>
                  <w:lang w:eastAsia="ar-SA"/>
                </w:rPr>
              </w:pPr>
              <w:sdt>
                <w:sdtPr>
                  <w:alias w:val="Numeris"/>
                  <w:tag w:val="nr_e38603cd1f7143cf9fc73bfcbce27578"/>
                  <w:lock w:val="sdtLocked"/>
                  <w:richText/>
                </w:sdtPr>
                <w:sdtContent>
                  <w:r>
                    <w:rPr>
                      <w:rFonts w:eastAsia="Andale Sans UI"/>
                      <w:bCs/>
                      <w:kern w:val="2"/>
                      <w:szCs w:val="24"/>
                      <w:shd w:val="clear" w:color="auto" w:fill="FFFFFF"/>
                      <w:lang w:eastAsia="ar-SA"/>
                    </w:rPr>
                    <w:t>5</w:t>
                  </w:r>
                </w:sdtContent>
              </w:sdt>
              <w:r>
                <w:rPr>
                  <w:rFonts w:eastAsia="Andale Sans UI"/>
                  <w:bCs/>
                  <w:kern w:val="2"/>
                  <w:szCs w:val="24"/>
                  <w:shd w:val="clear" w:color="auto" w:fill="FFFFFF"/>
                  <w:lang w:eastAsia="ar-SA"/>
                </w:rPr>
                <w:t xml:space="preserve">. </w:t>
              </w:r>
              <w:r>
                <w:rPr>
                  <w:rFonts w:eastAsia="Andale Sans UI"/>
                  <w:bCs/>
                  <w:kern w:val="2"/>
                  <w:szCs w:val="24"/>
                  <w:lang w:eastAsia="ar-SA"/>
                </w:rPr>
                <w:t>Pakeisti 186 punktą ir jį išdėstyti taip:</w:t>
              </w:r>
            </w:p>
            <w:sdt>
              <w:sdtPr>
                <w:alias w:val="citata"/>
                <w:tag w:val="part_f5cb097bb691497987ff0b0a9d43ee3b"/>
                <w:lock w:val="sdtLocked"/>
                <w:richText/>
              </w:sdtPr>
              <w:sdtContent>
                <w:sdt>
                  <w:sdtPr>
                    <w:alias w:val="186 p."/>
                    <w:tag w:val="part_9abc016ec6464ac49fa05292ef37d0e1"/>
                    <w:lock w:val="sdtLocked"/>
                    <w:richText/>
                  </w:sdtPr>
                  <w:sdtContent>
                    <w:p w14:paraId="17E45411" w14:textId="77777777">
                      <w:pPr>
                        <w:widowControl w:val="0"/>
                        <w:suppressAutoHyphens/>
                        <w:ind w:firstLine="720"/>
                        <w:jc w:val="both"/>
                        <w:rPr>
                          <w:rFonts w:eastAsia="Andale Sans UI"/>
                          <w:bCs/>
                          <w:kern w:val="2"/>
                          <w:szCs w:val="24"/>
                          <w:shd w:val="clear" w:color="auto" w:fill="FFFFFF"/>
                          <w:lang w:eastAsia="ar-SA"/>
                        </w:rPr>
                      </w:pPr>
                      <w:r>
                        <w:rPr>
                          <w:rFonts w:eastAsia="Andale Sans UI"/>
                          <w:bCs/>
                          <w:kern w:val="2"/>
                          <w:szCs w:val="24"/>
                          <w:shd w:val="clear" w:color="auto" w:fill="FFFFFF"/>
                          <w:lang w:eastAsia="ar-SA"/>
                        </w:rPr>
                        <w:t>„</w:t>
                      </w:r>
                      <w:sdt>
                        <w:sdtPr>
                          <w:alias w:val="Numeris"/>
                          <w:tag w:val="nr_9abc016ec6464ac49fa05292ef37d0e1"/>
                          <w:lock w:val="sdtLocked"/>
                          <w:richText/>
                        </w:sdtPr>
                        <w:sdtContent>
                          <w:r>
                            <w:rPr>
                              <w:rFonts w:eastAsia="Andale Sans UI"/>
                              <w:bCs/>
                              <w:kern w:val="2"/>
                              <w:szCs w:val="24"/>
                              <w:lang w:eastAsia="lt-LT"/>
                            </w:rPr>
                            <w:t>186</w:t>
                          </w:r>
                        </w:sdtContent>
                      </w:sdt>
                      <w:r>
                        <w:rPr>
                          <w:rFonts w:eastAsia="Andale Sans UI"/>
                          <w:bCs/>
                          <w:kern w:val="2"/>
                          <w:szCs w:val="24"/>
                          <w:lang w:eastAsia="lt-LT"/>
                        </w:rPr>
                        <w:t xml:space="preserve">. Mero vykimas į tarnybinę komandiruotę įforminamas mero potvarkiu. Vicemero ar direktoriaus siuntimas į tarnybinę komandiruotę įforminamas mero potvarkiu, išskyrus 1 darbo dienos komandiruotes Lietuvos Respublikos teritorijoje, kurios įforminamos mero rezoliucija, patvirtinančia, kad tarnybinis pranešimas ar prašymas išvykti iš nuolatinės darbo vietos suderintas. </w:t>
                      </w:r>
                      <w:r>
                        <w:rPr>
                          <w:rFonts w:eastAsia="Andale Sans UI"/>
                          <w:bCs/>
                          <w:kern w:val="2"/>
                          <w:szCs w:val="24"/>
                          <w:lang w:eastAsia="ar-SA"/>
                        </w:rPr>
                        <w:t>Tarybos nariai apie mero komandiruotę nedelsiant informuojami per DVS pateikiant susipažinti potvarkį dėl mero komandiruotės.</w:t>
                      </w:r>
                      <w:r>
                        <w:rPr>
                          <w:bCs/>
                          <w:kern w:val="2"/>
                          <w:szCs w:val="24"/>
                          <w:lang w:eastAsia="lt-LT"/>
                        </w:rPr>
                        <w:t>“</w:t>
                      </w:r>
                    </w:p>
                  </w:sdtContent>
                </w:sdt>
              </w:sdtContent>
            </w:sdt>
          </w:sdtContent>
        </w:sdt>
        <w:sdt>
          <w:sdtPr>
            <w:alias w:val="6 p."/>
            <w:tag w:val="part_b1d2c148af77452d931f0ebb7bc1b8ed"/>
            <w:lock w:val="sdtLocked"/>
            <w:richText/>
          </w:sdtPr>
          <w:sdtContent>
            <w:p w14:paraId="2D79DC02" w14:textId="77777777">
              <w:pPr>
                <w:widowControl w:val="0"/>
                <w:suppressAutoHyphens/>
                <w:ind w:firstLine="709"/>
                <w:jc w:val="both"/>
                <w:rPr>
                  <w:rFonts w:eastAsia="Andale Sans UI"/>
                  <w:bCs/>
                  <w:kern w:val="2"/>
                  <w:szCs w:val="24"/>
                  <w:vertAlign w:val="superscript"/>
                  <w:lang w:eastAsia="ar-SA"/>
                </w:rPr>
              </w:pPr>
              <w:sdt>
                <w:sdtPr>
                  <w:alias w:val="Numeris"/>
                  <w:tag w:val="nr_b1d2c148af77452d931f0ebb7bc1b8ed"/>
                  <w:lock w:val="sdtLocked"/>
                  <w:richText/>
                </w:sdtPr>
                <w:sdtContent>
                  <w:r>
                    <w:rPr>
                      <w:rFonts w:eastAsia="Andale Sans UI"/>
                      <w:bCs/>
                      <w:kern w:val="2"/>
                      <w:szCs w:val="24"/>
                      <w:shd w:val="clear" w:color="auto" w:fill="FFFFFF"/>
                      <w:lang w:eastAsia="ar-SA"/>
                    </w:rPr>
                    <w:t>6</w:t>
                  </w:r>
                </w:sdtContent>
              </w:sdt>
              <w:r>
                <w:rPr>
                  <w:rFonts w:eastAsia="Andale Sans UI"/>
                  <w:bCs/>
                  <w:kern w:val="2"/>
                  <w:szCs w:val="24"/>
                  <w:shd w:val="clear" w:color="auto" w:fill="FFFFFF"/>
                  <w:lang w:eastAsia="ar-SA"/>
                </w:rPr>
                <w:t xml:space="preserve">. </w:t>
              </w:r>
              <w:r>
                <w:rPr>
                  <w:rFonts w:eastAsia="Andale Sans UI"/>
                  <w:bCs/>
                  <w:kern w:val="2"/>
                  <w:szCs w:val="24"/>
                  <w:lang w:eastAsia="ar-SA"/>
                </w:rPr>
                <w:t>Pakeisti 196 punktą ir jį išdėstyti taip:</w:t>
              </w:r>
            </w:p>
            <w:sdt>
              <w:sdtPr>
                <w:alias w:val="citata"/>
                <w:tag w:val="part_15e05fb315c14a7cbe9b67148144efd3"/>
                <w:lock w:val="sdtLocked"/>
                <w:richText/>
              </w:sdtPr>
              <w:sdtContent>
                <w:sdt>
                  <w:sdtPr>
                    <w:alias w:val="196 p."/>
                    <w:tag w:val="part_aed8b4f24a5f4c85a62fb368a8a02aaf"/>
                    <w:lock w:val="sdtLocked"/>
                    <w:richText/>
                  </w:sdtPr>
                  <w:sdtContent>
                    <w:p w14:paraId="58938B2D" w14:textId="4470CCC0">
                      <w:pPr>
                        <w:jc w:val="both"/>
                        <w:rPr>
                          <w:color w:val="000000"/>
                          <w:kern w:val="2"/>
                          <w:szCs w:val="24"/>
                          <w:lang w:eastAsia="lt-LT"/>
                        </w:rPr>
                      </w:pPr>
                      <w:r>
                        <w:rPr>
                          <w:color w:val="000000"/>
                          <w:kern w:val="2"/>
                          <w:szCs w:val="24"/>
                          <w:lang w:eastAsia="lt-LT"/>
                        </w:rPr>
                        <w:t>„</w:t>
                      </w:r>
                      <w:sdt>
                        <w:sdtPr>
                          <w:alias w:val="Numeris"/>
                          <w:tag w:val="nr_aed8b4f24a5f4c85a62fb368a8a02aaf"/>
                          <w:lock w:val="sdtLocked"/>
                          <w:richText/>
                        </w:sdtPr>
                        <w:sdtContent>
                          <w:r>
                            <w:rPr>
                              <w:rFonts w:eastAsia="Andale Sans UI"/>
                              <w:kern w:val="2"/>
                              <w:szCs w:val="24"/>
                              <w:lang w:eastAsia="ar-SA"/>
                            </w:rPr>
                            <w:t>196</w:t>
                          </w:r>
                        </w:sdtContent>
                      </w:sdt>
                      <w:r>
                        <w:rPr>
                          <w:rFonts w:eastAsia="Andale Sans UI"/>
                          <w:kern w:val="2"/>
                          <w:szCs w:val="24"/>
                          <w:lang w:eastAsia="ar-SA"/>
                        </w:rPr>
                        <w:t>. Meras, išeidamas atostogų, išleisdžia potvarkį. Potvarkyje nurodomas vicemeras (-ai) pavaduosiantis (-ys) merą jo atostogų metu. Mero atostogų, ligos metu ar kitais atvejais, kai meras dėl pateisinamų priežasčių negali vykdyti savo pareigų, Vietos savivaldos įstatyme nustatytas funkcijas vykdo Tarybos iš anksto paskirtas Tarybos narys. Tarybos nariai apie mero atostogas nedelsiant informuojami per DVS pateikiant susipažinti atitinkamą potvarkį.</w:t>
                      </w:r>
                      <w:r>
                        <w:rPr>
                          <w:color w:val="000000"/>
                          <w:kern w:val="2"/>
                          <w:szCs w:val="24"/>
                          <w:lang w:eastAsia="lt-LT"/>
                        </w:rPr>
                        <w:t>“</w:t>
                      </w:r>
                    </w:p>
                    <w:p w14:paraId="5E365F75" w14:textId="77777777">
                      <w:pPr>
                        <w:jc w:val="both"/>
                        <w:rPr>
                          <w:caps/>
                          <w:color w:val="000000"/>
                          <w:sz w:val="27"/>
                          <w:szCs w:val="27"/>
                          <w:lang w:eastAsia="lt-LT"/>
                        </w:rPr>
                      </w:pPr>
                    </w:p>
                  </w:sdtContent>
                </w:sdt>
              </w:sdtContent>
            </w:sdt>
          </w:sdtContent>
        </w:sdt>
        <w:sdt>
          <w:sdtPr>
            <w:alias w:val="signatura"/>
            <w:tag w:val="part_6b1efaae016d4315b91d95d6dcd2e29d"/>
            <w:lock w:val="sdtLocked"/>
            <w:richText/>
          </w:sdtPr>
          <w:sdtContent>
            <w:p w14:paraId="1A42534D" w14:textId="4F4DE43B">
              <w:pPr>
                <w:widowControl w:val="0"/>
                <w:suppressAutoHyphens/>
                <w:jc w:val="both"/>
                <w:rPr>
                  <w:rFonts w:eastAsia="Andale Sans UI"/>
                  <w:bCs/>
                  <w:kern w:val="2"/>
                  <w:szCs w:val="24"/>
                  <w:lang w:eastAsia="ar-SA"/>
                </w:rPr>
              </w:pPr>
              <w:r>
                <w:rPr>
                  <w:rFonts w:eastAsia="Andale Sans UI"/>
                  <w:bCs/>
                  <w:kern w:val="2"/>
                  <w:szCs w:val="24"/>
                  <w:lang w:eastAsia="ar-SA"/>
                </w:rPr>
                <w:t>Savivaldybės meras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851" w:right="567" w:bottom="568" w:left="1701" w:header="284"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A67C22" w14:textId="77777777">
      <w:pPr>
        <w:widowControl w:val="0"/>
        <w:suppressAutoHyphens/>
        <w:rPr>
          <w:rFonts w:eastAsia="Andale Sans UI"/>
          <w:kern w:val="2"/>
          <w:szCs w:val="24"/>
          <w:lang w:eastAsia="ar-SA"/>
        </w:rPr>
      </w:pPr>
      <w:r>
        <w:rPr>
          <w:rFonts w:eastAsia="Andale Sans UI"/>
          <w:kern w:val="2"/>
          <w:szCs w:val="24"/>
          <w:lang w:eastAsia="ar-SA"/>
        </w:rPr>
        <w:separator/>
      </w:r>
    </w:p>
  </w:endnote>
  <w:endnote w:type="continuationSeparator" w:id="0">
    <w:p w14:paraId="3B0A357B" w14:textId="77777777">
      <w:pPr>
        <w:widowControl w:val="0"/>
        <w:suppressAutoHyphens/>
        <w:rPr>
          <w:rFonts w:eastAsia="Andale Sans UI"/>
          <w:kern w:val="2"/>
          <w:szCs w:val="24"/>
          <w:lang w:eastAsia="ar-SA"/>
        </w:rPr>
      </w:pPr>
      <w:r>
        <w:rPr>
          <w:rFonts w:eastAsia="Andale Sans UI"/>
          <w:kern w:val="2"/>
          <w:szCs w:val="24"/>
          <w:lang w:eastAsia="ar-SA"/>
        </w:rPr>
        <w:continuationSeparator/>
      </w:r>
    </w:p>
  </w:endnote>
  <w:endnote w:type="continuationNotice" w:id="1">
    <w:p w14:paraId="05DA7351"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Calibri"/>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9C9362" w14:textId="77777777">
    <w:pPr>
      <w:widowControl w:val="0"/>
      <w:tabs>
        <w:tab w:val="center" w:pos="4819"/>
        <w:tab w:val="right" w:pos="9638"/>
      </w:tabs>
      <w:suppressAutoHyphens/>
      <w:rPr>
        <w:rFonts w:eastAsia="Andale Sans UI"/>
        <w:kern w:val="2"/>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1FDEF8" w14:textId="77777777">
    <w:pPr>
      <w:widowControl w:val="0"/>
      <w:tabs>
        <w:tab w:val="center" w:pos="4819"/>
        <w:tab w:val="right" w:pos="9638"/>
      </w:tabs>
      <w:suppressAutoHyphens/>
      <w:rPr>
        <w:rFonts w:eastAsia="Andale Sans UI"/>
        <w:kern w:val="2"/>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D9AB22" w14:textId="77777777">
    <w:pPr>
      <w:widowControl w:val="0"/>
      <w:tabs>
        <w:tab w:val="center" w:pos="4819"/>
        <w:tab w:val="right" w:pos="9638"/>
      </w:tabs>
      <w:suppressAutoHyphens/>
      <w:rPr>
        <w:rFonts w:eastAsia="Andale Sans UI"/>
        <w:kern w:val="2"/>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0CF351" w14:textId="77777777">
      <w:pPr>
        <w:widowControl w:val="0"/>
        <w:suppressAutoHyphens/>
        <w:rPr>
          <w:rFonts w:eastAsia="Andale Sans UI"/>
          <w:kern w:val="2"/>
          <w:szCs w:val="24"/>
          <w:lang w:eastAsia="ar-SA"/>
        </w:rPr>
      </w:pPr>
      <w:r>
        <w:rPr>
          <w:rFonts w:eastAsia="Andale Sans UI"/>
          <w:kern w:val="2"/>
          <w:szCs w:val="24"/>
          <w:lang w:eastAsia="ar-SA"/>
        </w:rPr>
        <w:separator/>
      </w:r>
    </w:p>
  </w:footnote>
  <w:footnote w:type="continuationSeparator" w:id="0">
    <w:p w14:paraId="613D3092" w14:textId="77777777">
      <w:pPr>
        <w:widowControl w:val="0"/>
        <w:suppressAutoHyphens/>
        <w:rPr>
          <w:rFonts w:eastAsia="Andale Sans UI"/>
          <w:kern w:val="2"/>
          <w:szCs w:val="24"/>
          <w:lang w:eastAsia="ar-SA"/>
        </w:rPr>
      </w:pPr>
      <w:r>
        <w:rPr>
          <w:rFonts w:eastAsia="Andale Sans UI"/>
          <w:kern w:val="2"/>
          <w:szCs w:val="24"/>
          <w:lang w:eastAsia="ar-SA"/>
        </w:rPr>
        <w:continuationSeparator/>
      </w:r>
    </w:p>
  </w:footnote>
  <w:footnote w:type="continuationNotice" w:id="1">
    <w:p w14:paraId="75C5B5AE"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C0419C" w14:textId="77777777">
    <w:pPr>
      <w:widowControl w:val="0"/>
      <w:tabs>
        <w:tab w:val="center" w:pos="4819"/>
        <w:tab w:val="right" w:pos="9638"/>
      </w:tabs>
      <w:suppressAutoHyphens/>
      <w:rPr>
        <w:rFonts w:eastAsia="Andale Sans UI"/>
        <w:kern w:val="2"/>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2D40AC" w14:textId="77777777">
    <w:pPr>
      <w:widowControl w:val="0"/>
      <w:tabs>
        <w:tab w:val="center" w:pos="4819"/>
        <w:tab w:val="right" w:pos="9638"/>
      </w:tabs>
      <w:suppressAutoHyphens/>
      <w:jc w:val="center"/>
      <w:rPr>
        <w:rFonts w:eastAsia="Andale Sans UI"/>
        <w:kern w:val="2"/>
        <w:szCs w:val="24"/>
        <w:lang w:eastAsia="ar-SA"/>
      </w:rPr>
    </w:pPr>
    <w:r>
      <w:rPr>
        <w:rFonts w:eastAsia="Andale Sans UI"/>
        <w:kern w:val="2"/>
        <w:szCs w:val="24"/>
        <w:lang w:eastAsia="ar-SA"/>
      </w:rPr>
      <w:fldChar w:fldCharType="begin"/>
    </w:r>
    <w:r>
      <w:rPr>
        <w:rFonts w:eastAsia="Andale Sans UI"/>
        <w:kern w:val="2"/>
        <w:szCs w:val="24"/>
        <w:lang w:eastAsia="ar-SA"/>
      </w:rPr>
      <w:instrText>PAGE   \* MERGEFORMAT</w:instrText>
    </w:r>
    <w:r>
      <w:rPr>
        <w:rFonts w:eastAsia="Andale Sans UI"/>
        <w:kern w:val="2"/>
        <w:szCs w:val="24"/>
        <w:lang w:eastAsia="ar-SA"/>
      </w:rPr>
      <w:fldChar w:fldCharType="separate"/>
    </w:r>
    <w:r>
      <w:rPr>
        <w:rFonts w:eastAsia="Andale Sans UI"/>
        <w:kern w:val="2"/>
        <w:szCs w:val="24"/>
        <w:lang w:eastAsia="ar-SA"/>
      </w:rPr>
      <w:t>2</w:t>
    </w:r>
    <w:r>
      <w:rPr>
        <w:rFonts w:eastAsia="Andale Sans UI"/>
        <w:kern w:val="2"/>
        <w:szCs w:val="24"/>
        <w:lang w:eastAsia="ar-SA"/>
      </w:rPr>
      <w:fldChar w:fldCharType="end"/>
    </w:r>
  </w:p>
  <w:p w14:paraId="5816F48E" w14:textId="77777777">
    <w:pPr>
      <w:widowControl w:val="0"/>
      <w:tabs>
        <w:tab w:val="center" w:pos="4819"/>
        <w:tab w:val="right" w:pos="9638"/>
      </w:tabs>
      <w:suppressAutoHyphens/>
      <w:rPr>
        <w:rFonts w:eastAsia="Andale Sans UI"/>
        <w:kern w:val="2"/>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55E6F8" w14:textId="6ADDC095">
    <w:pPr>
      <w:widowControl w:val="0"/>
      <w:tabs>
        <w:tab w:val="center" w:pos="4819"/>
        <w:tab w:val="right" w:pos="9638"/>
      </w:tabs>
      <w:suppressAutoHyphens/>
      <w:rPr>
        <w:rFonts w:eastAsia="Andale Sans UI"/>
        <w:kern w:val="2"/>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00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BA4CF7"/>
  <w15:chartTrackingRefBased/>
  <w15:docId w15:val="{6F8FF3F2-88F9-4473-9B03-90194171268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5349444">
      <w:bodyDiv w:val="1"/>
      <w:marLeft w:val="0"/>
      <w:marRight w:val="0"/>
      <w:marTop w:val="0"/>
      <w:marBottom w:val="0"/>
      <w:divBdr>
        <w:top w:val="none" w:sz="0" w:space="0" w:color="auto"/>
        <w:left w:val="none" w:sz="0" w:space="0" w:color="auto"/>
        <w:bottom w:val="none" w:sz="0" w:space="0" w:color="auto"/>
        <w:right w:val="none" w:sz="0" w:space="0" w:color="auto"/>
      </w:divBdr>
      <w:divsChild>
        <w:div w:id="454829166">
          <w:marLeft w:val="0"/>
          <w:marRight w:val="0"/>
          <w:marTop w:val="0"/>
          <w:marBottom w:val="0"/>
          <w:divBdr>
            <w:top w:val="none" w:sz="0" w:space="0" w:color="auto"/>
            <w:left w:val="none" w:sz="0" w:space="0" w:color="auto"/>
            <w:bottom w:val="none" w:sz="0" w:space="0" w:color="auto"/>
            <w:right w:val="none" w:sz="0" w:space="0" w:color="auto"/>
          </w:divBdr>
        </w:div>
        <w:div w:id="668362919">
          <w:marLeft w:val="0"/>
          <w:marRight w:val="0"/>
          <w:marTop w:val="0"/>
          <w:marBottom w:val="0"/>
          <w:divBdr>
            <w:top w:val="none" w:sz="0" w:space="0" w:color="auto"/>
            <w:left w:val="none" w:sz="0" w:space="0" w:color="auto"/>
            <w:bottom w:val="none" w:sz="0" w:space="0" w:color="auto"/>
            <w:right w:val="none" w:sz="0" w:space="0" w:color="auto"/>
          </w:divBdr>
        </w:div>
        <w:div w:id="932516182">
          <w:marLeft w:val="0"/>
          <w:marRight w:val="0"/>
          <w:marTop w:val="0"/>
          <w:marBottom w:val="0"/>
          <w:divBdr>
            <w:top w:val="none" w:sz="0" w:space="0" w:color="auto"/>
            <w:left w:val="none" w:sz="0" w:space="0" w:color="auto"/>
            <w:bottom w:val="none" w:sz="0" w:space="0" w:color="auto"/>
            <w:right w:val="none" w:sz="0" w:space="0" w:color="auto"/>
          </w:divBdr>
        </w:div>
        <w:div w:id="1063483216">
          <w:marLeft w:val="0"/>
          <w:marRight w:val="0"/>
          <w:marTop w:val="0"/>
          <w:marBottom w:val="0"/>
          <w:divBdr>
            <w:top w:val="none" w:sz="0" w:space="0" w:color="auto"/>
            <w:left w:val="none" w:sz="0" w:space="0" w:color="auto"/>
            <w:bottom w:val="none" w:sz="0" w:space="0" w:color="auto"/>
            <w:right w:val="none" w:sz="0" w:space="0" w:color="auto"/>
          </w:divBdr>
        </w:div>
        <w:div w:id="1464230343">
          <w:marLeft w:val="0"/>
          <w:marRight w:val="0"/>
          <w:marTop w:val="0"/>
          <w:marBottom w:val="0"/>
          <w:divBdr>
            <w:top w:val="none" w:sz="0" w:space="0" w:color="auto"/>
            <w:left w:val="none" w:sz="0" w:space="0" w:color="auto"/>
            <w:bottom w:val="none" w:sz="0" w:space="0" w:color="auto"/>
            <w:right w:val="none" w:sz="0" w:space="0" w:color="auto"/>
          </w:divBdr>
        </w:div>
      </w:divsChild>
    </w:div>
    <w:div w:id="395400871">
      <w:bodyDiv w:val="1"/>
      <w:marLeft w:val="0"/>
      <w:marRight w:val="0"/>
      <w:marTop w:val="0"/>
      <w:marBottom w:val="0"/>
      <w:divBdr>
        <w:top w:val="none" w:sz="0" w:space="0" w:color="auto"/>
        <w:left w:val="none" w:sz="0" w:space="0" w:color="auto"/>
        <w:bottom w:val="none" w:sz="0" w:space="0" w:color="auto"/>
        <w:right w:val="none" w:sz="0" w:space="0" w:color="auto"/>
      </w:divBdr>
    </w:div>
    <w:div w:id="683478045">
      <w:bodyDiv w:val="1"/>
      <w:marLeft w:val="0"/>
      <w:marRight w:val="0"/>
      <w:marTop w:val="0"/>
      <w:marBottom w:val="0"/>
      <w:divBdr>
        <w:top w:val="none" w:sz="0" w:space="0" w:color="auto"/>
        <w:left w:val="none" w:sz="0" w:space="0" w:color="auto"/>
        <w:bottom w:val="none" w:sz="0" w:space="0" w:color="auto"/>
        <w:right w:val="none" w:sz="0" w:space="0" w:color="auto"/>
      </w:divBdr>
      <w:divsChild>
        <w:div w:id="685448175">
          <w:marLeft w:val="0"/>
          <w:marRight w:val="0"/>
          <w:marTop w:val="0"/>
          <w:marBottom w:val="0"/>
          <w:divBdr>
            <w:top w:val="none" w:sz="0" w:space="0" w:color="auto"/>
            <w:left w:val="none" w:sz="0" w:space="0" w:color="auto"/>
            <w:bottom w:val="none" w:sz="0" w:space="0" w:color="auto"/>
            <w:right w:val="none" w:sz="0" w:space="0" w:color="auto"/>
          </w:divBdr>
          <w:divsChild>
            <w:div w:id="825703569">
              <w:marLeft w:val="0"/>
              <w:marRight w:val="0"/>
              <w:marTop w:val="0"/>
              <w:marBottom w:val="0"/>
              <w:divBdr>
                <w:top w:val="none" w:sz="0" w:space="0" w:color="auto"/>
                <w:left w:val="none" w:sz="0" w:space="0" w:color="auto"/>
                <w:bottom w:val="none" w:sz="0" w:space="0" w:color="auto"/>
                <w:right w:val="none" w:sz="0" w:space="0" w:color="auto"/>
              </w:divBdr>
              <w:divsChild>
                <w:div w:id="1484618625">
                  <w:marLeft w:val="0"/>
                  <w:marRight w:val="0"/>
                  <w:marTop w:val="0"/>
                  <w:marBottom w:val="0"/>
                  <w:divBdr>
                    <w:top w:val="none" w:sz="0" w:space="0" w:color="auto"/>
                    <w:left w:val="none" w:sz="0" w:space="0" w:color="auto"/>
                    <w:bottom w:val="none" w:sz="0" w:space="0" w:color="auto"/>
                    <w:right w:val="none" w:sz="0" w:space="0" w:color="auto"/>
                  </w:divBdr>
                  <w:divsChild>
                    <w:div w:id="1093166857">
                      <w:marLeft w:val="0"/>
                      <w:marRight w:val="0"/>
                      <w:marTop w:val="0"/>
                      <w:marBottom w:val="0"/>
                      <w:divBdr>
                        <w:top w:val="none" w:sz="0" w:space="0" w:color="auto"/>
                        <w:left w:val="none" w:sz="0" w:space="0" w:color="auto"/>
                        <w:bottom w:val="none" w:sz="0" w:space="0" w:color="auto"/>
                        <w:right w:val="none" w:sz="0" w:space="0" w:color="auto"/>
                      </w:divBdr>
                      <w:divsChild>
                        <w:div w:id="1691880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5752621">
      <w:bodyDiv w:val="1"/>
      <w:marLeft w:val="0"/>
      <w:marRight w:val="0"/>
      <w:marTop w:val="0"/>
      <w:marBottom w:val="0"/>
      <w:divBdr>
        <w:top w:val="none" w:sz="0" w:space="0" w:color="auto"/>
        <w:left w:val="none" w:sz="0" w:space="0" w:color="auto"/>
        <w:bottom w:val="none" w:sz="0" w:space="0" w:color="auto"/>
        <w:right w:val="none" w:sz="0" w:space="0" w:color="auto"/>
      </w:divBdr>
    </w:div>
    <w:div w:id="962689240">
      <w:bodyDiv w:val="1"/>
      <w:marLeft w:val="0"/>
      <w:marRight w:val="0"/>
      <w:marTop w:val="0"/>
      <w:marBottom w:val="0"/>
      <w:divBdr>
        <w:top w:val="none" w:sz="0" w:space="0" w:color="auto"/>
        <w:left w:val="none" w:sz="0" w:space="0" w:color="auto"/>
        <w:bottom w:val="none" w:sz="0" w:space="0" w:color="auto"/>
        <w:right w:val="none" w:sz="0" w:space="0" w:color="auto"/>
      </w:divBdr>
    </w:div>
    <w:div w:id="1103301796">
      <w:bodyDiv w:val="1"/>
      <w:marLeft w:val="0"/>
      <w:marRight w:val="0"/>
      <w:marTop w:val="0"/>
      <w:marBottom w:val="0"/>
      <w:divBdr>
        <w:top w:val="none" w:sz="0" w:space="0" w:color="auto"/>
        <w:left w:val="none" w:sz="0" w:space="0" w:color="auto"/>
        <w:bottom w:val="none" w:sz="0" w:space="0" w:color="auto"/>
        <w:right w:val="none" w:sz="0" w:space="0" w:color="auto"/>
      </w:divBdr>
    </w:div>
    <w:div w:id="1456219524">
      <w:bodyDiv w:val="1"/>
      <w:marLeft w:val="0"/>
      <w:marRight w:val="0"/>
      <w:marTop w:val="0"/>
      <w:marBottom w:val="0"/>
      <w:divBdr>
        <w:top w:val="none" w:sz="0" w:space="0" w:color="auto"/>
        <w:left w:val="none" w:sz="0" w:space="0" w:color="auto"/>
        <w:bottom w:val="none" w:sz="0" w:space="0" w:color="auto"/>
        <w:right w:val="none" w:sz="0" w:space="0" w:color="auto"/>
      </w:divBdr>
      <w:divsChild>
        <w:div w:id="515969147">
          <w:marLeft w:val="0"/>
          <w:marRight w:val="0"/>
          <w:marTop w:val="0"/>
          <w:marBottom w:val="0"/>
          <w:divBdr>
            <w:top w:val="none" w:sz="0" w:space="0" w:color="auto"/>
            <w:left w:val="none" w:sz="0" w:space="0" w:color="auto"/>
            <w:bottom w:val="none" w:sz="0" w:space="0" w:color="auto"/>
            <w:right w:val="none" w:sz="0" w:space="0" w:color="auto"/>
          </w:divBdr>
          <w:divsChild>
            <w:div w:id="1117025142">
              <w:marLeft w:val="0"/>
              <w:marRight w:val="0"/>
              <w:marTop w:val="0"/>
              <w:marBottom w:val="0"/>
              <w:divBdr>
                <w:top w:val="none" w:sz="0" w:space="0" w:color="auto"/>
                <w:left w:val="none" w:sz="0" w:space="0" w:color="auto"/>
                <w:bottom w:val="none" w:sz="0" w:space="0" w:color="auto"/>
                <w:right w:val="none" w:sz="0" w:space="0" w:color="auto"/>
              </w:divBdr>
              <w:divsChild>
                <w:div w:id="1273898729">
                  <w:marLeft w:val="0"/>
                  <w:marRight w:val="0"/>
                  <w:marTop w:val="0"/>
                  <w:marBottom w:val="0"/>
                  <w:divBdr>
                    <w:top w:val="none" w:sz="0" w:space="0" w:color="auto"/>
                    <w:left w:val="none" w:sz="0" w:space="0" w:color="auto"/>
                    <w:bottom w:val="none" w:sz="0" w:space="0" w:color="auto"/>
                    <w:right w:val="none" w:sz="0" w:space="0" w:color="auto"/>
                  </w:divBdr>
                  <w:divsChild>
                    <w:div w:id="257520917">
                      <w:marLeft w:val="0"/>
                      <w:marRight w:val="0"/>
                      <w:marTop w:val="0"/>
                      <w:marBottom w:val="0"/>
                      <w:divBdr>
                        <w:top w:val="none" w:sz="0" w:space="0" w:color="auto"/>
                        <w:left w:val="none" w:sz="0" w:space="0" w:color="auto"/>
                        <w:bottom w:val="none" w:sz="0" w:space="0" w:color="auto"/>
                        <w:right w:val="none" w:sz="0" w:space="0" w:color="auto"/>
                      </w:divBdr>
                      <w:divsChild>
                        <w:div w:id="95722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6200584">
      <w:bodyDiv w:val="1"/>
      <w:marLeft w:val="0"/>
      <w:marRight w:val="0"/>
      <w:marTop w:val="0"/>
      <w:marBottom w:val="0"/>
      <w:divBdr>
        <w:top w:val="none" w:sz="0" w:space="0" w:color="auto"/>
        <w:left w:val="none" w:sz="0" w:space="0" w:color="auto"/>
        <w:bottom w:val="none" w:sz="0" w:space="0" w:color="auto"/>
        <w:right w:val="none" w:sz="0" w:space="0" w:color="auto"/>
      </w:divBdr>
      <w:divsChild>
        <w:div w:id="445346833">
          <w:marLeft w:val="0"/>
          <w:marRight w:val="0"/>
          <w:marTop w:val="0"/>
          <w:marBottom w:val="0"/>
          <w:divBdr>
            <w:top w:val="none" w:sz="0" w:space="0" w:color="auto"/>
            <w:left w:val="none" w:sz="0" w:space="0" w:color="auto"/>
            <w:bottom w:val="none" w:sz="0" w:space="0" w:color="auto"/>
            <w:right w:val="none" w:sz="0" w:space="0" w:color="auto"/>
          </w:divBdr>
        </w:div>
        <w:div w:id="1305963193">
          <w:marLeft w:val="0"/>
          <w:marRight w:val="0"/>
          <w:marTop w:val="0"/>
          <w:marBottom w:val="0"/>
          <w:divBdr>
            <w:top w:val="none" w:sz="0" w:space="0" w:color="auto"/>
            <w:left w:val="none" w:sz="0" w:space="0" w:color="auto"/>
            <w:bottom w:val="none" w:sz="0" w:space="0" w:color="auto"/>
            <w:right w:val="none" w:sz="0" w:space="0" w:color="auto"/>
          </w:divBdr>
        </w:div>
        <w:div w:id="1647129132">
          <w:marLeft w:val="0"/>
          <w:marRight w:val="0"/>
          <w:marTop w:val="0"/>
          <w:marBottom w:val="0"/>
          <w:divBdr>
            <w:top w:val="none" w:sz="0" w:space="0" w:color="auto"/>
            <w:left w:val="none" w:sz="0" w:space="0" w:color="auto"/>
            <w:bottom w:val="none" w:sz="0" w:space="0" w:color="auto"/>
            <w:right w:val="none" w:sz="0" w:space="0" w:color="auto"/>
          </w:divBdr>
        </w:div>
        <w:div w:id="16842375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fcea9fb90f94a4eb2ebb1884cb33ec8" PartId="b195ad6e6f7444e8ac6506c5d96e7e79">
    <Part Type="preambule" DocPartId="c1de783461f04b7d901991dc29b0511f" PartId="c9f3d26e6b73413a96af927ae96ccfcf"/>
    <Part Type="pastraipa" DocPartId="dd49330c6e4b4a9d9ed8a32b39a1d90b" PartId="13370fb5af7749a6b4ac34ec506d525c"/>
    <Part Type="punktas" Nr="1" Abbr="1 p." DocPartId="14ad4dad623a4e1484d2b97f93aa4696" PartId="b6e71151ed684c5c9c92010b096eb046">
      <Part Type="citata" DocPartId="62de63d8c6444a3983cebd0658297a53" PartId="d1d168bc7cf84aa184a49f548ce91a4d">
        <Part Type="punktas" Nr="23" Abbr="23 p." DocPartId="6e1511cd741f4898afe81d1dbcde18b7" PartId="6c3c5aac0c5846918cc715dc69daf7c9"/>
      </Part>
    </Part>
    <Part Type="punktas" Nr="2" Abbr="2 p." DocPartId="89de165bd3f94fec8eef2eb752bda138" PartId="b7394b8f60ed4d0b90ec0896bc6aa33b">
      <Part Type="citata" DocPartId="54b8b868e8f04f889ffcf1b9a8024b79" PartId="02dd14892f7d41898c31abb981ecdd22">
        <Part Type="punktas" Nr="37" Abbr="37 p." DocPartId="5b52133c746d4ef9aaac013ca8bb4e98" PartId="444ad2e00a544b44838fda21ac331761"/>
      </Part>
    </Part>
    <Part Type="punktas" Nr="3" Abbr="3 p." DocPartId="ae878c12b43d46cda63b7176cd97499a" PartId="73e1208f456445f18ad006e1218d048f">
      <Part Type="citata" DocPartId="bf4c3e418b7d451bbc3676cbe3a0c409" PartId="2cab60d41bd349df9df92adb5735cf43">
        <Part Type="punktas" Nr="149" Abbr="149 p." DocPartId="40fe9651876d4e1a88e3a491816ce5f7" PartId="debb11c60cb34d36a8c37ea6992944dc"/>
      </Part>
    </Part>
    <Part Type="punktas" Nr="4" Abbr="4 p." DocPartId="0e32045a0e404d09b7ee9fdb973f3b84" PartId="18315c36079140b294b0839d1ec8ac89">
      <Part Type="citata" DocPartId="96e9c6bded414aecbf8a45670033cbe2" PartId="77f45a91f27342a3aa44c1fc6ee3d310">
        <Part Type="punktas" Nr="164" Abbr="164 p." DocPartId="db0868d9369a479da7f3c7ccf5a5b95f" PartId="6a764b6dd06f4d89b946b82427d89252"/>
      </Part>
    </Part>
    <Part Type="punktas" Nr="5" Abbr="5 p." DocPartId="53312890fe23457ba1cc13f2e1890a1c" PartId="e38603cd1f7143cf9fc73bfcbce27578">
      <Part Type="citata" DocPartId="237d3e9b146049c38a24cb0f5ffdca3f" PartId="f5cb097bb691497987ff0b0a9d43ee3b">
        <Part Type="punktas" Nr="186" Abbr="186 p." DocPartId="435210d80fed4a1bb0a5ccc061953811" PartId="9abc016ec6464ac49fa05292ef37d0e1"/>
      </Part>
    </Part>
    <Part Type="punktas" Nr="6" Abbr="6 p." DocPartId="f19f2a4a072b4ac78cefbf3181e183f2" PartId="b1d2c148af77452d931f0ebb7bc1b8ed">
      <Part Type="citata" DocPartId="4a8d09259fe94d1bb3c32c26b2d16638" PartId="15e05fb315c14a7cbe9b67148144efd3">
        <Part Type="punktas" Nr="196" Abbr="196 p." DocPartId="73d44235e04f4bba939839e83dfa1078" PartId="aed8b4f24a5f4c85a62fb368a8a02aaf"/>
      </Part>
    </Part>
    <Part Type="signatura" DocPartId="5ab4a9b20e9542f891ba497ef4d1bc4f" PartId="6b1efaae016d4315b91d95d6dcd2e29d"/>
  </Part>
</Parts>
</file>

<file path=customXml/itemProps1.xml><?xml version="1.0" encoding="utf-8"?>
<ds:datastoreItem xmlns:ds="http://schemas.openxmlformats.org/officeDocument/2006/customXml" ds:itemID="{DEC30B4C-D3E6-4A86-8093-8F1081B4A2D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439</Words>
  <Characters>2990</Characters>
  <Application>Microsoft Office Word</Application>
  <DocSecurity>4</DocSecurity>
  <Lines>55</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2024-08-21T16:51:00Z</dcterms:created>
  <dc:creator>ARNAS ILGAUSKAS</dc:creator>
  <lastModifiedBy>adlibuser</lastModifiedBy>
  <lastPrinted>2022-05-19T05:53:00Z</lastPrinted>
  <dcterms:modified xsi:type="dcterms:W3CDTF">2024-08-21T16:51:00Z</dcterms:modified>
  <revision>2</revision>
</coreProperties>
</file>