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3d975baaf4b4302856c5c7c973b874a"/>
        <w:lock w:val="sdtLocked"/>
        <w:richText/>
      </w:sdtPr>
      <w:sdtContent>
        <w:p w14:paraId="0846D345" w14:textId="77777777">
          <w:pPr>
            <w:tabs>
              <w:tab w:val="center" w:pos="4819"/>
              <w:tab w:val="right" w:pos="9638"/>
            </w:tabs>
            <w:suppressAutoHyphens/>
            <w:jc w:val="right"/>
            <w:rPr>
              <w:rFonts w:cs="Calibri"/>
              <w:b/>
              <w:bCs/>
              <w:lang w:eastAsia="ar-SA"/>
            </w:rPr>
          </w:pPr>
          <w:r>
            <w:rPr>
              <w:rFonts w:cs="Calibri"/>
              <w:b/>
              <w:bCs/>
              <w:lang w:eastAsia="ar-SA"/>
            </w:rPr>
            <w:t>Projektas</w:t>
          </w:r>
        </w:p>
        <w:p w14:paraId="1171C66D" w14:textId="77777777">
          <w:pPr>
            <w:suppressAutoHyphens/>
            <w:jc w:val="right"/>
            <w:rPr>
              <w:rFonts w:cs="Calibri"/>
              <w:lang w:val="en-US" w:eastAsia="ar-SA"/>
            </w:rPr>
          </w:pPr>
        </w:p>
        <w:p w14:paraId="25A86170" w14:textId="77777777">
          <w:pPr>
            <w:suppressAutoHyphens/>
            <w:rPr>
              <w:rFonts w:cs="Calibri"/>
              <w:lang w:eastAsia="ar-SA"/>
            </w:rPr>
          </w:pPr>
        </w:p>
        <w:p w14:paraId="578C049C" w14:textId="6DE1E4CC">
          <w:pPr>
            <w:keepNext/>
            <w:tabs>
              <w:tab w:val="num" w:pos="432"/>
            </w:tabs>
            <w:suppressAutoHyphens/>
            <w:ind w:left="432" w:hanging="432"/>
            <w:jc w:val="center"/>
            <w:rPr>
              <w:b/>
              <w:bCs/>
              <w:szCs w:val="24"/>
              <w:lang w:eastAsia="ar-SA"/>
            </w:rPr>
          </w:pPr>
          <w:r>
            <w:rPr>
              <w:b/>
              <w:bCs/>
              <w:szCs w:val="24"/>
              <w:lang w:eastAsia="ar-SA"/>
            </w:rPr>
            <w:t>ŠIAULIŲ MIESTO SAVIVALDYBĖS TARYBA</w:t>
          </w:r>
        </w:p>
        <w:p w14:paraId="3199BDF3" w14:textId="77777777">
          <w:pPr>
            <w:suppressAutoHyphens/>
            <w:jc w:val="center"/>
            <w:rPr>
              <w:rFonts w:cs="Calibri"/>
              <w:szCs w:val="24"/>
              <w:lang w:eastAsia="ar-SA"/>
            </w:rPr>
          </w:pPr>
        </w:p>
        <w:p w14:paraId="7218CE9E" w14:textId="77777777">
          <w:pPr>
            <w:keepNext/>
            <w:tabs>
              <w:tab w:val="num" w:pos="432"/>
            </w:tabs>
            <w:suppressAutoHyphens/>
            <w:ind w:left="432" w:hanging="432"/>
            <w:jc w:val="center"/>
            <w:rPr>
              <w:b/>
              <w:bCs/>
              <w:szCs w:val="24"/>
              <w:lang w:eastAsia="ar-SA"/>
            </w:rPr>
          </w:pPr>
          <w:r>
            <w:rPr>
              <w:b/>
              <w:bCs/>
              <w:szCs w:val="24"/>
              <w:lang w:eastAsia="ar-SA"/>
            </w:rPr>
            <w:t>SPRENDIMAS</w:t>
          </w:r>
        </w:p>
        <w:p w14:paraId="3CBB7E35" w14:textId="5FF0AEFD">
          <w:pPr>
            <w:keepNext/>
            <w:tabs>
              <w:tab w:val="left" w:pos="1296"/>
            </w:tabs>
            <w:suppressAutoHyphens/>
            <w:ind w:left="432"/>
            <w:jc w:val="center"/>
            <w:rPr>
              <w:b/>
              <w:bCs/>
              <w:szCs w:val="24"/>
              <w:lang w:eastAsia="ar-SA"/>
            </w:rPr>
          </w:pPr>
          <w:r>
            <w:rPr>
              <w:b/>
              <w:bCs/>
              <w:szCs w:val="24"/>
              <w:lang w:eastAsia="ar-SA"/>
            </w:rPr>
            <w:t>DĖL ŠIAULIŲ MIESTO SAVIVALDYBĖS TARYBOS 2023 M. VASARIO 2 D. SPRENDIMO NR. T-2 „DĖL ŠIAULIŲ MIESTO SAVIVALDYBĖS 2023 METŲ BIUDŽETO PATVIRTINIMO“ PAKEITIMO</w:t>
          </w:r>
        </w:p>
        <w:p w14:paraId="7FE58600" w14:textId="77777777">
          <w:pPr>
            <w:suppressAutoHyphens/>
            <w:rPr>
              <w:rFonts w:cs="Calibri"/>
              <w:szCs w:val="24"/>
              <w:lang w:eastAsia="ar-SA"/>
            </w:rPr>
          </w:pPr>
        </w:p>
        <w:p w14:paraId="2352AA88" w14:textId="2225A8DA">
          <w:pPr>
            <w:suppressAutoHyphens/>
            <w:jc w:val="center"/>
            <w:rPr>
              <w:rFonts w:cs="Calibri"/>
              <w:szCs w:val="24"/>
              <w:lang w:eastAsia="ar-SA"/>
            </w:rPr>
          </w:pPr>
          <w:r>
            <w:rPr>
              <w:rFonts w:cs="Calibri"/>
              <w:szCs w:val="24"/>
              <w:lang w:eastAsia="ar-SA"/>
            </w:rPr>
            <w:t xml:space="preserve">2023 m.                d. Nr. T-</w:t>
          </w:r>
        </w:p>
        <w:p w14:paraId="3564F90D" w14:textId="77777777">
          <w:pPr>
            <w:suppressAutoHyphens/>
            <w:jc w:val="center"/>
            <w:rPr>
              <w:rFonts w:cs="Calibri"/>
              <w:szCs w:val="24"/>
              <w:lang w:eastAsia="ar-SA"/>
            </w:rPr>
          </w:pPr>
          <w:r>
            <w:rPr>
              <w:rFonts w:cs="Calibri"/>
              <w:szCs w:val="24"/>
              <w:lang w:eastAsia="ar-SA"/>
            </w:rPr>
            <w:t>Šiauliai</w:t>
          </w:r>
        </w:p>
        <w:p w14:paraId="7DB332CC" w14:textId="77777777">
          <w:pPr>
            <w:suppressAutoHyphens/>
            <w:jc w:val="both"/>
            <w:rPr>
              <w:rFonts w:cs="Calibri"/>
              <w:szCs w:val="24"/>
              <w:lang w:eastAsia="ar-SA"/>
            </w:rPr>
          </w:pPr>
        </w:p>
        <w:sdt>
          <w:sdtPr>
            <w:alias w:val="preambule"/>
            <w:tag w:val="part_a2a7d3a5d7d84b9c9ba864ebc161efea"/>
            <w:lock w:val="sdtLocked"/>
            <w:richText/>
          </w:sdtPr>
          <w:sdtContent>
            <w:p w14:paraId="5EB0BC76" w14:textId="1FC42CB8">
              <w:pPr>
                <w:ind w:firstLine="567"/>
                <w:jc w:val="both"/>
                <w:rPr>
                  <w:rFonts w:cs="Calibri"/>
                  <w:szCs w:val="24"/>
                  <w:lang w:eastAsia="ar-SA"/>
                </w:rPr>
              </w:pPr>
              <w:r>
                <w:rPr>
                  <w:rFonts w:cs="Calibri"/>
                  <w:szCs w:val="24"/>
                  <w:lang w:eastAsia="ar-SA"/>
                </w:rPr>
                <w:t>Vadovaudamasi Lietuvos Respublikos vietos savivaldos įstatymo 15 straipsnio 2 dalies 12 punktu ir 16 straipsnio 1 dalimi, Šiaulių miesto savivaldybės taryba n u s p r e n d ž i a:</w:t>
              </w:r>
            </w:p>
          </w:sdtContent>
        </w:sdt>
        <w:sdt>
          <w:sdtPr>
            <w:alias w:val="pastraipa"/>
            <w:tag w:val="part_ddc1eedd87eb4a1383a9c05893c5cd68"/>
            <w:lock w:val="sdtLocked"/>
            <w:richText/>
          </w:sdtPr>
          <w:sdtContent>
            <w:p w14:paraId="3D3ADA8D" w14:textId="41346701">
              <w:pPr>
                <w:suppressAutoHyphens/>
                <w:ind w:firstLine="567"/>
                <w:jc w:val="both"/>
                <w:rPr>
                  <w:rFonts w:cs="Calibri"/>
                  <w:szCs w:val="24"/>
                  <w:lang w:eastAsia="ar-SA"/>
                </w:rPr>
              </w:pPr>
              <w:r>
                <w:rPr>
                  <w:rFonts w:cs="Calibri"/>
                  <w:szCs w:val="24"/>
                  <w:lang w:eastAsia="ar-SA"/>
                </w:rPr>
                <w:t xml:space="preserve">Pakeisti Šiaulių miesto savivaldybės tarybos 2023 m. vasario 2 d. sprendimą Nr. T-2 „Dėl Šiaulių miesto savivaldybės 2023 metų biudžeto patvirtinimo“ ir išdėstyti jį nauja redakcija: </w:t>
              </w:r>
            </w:p>
            <w:p w14:paraId="31CAF8E0" w14:textId="44805DA5">
              <w:pPr>
                <w:suppressAutoHyphens/>
                <w:ind w:firstLine="567"/>
                <w:jc w:val="both"/>
                <w:rPr>
                  <w:rFonts w:cs="Calibri"/>
                  <w:szCs w:val="24"/>
                  <w:lang w:eastAsia="ar-SA"/>
                </w:rPr>
              </w:pPr>
            </w:p>
            <w:p w14:paraId="0B95603B" w14:textId="77777777">
              <w:pPr>
                <w:suppressAutoHyphens/>
                <w:ind w:firstLine="567"/>
                <w:jc w:val="both"/>
                <w:rPr>
                  <w:rFonts w:cs="Calibri"/>
                  <w:szCs w:val="24"/>
                  <w:lang w:eastAsia="ar-SA"/>
                </w:rPr>
              </w:pPr>
            </w:p>
            <w:sdt>
              <w:sdtPr>
                <w:alias w:val="citata"/>
                <w:tag w:val="part_0ff0a07199de4eb282f2bdc4b3d82e27"/>
                <w:lock w:val="sdtLocked"/>
                <w:richText/>
              </w:sdtPr>
              <w:sdtContent>
                <w:sdt>
                  <w:sdtPr>
                    <w:alias w:val="pagrindine"/>
                    <w:tag w:val="part_232fbfa24f0f45ae8f746588ae8eedf6"/>
                    <w:lock w:val="sdtLocked"/>
                    <w:richText/>
                  </w:sdtPr>
                  <w:sdtContent>
                    <w:p w14:paraId="557A06FC" w14:textId="5A9B90E7">
                      <w:pPr>
                        <w:suppressAutoHyphens/>
                        <w:ind w:firstLine="567"/>
                        <w:jc w:val="center"/>
                        <w:rPr>
                          <w:rFonts w:cs="Calibri"/>
                          <w:b/>
                          <w:bCs/>
                          <w:szCs w:val="24"/>
                          <w:lang w:eastAsia="ar-SA"/>
                        </w:rPr>
                      </w:pPr>
                      <w:r>
                        <w:rPr>
                          <w:rFonts w:cs="Calibri"/>
                          <w:b/>
                          <w:bCs/>
                          <w:szCs w:val="24"/>
                          <w:lang w:eastAsia="ar-SA"/>
                        </w:rPr>
                        <w:t>„ŠIAULIŲ MIESTO SAVIVALDYBĖS TARYBA</w:t>
                      </w:r>
                    </w:p>
                    <w:p w14:paraId="1D12D120" w14:textId="77777777">
                      <w:pPr>
                        <w:suppressAutoHyphens/>
                        <w:ind w:firstLine="567"/>
                        <w:jc w:val="center"/>
                        <w:rPr>
                          <w:rFonts w:cs="Calibri"/>
                          <w:b/>
                          <w:bCs/>
                          <w:szCs w:val="24"/>
                          <w:lang w:eastAsia="ar-SA"/>
                        </w:rPr>
                      </w:pPr>
                    </w:p>
                    <w:p w14:paraId="66B23D59" w14:textId="77777777">
                      <w:pPr>
                        <w:keepNext/>
                        <w:tabs>
                          <w:tab w:val="num" w:pos="432"/>
                        </w:tabs>
                        <w:suppressAutoHyphens/>
                        <w:ind w:left="432" w:hanging="432"/>
                        <w:jc w:val="center"/>
                        <w:rPr>
                          <w:b/>
                          <w:bCs/>
                          <w:lang w:eastAsia="ar-SA"/>
                        </w:rPr>
                      </w:pPr>
                      <w:r>
                        <w:rPr>
                          <w:b/>
                          <w:bCs/>
                          <w:lang w:eastAsia="ar-SA"/>
                        </w:rPr>
                        <w:t>SPRENDIMAS</w:t>
                      </w:r>
                    </w:p>
                    <w:p w14:paraId="5EE87C50" w14:textId="17EF1C36">
                      <w:pPr>
                        <w:keepNext/>
                        <w:tabs>
                          <w:tab w:val="left" w:pos="1296"/>
                        </w:tabs>
                        <w:suppressAutoHyphens/>
                        <w:ind w:left="432"/>
                        <w:jc w:val="center"/>
                        <w:rPr>
                          <w:b/>
                          <w:bCs/>
                          <w:lang w:eastAsia="ar-SA"/>
                        </w:rPr>
                      </w:pPr>
                      <w:r>
                        <w:rPr>
                          <w:b/>
                          <w:bCs/>
                          <w:lang w:eastAsia="ar-SA"/>
                        </w:rPr>
                        <w:t>DĖL ŠIAULIŲ MIESTO SAVIVALDYBĖS 2023 METŲ BIUDŽETO PATVIRTINIMO</w:t>
                      </w:r>
                    </w:p>
                    <w:p w14:paraId="18105FAE" w14:textId="77777777">
                      <w:pPr>
                        <w:suppressAutoHyphens/>
                        <w:rPr>
                          <w:rFonts w:cs="Calibri"/>
                          <w:lang w:eastAsia="ar-SA"/>
                        </w:rPr>
                      </w:pPr>
                    </w:p>
                    <w:sdt>
                      <w:sdtPr>
                        <w:alias w:val="preambule"/>
                        <w:tag w:val="part_0fdd91b6dddb4b45b090ab94143b8bfb"/>
                        <w:lock w:val="sdtLocked"/>
                        <w:richText/>
                      </w:sdtPr>
                      <w:sdtContent>
                        <w:p w14:paraId="7306E4A5" w14:textId="109F0B29">
                          <w:pPr>
                            <w:suppressAutoHyphens/>
                            <w:ind w:firstLine="567"/>
                            <w:jc w:val="both"/>
                            <w:rPr>
                              <w:rFonts w:cs="Calibri"/>
                              <w:lang w:eastAsia="ar-SA"/>
                            </w:rPr>
                          </w:pPr>
                          <w:r>
                            <w:rPr>
                              <w:rFonts w:cs="Calibri"/>
                              <w:lang w:eastAsia="ar-SA"/>
                            </w:rPr>
                            <w:t>Vadovaudamasi Lietuvos Respublikos vietos savivaldos įstatymo 15 straipsnio 2 dalies 12 punktu, 16 straipsnio 1 dalimi, Lietuvos Respublikos biudžeto sandaros įstatymo 26 straipsnio 4 dalimi, Lietuvos Respublikos 2023 metų valstybės biudžeto ir savivaldybių biudžetų finansinių rodiklių patvirtinimo įstatymu, Šiaulių miesto savivaldybės taryba n u s p r e n d ž i a:</w:t>
                          </w:r>
                        </w:p>
                      </w:sdtContent>
                    </w:sdt>
                    <w:sdt>
                      <w:sdtPr>
                        <w:alias w:val="1 p."/>
                        <w:tag w:val="part_f86ff1920fdf46ca93426dd1a82dbc26"/>
                        <w:lock w:val="sdtLocked"/>
                        <w:richText/>
                      </w:sdtPr>
                      <w:sdtContent>
                        <w:p w14:paraId="6A7E82C1" w14:textId="13410231">
                          <w:pPr>
                            <w:suppressAutoHyphens/>
                            <w:ind w:firstLine="567"/>
                            <w:jc w:val="both"/>
                            <w:rPr>
                              <w:rFonts w:cs="Calibri"/>
                              <w:lang w:eastAsia="ar-SA"/>
                            </w:rPr>
                          </w:pPr>
                          <w:sdt>
                            <w:sdtPr>
                              <w:alias w:val="Numeris"/>
                              <w:tag w:val="nr_f86ff1920fdf46ca93426dd1a82dbc26"/>
                              <w:lock w:val="sdtLocked"/>
                              <w:richText/>
                            </w:sdtPr>
                            <w:sdtContent>
                              <w:r>
                                <w:rPr>
                                  <w:rFonts w:cs="Calibri"/>
                                  <w:lang w:eastAsia="ar-SA"/>
                                </w:rPr>
                                <w:t>1</w:t>
                              </w:r>
                            </w:sdtContent>
                          </w:sdt>
                          <w:r>
                            <w:rPr>
                              <w:rFonts w:cs="Calibri"/>
                              <w:lang w:eastAsia="ar-SA"/>
                            </w:rPr>
                            <w:t xml:space="preserve">. Patvirtinti Šiaulių miesto savivaldybės 2023 metų biudžetą (toliau </w:t>
                          </w:r>
                          <w:r>
                            <w:rPr>
                              <w:rFonts w:cs="Calibri"/>
                              <w:szCs w:val="24"/>
                              <w:lang w:eastAsia="ar-SA"/>
                            </w:rPr>
                            <w:t>– savivaldybės biudžetas):</w:t>
                          </w:r>
                        </w:p>
                        <w:sdt>
                          <w:sdtPr>
                            <w:alias w:val="1.1 pp."/>
                            <w:tag w:val="part_b3dbbd3985854898ad0f7b03f09a2bcb"/>
                            <w:lock w:val="sdtLocked"/>
                            <w:richText/>
                          </w:sdtPr>
                          <w:sdtContent>
                            <w:p w14:paraId="126B06D9" w14:textId="698B22CE">
                              <w:pPr>
                                <w:suppressAutoHyphens/>
                                <w:ind w:firstLine="567"/>
                                <w:jc w:val="both"/>
                                <w:rPr>
                                  <w:rFonts w:cs="Calibri"/>
                                  <w:szCs w:val="24"/>
                                  <w:lang w:eastAsia="ar-SA"/>
                                </w:rPr>
                              </w:pPr>
                              <w:sdt>
                                <w:sdtPr>
                                  <w:alias w:val="Numeris"/>
                                  <w:tag w:val="nr_b3dbbd3985854898ad0f7b03f09a2bcb"/>
                                  <w:lock w:val="sdtLocked"/>
                                  <w:richText/>
                                </w:sdtPr>
                                <w:sdtContent>
                                  <w:r>
                                    <w:rPr>
                                      <w:rFonts w:cs="Calibri"/>
                                      <w:lang w:eastAsia="ar-SA"/>
                                    </w:rPr>
                                    <w:t>1.1</w:t>
                                  </w:r>
                                </w:sdtContent>
                              </w:sdt>
                              <w:r>
                                <w:rPr>
                                  <w:rFonts w:cs="Calibri"/>
                                  <w:lang w:eastAsia="ar-SA"/>
                                </w:rPr>
                                <w:t xml:space="preserve">. pajamų – 210 829 933,79 Eur, </w:t>
                              </w:r>
                              <w:r>
                                <w:rPr>
                                  <w:rFonts w:cs="Calibri"/>
                                  <w:szCs w:val="24"/>
                                  <w:lang w:eastAsia="ar-SA"/>
                                </w:rPr>
                                <w:t>lėšų likutį ataskaitinio laikotarpio pabaigoje (2022-12-31)</w:t>
                              </w:r>
                              <w:r>
                                <w:rPr>
                                  <w:szCs w:val="24"/>
                                  <w:lang w:eastAsia="lt-LT"/>
                                </w:rPr>
                                <w:t xml:space="preserve"> </w:t>
                              </w:r>
                              <w:r>
                                <w:rPr>
                                  <w:rFonts w:cs="Calibri"/>
                                  <w:lang w:eastAsia="ar-SA"/>
                                </w:rPr>
                                <w:t xml:space="preserve">– 22 684 019,20 </w:t>
                              </w:r>
                              <w:r>
                                <w:rPr>
                                  <w:rFonts w:cs="Calibri"/>
                                  <w:szCs w:val="24"/>
                                  <w:lang w:eastAsia="ar-SA"/>
                                </w:rPr>
                                <w:t>Eur, skolintų lėšų – 11 700 600,00 Eur (1 priedas)</w:t>
                              </w:r>
                              <w:r>
                                <w:rPr>
                                  <w:rFonts w:cs="Calibri"/>
                                  <w:lang w:eastAsia="ar-SA"/>
                                </w:rPr>
                                <w:t xml:space="preserve">; </w:t>
                              </w:r>
                            </w:p>
                          </w:sdtContent>
                        </w:sdt>
                        <w:sdt>
                          <w:sdtPr>
                            <w:alias w:val="1.2 pp."/>
                            <w:tag w:val="part_c6b209b5ee6e4ae4baac6bbeec0135b9"/>
                            <w:lock w:val="sdtLocked"/>
                            <w:richText/>
                          </w:sdtPr>
                          <w:sdtContent>
                            <w:p w14:paraId="2EF2796A" w14:textId="01E98720">
                              <w:pPr>
                                <w:suppressAutoHyphens/>
                                <w:ind w:firstLine="567"/>
                                <w:jc w:val="both"/>
                                <w:rPr>
                                  <w:rFonts w:cs="Calibri"/>
                                  <w:lang w:eastAsia="ar-SA"/>
                                </w:rPr>
                              </w:pPr>
                              <w:sdt>
                                <w:sdtPr>
                                  <w:alias w:val="Numeris"/>
                                  <w:tag w:val="nr_c6b209b5ee6e4ae4baac6bbeec0135b9"/>
                                  <w:lock w:val="sdtLocked"/>
                                  <w:richText/>
                                </w:sdtPr>
                                <w:sdtContent>
                                  <w:r>
                                    <w:rPr>
                                      <w:rFonts w:cs="Calibri"/>
                                      <w:lang w:eastAsia="ar-SA"/>
                                    </w:rPr>
                                    <w:t>1.2</w:t>
                                  </w:r>
                                </w:sdtContent>
                              </w:sdt>
                              <w:r>
                                <w:rPr>
                                  <w:rFonts w:cs="Calibri"/>
                                  <w:lang w:eastAsia="ar-SA"/>
                                </w:rPr>
                                <w:t>. asignavimus pagal programas, asignavimų valdytojus ir lėšų šaltinius –</w:t>
                              </w:r>
                              <w:r>
                                <w:rPr>
                                  <w:rFonts w:cs="Calibri"/>
                                  <w:color w:val="FF0000"/>
                                  <w:lang w:eastAsia="ar-SA"/>
                                </w:rPr>
                                <w:t xml:space="preserve"> </w:t>
                              </w:r>
                              <w:r>
                                <w:rPr>
                                  <w:rFonts w:cs="Calibri"/>
                                  <w:lang w:eastAsia="ar-SA"/>
                                </w:rPr>
                                <w:t>245 214 552,99 Eur, iš jų darbo užmokesčiui – 105 433 435,76 Eur (2, 3 priedai);</w:t>
                              </w:r>
                            </w:p>
                          </w:sdtContent>
                        </w:sdt>
                        <w:sdt>
                          <w:sdtPr>
                            <w:alias w:val="1.3 pp."/>
                            <w:tag w:val="part_56f31ba1e42f4c3b9b2f169b52e1265c"/>
                            <w:lock w:val="sdtLocked"/>
                            <w:richText/>
                          </w:sdtPr>
                          <w:sdtContent>
                            <w:p w14:paraId="2728B565" w14:textId="77777777">
                              <w:pPr>
                                <w:suppressAutoHyphens/>
                                <w:ind w:firstLine="567"/>
                                <w:jc w:val="both"/>
                                <w:rPr>
                                  <w:rFonts w:cs="Calibri"/>
                                  <w:lang w:eastAsia="ar-SA"/>
                                </w:rPr>
                              </w:pPr>
                              <w:sdt>
                                <w:sdtPr>
                                  <w:alias w:val="Numeris"/>
                                  <w:tag w:val="nr_56f31ba1e42f4c3b9b2f169b52e1265c"/>
                                  <w:lock w:val="sdtLocked"/>
                                  <w:richText/>
                                </w:sdtPr>
                                <w:sdtContent>
                                  <w:r>
                                    <w:rPr>
                                      <w:rFonts w:cs="Calibri"/>
                                      <w:lang w:eastAsia="ar-SA"/>
                                    </w:rPr>
                                    <w:t>1.3</w:t>
                                  </w:r>
                                </w:sdtContent>
                              </w:sdt>
                              <w:r>
                                <w:rPr>
                                  <w:rFonts w:cs="Calibri"/>
                                  <w:lang w:eastAsia="ar-SA"/>
                                </w:rPr>
                                <w:t xml:space="preserve">. savivaldybės planuojamą metinę įsiskolinimų (mokėtinų sumų, išskyrus sumas paskoloms grąžinti) pokyčio sumą  2023 m. gruodžio 31 d. </w:t>
                              </w:r>
                              <w:r>
                                <w:rPr>
                                  <w:rFonts w:cs="Calibri"/>
                                  <w:szCs w:val="24"/>
                                  <w:lang w:eastAsia="ar-SA"/>
                                </w:rPr>
                                <w:t>–</w:t>
                              </w:r>
                              <w:r>
                                <w:rPr>
                                  <w:rFonts w:cs="Calibri"/>
                                  <w:lang w:eastAsia="ar-SA"/>
                                </w:rPr>
                                <w:t xml:space="preserve"> 0,00 Eur. </w:t>
                              </w:r>
                            </w:p>
                          </w:sdtContent>
                        </w:sdt>
                      </w:sdtContent>
                    </w:sdt>
                    <w:sdt>
                      <w:sdtPr>
                        <w:alias w:val="2 p."/>
                        <w:tag w:val="part_baaa272619864792960ab9336da17fcc"/>
                        <w:lock w:val="sdtLocked"/>
                        <w:richText/>
                      </w:sdtPr>
                      <w:sdtContent>
                        <w:p w14:paraId="5FC3AE05" w14:textId="77777777">
                          <w:pPr>
                            <w:suppressAutoHyphens/>
                            <w:ind w:firstLine="567"/>
                            <w:jc w:val="both"/>
                            <w:rPr>
                              <w:rFonts w:cs="Calibri"/>
                              <w:lang w:eastAsia="ar-SA"/>
                            </w:rPr>
                          </w:pPr>
                          <w:sdt>
                            <w:sdtPr>
                              <w:alias w:val="Numeris"/>
                              <w:tag w:val="nr_baaa272619864792960ab9336da17fcc"/>
                              <w:lock w:val="sdtLocked"/>
                              <w:richText/>
                            </w:sdtPr>
                            <w:sdtContent>
                              <w:r>
                                <w:rPr>
                                  <w:rFonts w:cs="Calibri"/>
                                  <w:lang w:eastAsia="ar-SA"/>
                                </w:rPr>
                                <w:t>2</w:t>
                              </w:r>
                            </w:sdtContent>
                          </w:sdt>
                          <w:r>
                            <w:rPr>
                              <w:rFonts w:cs="Calibri"/>
                              <w:lang w:eastAsia="ar-SA"/>
                            </w:rPr>
                            <w:t>. Nustatyti, kad:</w:t>
                          </w:r>
                        </w:p>
                        <w:sdt>
                          <w:sdtPr>
                            <w:alias w:val="2.1 pp."/>
                            <w:tag w:val="part_94fdc8da43c745a08c233eac3998fe78"/>
                            <w:lock w:val="sdtLocked"/>
                            <w:richText/>
                          </w:sdtPr>
                          <w:sdtContent>
                            <w:p w14:paraId="70F7D6D9" w14:textId="77777777">
                              <w:pPr>
                                <w:tabs>
                                  <w:tab w:val="left" w:pos="5812"/>
                                </w:tabs>
                                <w:suppressAutoHyphens/>
                                <w:ind w:firstLine="567"/>
                                <w:jc w:val="both"/>
                                <w:rPr>
                                  <w:rFonts w:cs="Calibri"/>
                                  <w:lang w:eastAsia="ar-SA"/>
                                </w:rPr>
                              </w:pPr>
                              <w:sdt>
                                <w:sdtPr>
                                  <w:alias w:val="Numeris"/>
                                  <w:tag w:val="nr_94fdc8da43c745a08c233eac3998fe78"/>
                                  <w:lock w:val="sdtLocked"/>
                                  <w:richText/>
                                </w:sdtPr>
                                <w:sdtContent>
                                  <w:r>
                                    <w:rPr>
                                      <w:rFonts w:cs="Calibri"/>
                                      <w:lang w:eastAsia="ar-SA"/>
                                    </w:rPr>
                                    <w:t>2.1</w:t>
                                  </w:r>
                                </w:sdtContent>
                              </w:sdt>
                              <w:r>
                                <w:rPr>
                                  <w:rFonts w:cs="Calibri"/>
                                  <w:lang w:eastAsia="ar-SA"/>
                                </w:rPr>
                                <w:t>. savivaldybės biudžeto asignavimų valdytojai išanalizuoja įsiskolinimų priežastis ir imasi priemonių įsiskolinimui sumažinti, o sudarydami ir tvirtindami 2023 metų išlaidų sąmatas, numato reikiamų asignavimų dalį 2023 m. sausio 1 d. esančiam įsiskolinimui už suteiktas paslaugas, atliktus darbus ir įsigytas prekes padengti;</w:t>
                              </w:r>
                            </w:p>
                          </w:sdtContent>
                        </w:sdt>
                        <w:sdt>
                          <w:sdtPr>
                            <w:alias w:val="2.2 pp."/>
                            <w:tag w:val="part_b226b682fa764e2b85f751399bfa5970"/>
                            <w:lock w:val="sdtLocked"/>
                            <w:richText/>
                          </w:sdtPr>
                          <w:sdtContent>
                            <w:p w14:paraId="6EFA2549" w14:textId="77777777">
                              <w:pPr>
                                <w:suppressAutoHyphens/>
                                <w:ind w:firstLine="567"/>
                                <w:jc w:val="both"/>
                                <w:rPr>
                                  <w:rFonts w:cs="Calibri"/>
                                  <w:lang w:eastAsia="ar-SA"/>
                                </w:rPr>
                              </w:pPr>
                              <w:sdt>
                                <w:sdtPr>
                                  <w:alias w:val="Numeris"/>
                                  <w:tag w:val="nr_b226b682fa764e2b85f751399bfa5970"/>
                                  <w:lock w:val="sdtLocked"/>
                                  <w:richText/>
                                </w:sdtPr>
                                <w:sdtContent>
                                  <w:r>
                                    <w:rPr>
                                      <w:rFonts w:cs="Calibri"/>
                                      <w:lang w:eastAsia="ar-SA"/>
                                    </w:rPr>
                                    <w:t>2.2</w:t>
                                  </w:r>
                                </w:sdtContent>
                              </w:sdt>
                              <w:r>
                                <w:rPr>
                                  <w:rFonts w:cs="Calibri"/>
                                  <w:lang w:eastAsia="ar-SA"/>
                                </w:rPr>
                                <w:t>. iš sutaupytų asignavimų išlaidoms pirmiausia turi būti dengiami įsiskolinimai;</w:t>
                              </w:r>
                            </w:p>
                          </w:sdtContent>
                        </w:sdt>
                        <w:sdt>
                          <w:sdtPr>
                            <w:alias w:val="2.3 pp."/>
                            <w:tag w:val="part_345d1fec97ee4960aa6f0b1b8c34cdb3"/>
                            <w:lock w:val="sdtLocked"/>
                            <w:richText/>
                          </w:sdtPr>
                          <w:sdtContent>
                            <w:p w14:paraId="0D755570" w14:textId="77777777">
                              <w:pPr>
                                <w:suppressAutoHyphens/>
                                <w:ind w:firstLine="567"/>
                                <w:jc w:val="both"/>
                                <w:rPr>
                                  <w:rFonts w:cs="Calibri"/>
                                  <w:lang w:eastAsia="ar-SA"/>
                                </w:rPr>
                              </w:pPr>
                              <w:sdt>
                                <w:sdtPr>
                                  <w:alias w:val="Numeris"/>
                                  <w:tag w:val="nr_345d1fec97ee4960aa6f0b1b8c34cdb3"/>
                                  <w:lock w:val="sdtLocked"/>
                                  <w:richText/>
                                </w:sdtPr>
                                <w:sdtContent>
                                  <w:r>
                                    <w:rPr>
                                      <w:rFonts w:cs="Calibri"/>
                                      <w:lang w:eastAsia="ar-SA"/>
                                    </w:rPr>
                                    <w:t>2.3</w:t>
                                  </w:r>
                                </w:sdtContent>
                              </w:sdt>
                              <w:r>
                                <w:rPr>
                                  <w:rFonts w:cs="Calibri"/>
                                  <w:lang w:eastAsia="ar-SA"/>
                                </w:rPr>
                                <w:t>. savivaldybės biudžeto asignavimai darbo užmokesčiui yra maksimalūs ir gali būti naudojami tik su darbo užmokesčiu susijusioms išlaidoms ir darbdavių išmokoms, kurios pervedamos ne per socialinio draudimo sistemą, finansuoti;</w:t>
                              </w:r>
                            </w:p>
                          </w:sdtContent>
                        </w:sdt>
                        <w:sdt>
                          <w:sdtPr>
                            <w:alias w:val="2.4 pp."/>
                            <w:tag w:val="part_17281982d99c41a38b182225931bffc1"/>
                            <w:lock w:val="sdtLocked"/>
                            <w:richText/>
                          </w:sdtPr>
                          <w:sdtContent>
                            <w:p w14:paraId="695B5D29" w14:textId="77777777">
                              <w:pPr>
                                <w:suppressAutoHyphens/>
                                <w:ind w:firstLine="567"/>
                                <w:jc w:val="both"/>
                                <w:rPr>
                                  <w:rFonts w:cs="Calibri"/>
                                  <w:lang w:eastAsia="ar-SA"/>
                                </w:rPr>
                              </w:pPr>
                              <w:sdt>
                                <w:sdtPr>
                                  <w:alias w:val="Numeris"/>
                                  <w:tag w:val="nr_17281982d99c41a38b182225931bffc1"/>
                                  <w:lock w:val="sdtLocked"/>
                                  <w:richText/>
                                </w:sdtPr>
                                <w:sdtContent>
                                  <w:r>
                                    <w:rPr>
                                      <w:rFonts w:cs="Calibri"/>
                                      <w:lang w:eastAsia="ar-SA"/>
                                    </w:rPr>
                                    <w:t>2.4</w:t>
                                  </w:r>
                                </w:sdtContent>
                              </w:sdt>
                              <w:r>
                                <w:rPr>
                                  <w:rFonts w:cs="Calibri"/>
                                  <w:lang w:eastAsia="ar-SA"/>
                                </w:rPr>
                                <w:t>. savivaldybės biudžeto asignavimų valdytojai, siekdami, kad 2023 m. gruodžio 31 d. nebūtų darbo užmokesčio, įskaitant nuo jo mokamus mokesčius, įsiskolinimų (mokėtinų sumų), turi užtikrinti, kad nebūtų priimtų sprendimų padidinti darbo užmokestį darbuotojams daugiau, negu yra tam patvirtintų asignavimų darbo užmokesčiui;</w:t>
                              </w:r>
                            </w:p>
                          </w:sdtContent>
                        </w:sdt>
                        <w:sdt>
                          <w:sdtPr>
                            <w:alias w:val="2.5 pp."/>
                            <w:tag w:val="part_45abec5e5dfc418689fbed5e63f018c9"/>
                            <w:lock w:val="sdtLocked"/>
                            <w:richText/>
                          </w:sdtPr>
                          <w:sdtContent>
                            <w:p w14:paraId="7111E5ED" w14:textId="138F918E">
                              <w:pPr>
                                <w:suppressAutoHyphens/>
                                <w:ind w:firstLine="567"/>
                                <w:jc w:val="both"/>
                                <w:rPr>
                                  <w:rFonts w:cs="Calibri"/>
                                  <w:lang w:eastAsia="ar-SA"/>
                                </w:rPr>
                              </w:pPr>
                              <w:sdt>
                                <w:sdtPr>
                                  <w:alias w:val="Numeris"/>
                                  <w:tag w:val="nr_45abec5e5dfc418689fbed5e63f018c9"/>
                                  <w:lock w:val="sdtLocked"/>
                                  <w:richText/>
                                </w:sdtPr>
                                <w:sdtContent>
                                  <w:r>
                                    <w:rPr>
                                      <w:rFonts w:cs="Calibri"/>
                                      <w:lang w:eastAsia="ar-SA"/>
                                    </w:rPr>
                                    <w:t>2.5</w:t>
                                  </w:r>
                                </w:sdtContent>
                              </w:sdt>
                              <w:r>
                                <w:rPr>
                                  <w:rFonts w:cs="Calibri"/>
                                  <w:lang w:eastAsia="ar-SA"/>
                                </w:rPr>
                                <w:t>. savivaldybės biudžeto asignavimų valdytojai neprisiima įsipareigojimų, nesudaro darbų atlikimo ir paslaugų pirkimo sutarčių, kol nėra tam tikslui numatytų asignavimų atitinkamoje programoje; išlaidoms padengti pirmiausia turi naudoti asignavimus iš einamaisiais biudžetiniais metais įmokėtų į savivaldybės biudžetą pajamų, įskaitant ankstesniais metais nepanaudotus lėšų likučius ir viršplanines pajamas, išskyrus konkrečiam tikslui numatytus asignavimus, kurių negalima naudoti kitiems tikslams.“</w:t>
                              </w:r>
                            </w:p>
                            <w:p w14:paraId="00FDAC93" w14:textId="77777777">
                              <w:pPr>
                                <w:suppressAutoHyphens/>
                                <w:jc w:val="center"/>
                                <w:rPr>
                                  <w:rFonts w:cs="Calibri"/>
                                  <w:lang w:eastAsia="ar-SA"/>
                                </w:rPr>
                              </w:pPr>
                            </w:p>
                            <w:p w14:paraId="7C30B118" w14:textId="77777777">
                              <w:pPr>
                                <w:suppressAutoHyphens/>
                                <w:ind w:firstLine="567"/>
                                <w:jc w:val="both"/>
                                <w:rPr>
                                  <w:rFonts w:cs="Calibri"/>
                                  <w:lang w:eastAsia="ar-SA"/>
                                </w:rPr>
                              </w:pPr>
                            </w:p>
                            <w:p w14:paraId="78F66B2C" w14:textId="77777777">
                              <w:pPr>
                                <w:suppressAutoHyphens/>
                                <w:jc w:val="both"/>
                                <w:rPr>
                                  <w:rFonts w:cs="Calibri"/>
                                  <w:sz w:val="16"/>
                                  <w:szCs w:val="16"/>
                                  <w:lang w:eastAsia="ar-SA"/>
                                </w:rPr>
                              </w:pPr>
                            </w:p>
                            <w:p w14:paraId="2C2370FC" w14:textId="77777777">
                              <w:pPr>
                                <w:suppressAutoHyphens/>
                                <w:ind w:firstLine="567"/>
                                <w:jc w:val="both"/>
                                <w:rPr>
                                  <w:rFonts w:cs="Calibri"/>
                                  <w:szCs w:val="24"/>
                                  <w:lang w:eastAsia="ar-SA"/>
                                </w:rPr>
                              </w:pPr>
                            </w:p>
                            <w:p w14:paraId="15DF2B57" w14:textId="63CBEE6B">
                              <w:pPr>
                                <w:suppressAutoHyphens/>
                                <w:ind w:firstLine="567"/>
                                <w:jc w:val="both"/>
                                <w:rPr>
                                  <w:rFonts w:cs="Calibri"/>
                                  <w:szCs w:val="24"/>
                                  <w:lang w:eastAsia="ar-SA"/>
                                </w:rPr>
                              </w:pPr>
                            </w:p>
                            <w:p w14:paraId="21865B69" w14:textId="77777777">
                              <w:pPr>
                                <w:suppressAutoHyphens/>
                                <w:ind w:firstLine="567"/>
                                <w:jc w:val="both"/>
                                <w:rPr>
                                  <w:rFonts w:cs="Calibri"/>
                                  <w:szCs w:val="24"/>
                                  <w:lang w:eastAsia="ar-SA"/>
                                </w:rPr>
                              </w:pPr>
                            </w:p>
                            <w:p w14:paraId="129AE1F0" w14:textId="77777777">
                              <w:pPr>
                                <w:suppressAutoHyphens/>
                                <w:ind w:firstLine="567"/>
                                <w:jc w:val="both"/>
                                <w:rPr>
                                  <w:rFonts w:cs="Calibri"/>
                                  <w:szCs w:val="24"/>
                                  <w:lang w:eastAsia="ar-SA"/>
                                </w:rPr>
                              </w:pPr>
                            </w:p>
                          </w:sdtContent>
                        </w:sdt>
                      </w:sdtContent>
                    </w:sdt>
                  </w:sdtContent>
                </w:sdt>
              </w:sdtContent>
            </w:sdt>
          </w:sdtContent>
        </w:sdt>
        <w:sdt>
          <w:sdtPr>
            <w:alias w:val="signatura"/>
            <w:tag w:val="part_f6e6b9e092564e05b75dcf3dcca0b4f6"/>
            <w:lock w:val="sdtLocked"/>
            <w:richText/>
          </w:sdtPr>
          <w:sdtContent>
            <w:p w14:paraId="5ADA608B" w14:textId="77777777">
              <w:pPr>
                <w:suppressAutoHyphens/>
                <w:jc w:val="both"/>
                <w:rPr>
                  <w:rFonts w:cs="Calibri"/>
                  <w:szCs w:val="24"/>
                  <w:lang w:eastAsia="ar-SA"/>
                </w:rPr>
              </w:pPr>
              <w:r>
                <w:rPr>
                  <w:rFonts w:cs="Calibri"/>
                  <w:szCs w:val="24"/>
                  <w:lang w:eastAsia="ar-SA"/>
                </w:rPr>
                <w:t xml:space="preserve">Savivaldybės meras </w:t>
              </w:r>
            </w:p>
            <w:p w14:paraId="06B6A2B8" w14:textId="77777777">
              <w:pPr>
                <w:suppressAutoHyphens/>
                <w:jc w:val="both"/>
                <w:rPr>
                  <w:rFonts w:cs="Calibri"/>
                  <w:szCs w:val="24"/>
                  <w:lang w:eastAsia="ar-SA"/>
                </w:rPr>
              </w:pPr>
            </w:p>
            <w:p w14:paraId="278D27BD" w14:textId="77777777">
              <w:pPr>
                <w:suppressAutoHyphens/>
                <w:jc w:val="both"/>
                <w:rPr>
                  <w:rFonts w:cs="Calibri"/>
                  <w:szCs w:val="24"/>
                  <w:lang w:eastAsia="ar-SA"/>
                </w:rPr>
              </w:pPr>
            </w:p>
            <w:p w14:paraId="6D3A4EA8" w14:textId="77777777">
              <w:pPr>
                <w:suppressAutoHyphens/>
                <w:jc w:val="both"/>
                <w:rPr>
                  <w:rFonts w:cs="Calibri"/>
                  <w:szCs w:val="24"/>
                  <w:lang w:eastAsia="ar-SA"/>
                </w:rPr>
              </w:pPr>
            </w:p>
            <w:p w14:paraId="0C3CAFD9" w14:textId="77777777">
              <w:pPr>
                <w:suppressAutoHyphens/>
                <w:jc w:val="both"/>
                <w:rPr>
                  <w:rFonts w:cs="Calibri"/>
                  <w:szCs w:val="24"/>
                  <w:lang w:eastAsia="ar-SA"/>
                </w:rPr>
              </w:pPr>
            </w:p>
            <w:p w14:paraId="2C9151A5" w14:textId="77777777">
              <w:pPr>
                <w:suppressAutoHyphens/>
                <w:jc w:val="both"/>
                <w:rPr>
                  <w:rFonts w:cs="Calibri"/>
                  <w:szCs w:val="24"/>
                  <w:lang w:eastAsia="ar-SA"/>
                </w:rPr>
              </w:pPr>
            </w:p>
            <w:p w14:paraId="41328E35" w14:textId="77777777">
              <w:pPr>
                <w:suppressAutoHyphens/>
                <w:jc w:val="both"/>
                <w:rPr>
                  <w:rFonts w:cs="Calibri"/>
                  <w:szCs w:val="24"/>
                  <w:lang w:eastAsia="ar-SA"/>
                </w:rPr>
              </w:pPr>
            </w:p>
            <w:p w14:paraId="7E7E196B" w14:textId="77777777">
              <w:pPr>
                <w:suppressAutoHyphens/>
                <w:jc w:val="both"/>
                <w:rPr>
                  <w:rFonts w:cs="Calibri"/>
                  <w:szCs w:val="24"/>
                  <w:lang w:eastAsia="ar-SA"/>
                </w:rPr>
              </w:pPr>
            </w:p>
            <w:p w14:paraId="56A1B70B" w14:textId="77777777">
              <w:pPr>
                <w:suppressAutoHyphens/>
                <w:jc w:val="both"/>
                <w:rPr>
                  <w:rFonts w:cs="Calibri"/>
                  <w:szCs w:val="24"/>
                  <w:lang w:eastAsia="ar-SA"/>
                </w:rPr>
              </w:pPr>
            </w:p>
            <w:p w14:paraId="07CC1C03" w14:textId="77777777">
              <w:pPr>
                <w:suppressAutoHyphens/>
                <w:jc w:val="both"/>
                <w:rPr>
                  <w:rFonts w:cs="Calibri"/>
                  <w:szCs w:val="24"/>
                  <w:lang w:eastAsia="ar-SA"/>
                </w:rPr>
              </w:pPr>
            </w:p>
            <w:p w14:paraId="192A5771" w14:textId="77777777">
              <w:pPr>
                <w:suppressAutoHyphens/>
                <w:jc w:val="both"/>
                <w:rPr>
                  <w:rFonts w:cs="Calibri"/>
                  <w:szCs w:val="24"/>
                  <w:lang w:eastAsia="ar-SA"/>
                </w:rPr>
              </w:pPr>
            </w:p>
            <w:p w14:paraId="4A3900E5" w14:textId="77777777">
              <w:pPr>
                <w:suppressAutoHyphens/>
                <w:jc w:val="both"/>
                <w:rPr>
                  <w:rFonts w:cs="Calibri"/>
                  <w:szCs w:val="24"/>
                  <w:lang w:eastAsia="ar-SA"/>
                </w:rPr>
              </w:pPr>
            </w:p>
            <w:p w14:paraId="559057E2" w14:textId="77777777">
              <w:pPr>
                <w:suppressAutoHyphens/>
                <w:jc w:val="both"/>
                <w:rPr>
                  <w:rFonts w:cs="Calibri"/>
                  <w:szCs w:val="24"/>
                  <w:lang w:eastAsia="ar-SA"/>
                </w:rPr>
              </w:pPr>
            </w:p>
            <w:p w14:paraId="110B22ED" w14:textId="77777777">
              <w:pPr>
                <w:suppressAutoHyphens/>
                <w:jc w:val="both"/>
                <w:rPr>
                  <w:rFonts w:cs="Calibri"/>
                  <w:szCs w:val="24"/>
                  <w:lang w:eastAsia="ar-SA"/>
                </w:rPr>
              </w:pPr>
            </w:p>
            <w:p w14:paraId="1BEAA31A" w14:textId="77777777">
              <w:pPr>
                <w:suppressAutoHyphens/>
                <w:jc w:val="both"/>
                <w:rPr>
                  <w:rFonts w:cs="Calibri"/>
                  <w:szCs w:val="24"/>
                  <w:lang w:eastAsia="ar-SA"/>
                </w:rPr>
              </w:pPr>
            </w:p>
            <w:p w14:paraId="2C550002" w14:textId="77777777">
              <w:pPr>
                <w:suppressAutoHyphens/>
                <w:jc w:val="both"/>
                <w:rPr>
                  <w:rFonts w:cs="Calibri"/>
                  <w:szCs w:val="24"/>
                  <w:lang w:eastAsia="ar-SA"/>
                </w:rPr>
              </w:pPr>
            </w:p>
            <w:p w14:paraId="6EEC0125" w14:textId="77777777">
              <w:pPr>
                <w:suppressAutoHyphens/>
                <w:jc w:val="both"/>
                <w:rPr>
                  <w:rFonts w:cs="Calibri"/>
                  <w:szCs w:val="24"/>
                  <w:lang w:val="en-US" w:eastAsia="ar-SA"/>
                </w:rPr>
              </w:pPr>
            </w:p>
            <w:p w14:paraId="400A47AD" w14:textId="77777777">
              <w:pPr>
                <w:suppressAutoHyphens/>
                <w:jc w:val="both"/>
                <w:rPr>
                  <w:rFonts w:cs="Calibri"/>
                  <w:szCs w:val="24"/>
                  <w:lang w:eastAsia="ar-SA"/>
                </w:rPr>
              </w:pPr>
            </w:p>
            <w:p w14:paraId="13290713" w14:textId="77777777">
              <w:pPr>
                <w:suppressAutoHyphens/>
                <w:jc w:val="both"/>
                <w:rPr>
                  <w:rFonts w:cs="Calibri"/>
                  <w:szCs w:val="24"/>
                  <w:lang w:eastAsia="ar-SA"/>
                </w:rPr>
              </w:pPr>
            </w:p>
            <w:p w14:paraId="4F6E98F1" w14:textId="77777777">
              <w:pPr>
                <w:suppressAutoHyphens/>
                <w:jc w:val="both"/>
                <w:rPr>
                  <w:rFonts w:cs="Calibri"/>
                  <w:szCs w:val="24"/>
                  <w:lang w:eastAsia="ar-SA"/>
                </w:rPr>
              </w:pPr>
            </w:p>
            <w:p w14:paraId="2C2FA5EA" w14:textId="77777777">
              <w:pPr>
                <w:suppressAutoHyphens/>
                <w:jc w:val="both"/>
                <w:rPr>
                  <w:rFonts w:cs="Calibri"/>
                  <w:szCs w:val="24"/>
                  <w:lang w:eastAsia="ar-SA"/>
                </w:rPr>
              </w:pPr>
            </w:p>
            <w:p w14:paraId="11F260DA" w14:textId="77777777">
              <w:pPr>
                <w:suppressAutoHyphens/>
                <w:jc w:val="both"/>
                <w:rPr>
                  <w:rFonts w:cs="Calibri"/>
                  <w:szCs w:val="24"/>
                  <w:lang w:eastAsia="ar-SA"/>
                </w:rPr>
              </w:pPr>
            </w:p>
            <w:p w14:paraId="5F755623" w14:textId="77777777">
              <w:pPr>
                <w:suppressAutoHyphens/>
                <w:jc w:val="both"/>
                <w:rPr>
                  <w:rFonts w:cs="Calibri"/>
                  <w:szCs w:val="24"/>
                  <w:lang w:eastAsia="ar-SA"/>
                </w:rPr>
              </w:pPr>
            </w:p>
            <w:p w14:paraId="5FC64188" w14:textId="77777777">
              <w:pPr>
                <w:suppressAutoHyphens/>
                <w:jc w:val="both"/>
                <w:rPr>
                  <w:rFonts w:cs="Calibri"/>
                  <w:szCs w:val="24"/>
                  <w:lang w:eastAsia="ar-SA"/>
                </w:rPr>
              </w:pPr>
            </w:p>
            <w:p w14:paraId="743A7E6F" w14:textId="77777777">
              <w:pPr>
                <w:suppressAutoHyphens/>
                <w:jc w:val="both"/>
                <w:rPr>
                  <w:rFonts w:cs="Calibri"/>
                  <w:szCs w:val="24"/>
                  <w:lang w:eastAsia="ar-SA"/>
                </w:rPr>
              </w:pPr>
            </w:p>
            <w:p w14:paraId="4F1A46D2" w14:textId="77777777">
              <w:pPr>
                <w:suppressAutoHyphens/>
                <w:jc w:val="both"/>
                <w:rPr>
                  <w:rFonts w:cs="Calibri"/>
                  <w:szCs w:val="24"/>
                  <w:lang w:eastAsia="ar-SA"/>
                </w:rPr>
              </w:pPr>
            </w:p>
            <w:p w14:paraId="4CEB1507" w14:textId="77777777">
              <w:pPr>
                <w:suppressAutoHyphens/>
                <w:jc w:val="both"/>
                <w:rPr>
                  <w:rFonts w:cs="Calibri"/>
                  <w:szCs w:val="24"/>
                  <w:lang w:eastAsia="ar-SA"/>
                </w:rPr>
              </w:pPr>
            </w:p>
            <w:p w14:paraId="2034EBB0" w14:textId="77777777">
              <w:pPr>
                <w:suppressAutoHyphens/>
                <w:jc w:val="both"/>
                <w:rPr>
                  <w:rFonts w:cs="Calibri"/>
                  <w:szCs w:val="24"/>
                  <w:lang w:eastAsia="ar-SA"/>
                </w:rPr>
              </w:pPr>
            </w:p>
            <w:p w14:paraId="74B9235A" w14:textId="77777777">
              <w:pPr>
                <w:suppressAutoHyphens/>
                <w:jc w:val="both"/>
                <w:rPr>
                  <w:rFonts w:cs="Calibri"/>
                  <w:szCs w:val="24"/>
                  <w:lang w:eastAsia="ar-SA"/>
                </w:rPr>
              </w:pPr>
            </w:p>
            <w:p w14:paraId="4F4DBFA2" w14:textId="77777777">
              <w:pPr>
                <w:suppressAutoHyphens/>
                <w:jc w:val="both"/>
                <w:rPr>
                  <w:rFonts w:cs="Calibri"/>
                  <w:szCs w:val="24"/>
                  <w:lang w:eastAsia="ar-SA"/>
                </w:rPr>
              </w:pPr>
            </w:p>
            <w:p w14:paraId="28408EA5" w14:textId="77777777">
              <w:pPr>
                <w:suppressAutoHyphens/>
                <w:jc w:val="both"/>
                <w:rPr>
                  <w:rFonts w:cs="Calibri"/>
                  <w:szCs w:val="24"/>
                  <w:lang w:eastAsia="ar-SA"/>
                </w:rPr>
              </w:pPr>
            </w:p>
            <w:p w14:paraId="5EDBD840" w14:textId="77777777">
              <w:pPr>
                <w:suppressAutoHyphens/>
                <w:jc w:val="both"/>
                <w:rPr>
                  <w:rFonts w:cs="Calibri"/>
                  <w:szCs w:val="24"/>
                  <w:lang w:eastAsia="ar-SA"/>
                </w:rPr>
              </w:pPr>
            </w:p>
            <w:p w14:paraId="37C72C64" w14:textId="77777777">
              <w:pPr>
                <w:suppressAutoHyphens/>
                <w:jc w:val="both"/>
                <w:rPr>
                  <w:rFonts w:cs="Calibri"/>
                  <w:szCs w:val="24"/>
                  <w:lang w:eastAsia="ar-SA"/>
                </w:rPr>
              </w:pPr>
            </w:p>
            <w:p w14:paraId="7E20FD58" w14:textId="77777777">
              <w:pPr>
                <w:suppressAutoHyphens/>
                <w:ind w:firstLine="567"/>
                <w:jc w:val="both"/>
                <w:rPr>
                  <w:rFonts w:cs="Calibri"/>
                  <w:szCs w:val="24"/>
                  <w:lang w:eastAsia="ar-SA"/>
                </w:rPr>
              </w:pPr>
            </w:p>
            <w:p w14:paraId="52A422C3" w14:textId="77777777">
              <w:pPr>
                <w:suppressAutoHyphens/>
                <w:jc w:val="both"/>
                <w:rPr>
                  <w:rFonts w:cs="Calibri"/>
                  <w:szCs w:val="24"/>
                  <w:lang w:eastAsia="ar-SA"/>
                </w:rPr>
              </w:pPr>
            </w:p>
            <w:p w14:paraId="7DD66E2D" w14:textId="77777777">
              <w:pPr>
                <w:suppressAutoHyphens/>
                <w:jc w:val="center"/>
                <w:rPr>
                  <w:rFonts w:cs="Calibri"/>
                  <w:b/>
                  <w:szCs w:val="24"/>
                  <w:lang w:eastAsia="ar-SA"/>
                </w:rPr>
              </w:pPr>
            </w:p>
            <w:p w14:paraId="264D9E4C" w14:textId="77777777">
              <w:pPr>
                <w:suppressAutoHyphens/>
                <w:rPr>
                  <w:rFonts w:cs="Calibri"/>
                  <w:szCs w:val="24"/>
                  <w:lang w:val="en-GB" w:eastAsia="ar-SA"/>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4F87365" w14:textId="77777777">
      <w:pPr>
        <w:suppressAutoHyphens/>
        <w:rPr>
          <w:rFonts w:cs="Calibri"/>
          <w:lang w:val="en-GB" w:eastAsia="ar-SA"/>
        </w:rPr>
      </w:pPr>
      <w:r>
        <w:rPr>
          <w:rFonts w:cs="Calibri"/>
          <w:lang w:val="en-GB" w:eastAsia="ar-SA"/>
        </w:rPr>
        <w:separator/>
      </w:r>
    </w:p>
  </w:endnote>
  <w:endnote w:type="continuationSeparator" w:id="0">
    <w:p w14:paraId="0BD853A7" w14:textId="77777777">
      <w:pPr>
        <w:suppressAutoHyphens/>
        <w:rPr>
          <w:rFonts w:cs="Calibri"/>
          <w:lang w:val="en-GB" w:eastAsia="ar-SA"/>
        </w:rPr>
      </w:pPr>
      <w:r>
        <w:rPr>
          <w:rFonts w:cs="Calibri"/>
          <w:lang w:val="en-GB"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F67C21" w14:textId="77777777">
    <w:pPr>
      <w:tabs>
        <w:tab w:val="center" w:pos="4819"/>
        <w:tab w:val="right" w:pos="9638"/>
      </w:tabs>
      <w:suppressAutoHyphens/>
      <w:rPr>
        <w:rFonts w:cs="Calibri"/>
        <w:lang w:val="en-GB"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F4C26F" w14:textId="77777777">
    <w:pPr>
      <w:tabs>
        <w:tab w:val="center" w:pos="4819"/>
        <w:tab w:val="right" w:pos="9638"/>
      </w:tabs>
      <w:suppressAutoHyphens/>
      <w:rPr>
        <w:rFonts w:cs="Calibri"/>
        <w:lang w:val="en-GB"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0026D8" w14:textId="77777777">
    <w:pPr>
      <w:tabs>
        <w:tab w:val="center" w:pos="4819"/>
        <w:tab w:val="right" w:pos="9638"/>
      </w:tabs>
      <w:suppressAutoHyphens/>
      <w:rPr>
        <w:rFonts w:cs="Calibri"/>
        <w:lang w:val="en-GB"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F269BA" w14:textId="77777777">
      <w:pPr>
        <w:suppressAutoHyphens/>
        <w:rPr>
          <w:rFonts w:cs="Calibri"/>
          <w:lang w:val="en-GB" w:eastAsia="ar-SA"/>
        </w:rPr>
      </w:pPr>
      <w:r>
        <w:rPr>
          <w:rFonts w:cs="Calibri"/>
          <w:lang w:val="en-GB" w:eastAsia="ar-SA"/>
        </w:rPr>
        <w:separator/>
      </w:r>
    </w:p>
  </w:footnote>
  <w:footnote w:type="continuationSeparator" w:id="0">
    <w:p w14:paraId="1C18C5D0" w14:textId="77777777">
      <w:pPr>
        <w:suppressAutoHyphens/>
        <w:rPr>
          <w:rFonts w:cs="Calibri"/>
          <w:lang w:val="en-GB" w:eastAsia="ar-SA"/>
        </w:rPr>
      </w:pPr>
      <w:r>
        <w:rPr>
          <w:rFonts w:cs="Calibri"/>
          <w:lang w:val="en-GB"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CEE75A" w14:textId="77777777">
    <w:pPr>
      <w:tabs>
        <w:tab w:val="center" w:pos="4819"/>
        <w:tab w:val="right" w:pos="9638"/>
      </w:tabs>
      <w:suppressAutoHyphens/>
      <w:rPr>
        <w:rFonts w:cs="Calibri"/>
        <w:lang w:val="en-GB"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9BADC4" w14:textId="0B9221DB">
    <w:pPr>
      <w:tabs>
        <w:tab w:val="center" w:pos="4819"/>
        <w:tab w:val="right" w:pos="9638"/>
      </w:tabs>
      <w:suppressAutoHyphens/>
      <w:jc w:val="center"/>
      <w:rPr>
        <w:rFonts w:cs="Calibri"/>
        <w:lang w:val="en-GB" w:eastAsia="ar-SA"/>
      </w:rPr>
    </w:pPr>
    <w:r>
      <w:rPr>
        <w:rFonts w:cs="Calibri"/>
        <w:lang w:val="en-GB" w:eastAsia="ar-SA"/>
      </w:rPr>
      <w:fldChar w:fldCharType="begin"/>
    </w:r>
    <w:r>
      <w:rPr>
        <w:rFonts w:cs="Calibri"/>
        <w:lang w:val="en-GB" w:eastAsia="ar-SA"/>
      </w:rPr>
      <w:instrText>PAGE   \* MERGEFORMAT</w:instrText>
    </w:r>
    <w:r>
      <w:rPr>
        <w:rFonts w:cs="Calibri"/>
        <w:lang w:val="en-GB" w:eastAsia="ar-SA"/>
      </w:rPr>
      <w:fldChar w:fldCharType="separate"/>
    </w:r>
    <w:r>
      <w:rPr>
        <w:rFonts w:cs="Calibri"/>
        <w:lang w:eastAsia="ar-SA"/>
      </w:rPr>
      <w:t>2</w:t>
    </w:r>
    <w:r>
      <w:rPr>
        <w:rFonts w:cs="Calibri"/>
        <w:lang w:val="en-GB" w:eastAsia="ar-SA"/>
      </w:rPr>
      <w:fldChar w:fldCharType="end"/>
    </w:r>
  </w:p>
  <w:p w14:paraId="4118915B" w14:textId="77777777">
    <w:pPr>
      <w:tabs>
        <w:tab w:val="center" w:pos="4819"/>
        <w:tab w:val="right" w:pos="9638"/>
      </w:tabs>
      <w:suppressAutoHyphens/>
      <w:rPr>
        <w:rFonts w:cs="Calibri"/>
        <w:lang w:val="en-GB"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B5BF8A" w14:textId="2023C16E">
    <w:pPr>
      <w:tabs>
        <w:tab w:val="center" w:pos="4819"/>
        <w:tab w:val="right" w:pos="9638"/>
      </w:tabs>
      <w:suppressAutoHyphens/>
      <w:rPr>
        <w:rFonts w:cs="Calibri"/>
        <w:lang w:val="en-GB"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366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AB4ECB"/>
  <w15:docId w15:val="{3B990FC7-2B96-46A7-B7D6-BBF06716C04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03a1c49fd8b4313b0a6e1bc0a275733" PartId="33d975baaf4b4302856c5c7c973b874a">
    <Part Type="preambule" DocPartId="b2927e106692472d8aada42509c6f0e4" PartId="a2a7d3a5d7d84b9c9ba864ebc161efea"/>
    <Part Type="pastraipa" DocPartId="7d865802beba4f87b58dbbb72a57f467" PartId="ddc1eedd87eb4a1383a9c05893c5cd68">
      <Part Type="citata" DocPartId="f9e906ae146d4346af6648c391c0aab3" PartId="0ff0a07199de4eb282f2bdc4b3d82e27">
        <Part Type="pagrindine" DocPartId="33975aa96eba4c9d844860e45d1c6a13" PartId="232fbfa24f0f45ae8f746588ae8eedf6">
          <Part Type="preambule" DocPartId="6c03c9682d8f4975aed5ee99d6ff7f5d" PartId="0fdd91b6dddb4b45b090ab94143b8bfb"/>
          <Part Type="punktas" Nr="1" Abbr="1 p." DocPartId="e59318382fc343c1a44e772f2bba67ff" PartId="f86ff1920fdf46ca93426dd1a82dbc26">
            <Part Type="papunktis" Nr="1.1" Abbr="1.1 pp." DocPartId="51e4817872f544d9b3bd91c38b820344" PartId="b3dbbd3985854898ad0f7b03f09a2bcb"/>
            <Part Type="papunktis" Nr="1.2" Abbr="1.2 pp." DocPartId="fd0b66396d2c47bf8372c7fa5dd4372f" PartId="c6b209b5ee6e4ae4baac6bbeec0135b9"/>
            <Part Type="papunktis" Nr="1.3" Abbr="1.3 pp." DocPartId="3e9c19be06cf4e308f35ee6bb3b892e3" PartId="56f31ba1e42f4c3b9b2f169b52e1265c"/>
          </Part>
          <Part Type="punktas" Nr="2" Abbr="2 p." DocPartId="dfb7eca17aeb47dd8f57388cd6580032" PartId="baaa272619864792960ab9336da17fcc">
            <Part Type="papunktis" Nr="2.1" Abbr="2.1 pp." DocPartId="83017d109d0849169016891e5182f085" PartId="94fdc8da43c745a08c233eac3998fe78"/>
            <Part Type="papunktis" Nr="2.2" Abbr="2.2 pp." DocPartId="2cbfaede2b384db4853caef1c3c51915" PartId="b226b682fa764e2b85f751399bfa5970"/>
            <Part Type="papunktis" Nr="2.3" Abbr="2.3 pp." DocPartId="61a4d24cabcb46fca22ac50a3b3a732b" PartId="345d1fec97ee4960aa6f0b1b8c34cdb3"/>
            <Part Type="papunktis" Nr="2.4" Abbr="2.4 pp." DocPartId="6095fe41febd4e979680d608d9680b8f" PartId="17281982d99c41a38b182225931bffc1"/>
            <Part Type="papunktis" Nr="2.5" Abbr="2.5 pp." DocPartId="f31b6869ae9840158d843b89684c0a5b" PartId="45abec5e5dfc418689fbed5e63f018c9"/>
          </Part>
        </Part>
      </Part>
    </Part>
    <Part Type="signatura" DocPartId="0c6dd63e7263427f987ef2add3f4f23b" PartId="f6e6b9e092564e05b75dcf3dcca0b4f6"/>
  </Part>
</Parts>
</file>

<file path=customXml/itemProps1.xml><?xml version="1.0" encoding="utf-8"?>
<ds:datastoreItem xmlns:ds="http://schemas.openxmlformats.org/officeDocument/2006/customXml" ds:itemID="{B188E0C7-1380-4C9F-8A84-1509FFA0E455}">
  <ds:schemaRefs>
    <ds:schemaRef ds:uri="http://schemas.openxmlformats.org/officeDocument/2006/bibliography"/>
  </ds:schemaRefs>
</ds:datastoreItem>
</file>

<file path=customXml/itemProps2.xml><?xml version="1.0" encoding="utf-8"?>
<ds:datastoreItem xmlns:ds="http://schemas.openxmlformats.org/officeDocument/2006/customXml" ds:itemID="{72AF7D1B-7C3B-4B2A-99B3-EAAC0E6D655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430</Words>
  <Characters>2797</Characters>
  <Application>Microsoft Office Word</Application>
  <DocSecurity>4</DocSecurity>
  <Lines>99</Lines>
  <Paragraphs>26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3201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2023-08-23T08:18:00Z</dcterms:created>
  <dc:creator>Irena Paliulytė</dc:creator>
  <lastModifiedBy>adlibuser</lastModifiedBy>
  <lastPrinted>2023-08-21T10:39:00Z</lastPrinted>
  <dcterms:modified xsi:type="dcterms:W3CDTF">2023-08-23T08:18:00Z</dcterms:modified>
  <revision>2</revision>
</coreProperties>
</file>