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023e1aeb6ef4de1acd6689c76e617e7"/>
        <w:lock w:val="sdtLocked"/>
        <w:richText/>
      </w:sdtPr>
      <w:sdtContent>
        <w:p w14:paraId="48DBEFA5" w14:textId="77777777">
          <w:pPr>
            <w:ind w:firstLine="6946"/>
            <w:jc w:val="center"/>
            <w:rPr>
              <w:rFonts w:eastAsia="Lucida Sans Unicode"/>
              <w:b/>
              <w:szCs w:val="24"/>
              <w:lang w:eastAsia="lt-LT"/>
            </w:rPr>
          </w:pPr>
          <w:r>
            <w:rPr>
              <w:rFonts w:eastAsia="Lucida Sans Unicode"/>
              <w:b/>
              <w:szCs w:val="24"/>
              <w:lang w:eastAsia="lt-LT"/>
            </w:rPr>
            <w:t>Projektas</w:t>
          </w:r>
        </w:p>
        <w:p w14:paraId="38856848" w14:textId="77777777">
          <w:pPr>
            <w:tabs>
              <w:tab w:val="center" w:pos="4153"/>
              <w:tab w:val="right" w:pos="8306"/>
            </w:tabs>
            <w:rPr>
              <w:szCs w:val="24"/>
              <w:lang w:eastAsia="lt-LT"/>
            </w:rPr>
          </w:pPr>
        </w:p>
        <w:p w14:paraId="4C5E71BB" w14:textId="77777777">
          <w:pPr>
            <w:ind w:firstLine="6946"/>
            <w:jc w:val="center"/>
            <w:rPr>
              <w:rFonts w:eastAsia="Lucida Sans Unicode"/>
              <w:b/>
              <w:szCs w:val="24"/>
              <w:lang w:eastAsia="lt-LT"/>
            </w:rPr>
          </w:pPr>
        </w:p>
        <w:p w14:paraId="75FAB82E" w14:textId="274FECD6">
          <w:pPr>
            <w:jc w:val="center"/>
            <w:rPr>
              <w:b/>
              <w:szCs w:val="24"/>
              <w:lang w:eastAsia="lt-LT"/>
            </w:rPr>
          </w:pPr>
          <w:r>
            <w:rPr>
              <w:b/>
              <w:szCs w:val="24"/>
              <w:lang w:eastAsia="lt-LT"/>
            </w:rPr>
            <w:t>ŠIAULIŲ MIESTO SAVIVALDYBĖS TARYBA</w:t>
          </w:r>
        </w:p>
        <w:p w14:paraId="75FAB82F" w14:textId="77777777">
          <w:pPr>
            <w:jc w:val="center"/>
            <w:rPr>
              <w:b/>
              <w:szCs w:val="24"/>
              <w:lang w:eastAsia="lt-LT"/>
            </w:rPr>
          </w:pPr>
        </w:p>
        <w:p w14:paraId="75FAB830" w14:textId="012D55F9">
          <w:pPr>
            <w:jc w:val="center"/>
            <w:rPr>
              <w:b/>
              <w:szCs w:val="24"/>
              <w:lang w:eastAsia="lt-LT"/>
            </w:rPr>
          </w:pPr>
          <w:r>
            <w:rPr>
              <w:b/>
              <w:szCs w:val="24"/>
              <w:lang w:eastAsia="lt-LT"/>
            </w:rPr>
            <w:t>SPRENDIMAS</w:t>
          </w:r>
        </w:p>
        <w:p w14:paraId="4347D340" w14:textId="77777777">
          <w:pPr>
            <w:jc w:val="center"/>
            <w:rPr>
              <w:b/>
              <w:szCs w:val="24"/>
              <w:lang w:eastAsia="lt-LT"/>
            </w:rPr>
          </w:pPr>
        </w:p>
        <w:p w14:paraId="75FAB832" w14:textId="3B29431C">
          <w:pPr>
            <w:ind w:firstLine="62"/>
            <w:jc w:val="center"/>
            <w:rPr>
              <w:b/>
              <w:szCs w:val="24"/>
              <w:lang w:eastAsia="lt-LT"/>
            </w:rPr>
          </w:pPr>
          <w:r>
            <w:rPr>
              <w:b/>
              <w:szCs w:val="24"/>
              <w:lang w:eastAsia="lt-LT"/>
            </w:rPr>
            <w:t>DĖL ŠIAULIŲ MIESTO SAVIVALDYBĖS TARYBOS 2023 M. KOVO 30 D. SPRENDIMO NR. T-99 „DĖL ŠIAULIŲ MIESTO SAVIVALDYBĖS SMULKIOJO IR VIDUTINIO VERSLO RĖMIMO NUOSTATŲ PATVIRTINIMO“ PAKEITIMO</w:t>
          </w:r>
        </w:p>
        <w:p w14:paraId="48C1248C" w14:textId="77777777">
          <w:pPr>
            <w:jc w:val="center"/>
            <w:rPr>
              <w:szCs w:val="24"/>
              <w:lang w:eastAsia="lt-LT"/>
            </w:rPr>
          </w:pPr>
        </w:p>
        <w:p w14:paraId="75FAB833" w14:textId="68380914">
          <w:pPr>
            <w:jc w:val="center"/>
            <w:rPr>
              <w:szCs w:val="24"/>
              <w:lang w:eastAsia="lt-LT"/>
            </w:rPr>
          </w:pPr>
          <w:r>
            <w:rPr>
              <w:szCs w:val="24"/>
              <w:lang w:eastAsia="lt-LT"/>
            </w:rPr>
            <w:t xml:space="preserve">2025 m.                      d. Nr. T-</w:t>
          </w:r>
        </w:p>
        <w:p w14:paraId="75FAB834" w14:textId="77777777">
          <w:pPr>
            <w:jc w:val="center"/>
            <w:rPr>
              <w:szCs w:val="24"/>
              <w:lang w:eastAsia="lt-LT"/>
            </w:rPr>
          </w:pPr>
          <w:r>
            <w:rPr>
              <w:szCs w:val="24"/>
              <w:lang w:eastAsia="lt-LT"/>
            </w:rPr>
            <w:t>Šiauliai</w:t>
          </w:r>
        </w:p>
        <w:p w14:paraId="31E5343D" w14:textId="5D697C7A">
          <w:pPr>
            <w:jc w:val="center"/>
            <w:rPr>
              <w:szCs w:val="24"/>
              <w:lang w:eastAsia="lt-LT"/>
            </w:rPr>
          </w:pPr>
        </w:p>
        <w:p w14:paraId="32D93341" w14:textId="77777777">
          <w:pPr>
            <w:jc w:val="center"/>
            <w:rPr>
              <w:szCs w:val="24"/>
              <w:lang w:eastAsia="lt-LT"/>
            </w:rPr>
          </w:pPr>
        </w:p>
        <w:sdt>
          <w:sdtPr>
            <w:alias w:val="preambule"/>
            <w:tag w:val="part_6ca286c4cbee47eca19d7eabe7c7283f"/>
            <w:lock w:val="sdtLocked"/>
            <w:richText/>
          </w:sdtPr>
          <w:sdtContent>
            <w:p w14:paraId="4793C9A9" w14:textId="06CBF3D8">
              <w:pPr>
                <w:ind w:firstLine="851"/>
                <w:jc w:val="both"/>
                <w:rPr>
                  <w:rFonts w:eastAsia="NSimSun"/>
                  <w:kern w:val="2"/>
                  <w:szCs w:val="24"/>
                  <w:lang w:eastAsia="ar-SA" w:bidi="hi-IN"/>
                </w:rPr>
              </w:pPr>
              <w:r>
                <w:rPr>
                  <w:rFonts w:eastAsia="NSimSun"/>
                  <w:kern w:val="2"/>
                  <w:szCs w:val="24"/>
                  <w:lang w:eastAsia="ar-SA" w:bidi="hi-IN"/>
                </w:rPr>
                <w:t>Vadovaudamasi Lietuvos Respublikos vietos savivaldos įstatymo 6 straipsnio 38 punktu, 15 straipsnio 4 dalimi, Lietuvos Respublikos smulkiojo ir vidutinio verslo plėtros įstatymo 5 straipsnio 1 dalimi, 6 straipsnio 2 punktu, 7 straipsniu, įgyvendindama Šiaulių miesto 2025–2033 metų strateginį plėtros planą, patvirtintą Šiaulių miesto savivaldybės tarybos 2024 m. birželio 6 d. sprendimo Nr. T-202 „Dėl Šiaulių miesto 2025</w:t>
              </w:r>
              <w:r>
                <w:rPr>
                  <w:rFonts w:eastAsia="NSimSun" w:hint="cs"/>
                  <w:kern w:val="2"/>
                  <w:szCs w:val="24"/>
                  <w:lang w:eastAsia="ar-SA" w:bidi="hi-IN"/>
                </w:rPr>
                <w:t>–</w:t>
              </w:r>
              <w:r>
                <w:rPr>
                  <w:rFonts w:eastAsia="NSimSun"/>
                  <w:kern w:val="2"/>
                  <w:szCs w:val="24"/>
                  <w:lang w:eastAsia="ar-SA" w:bidi="hi-IN"/>
                </w:rPr>
                <w:t>2033 metų strateginio plėtros plano patvirtinimo“ 1 punktu, Šiaulių miesto savivaldybės taryba nusprendžia:</w:t>
              </w:r>
            </w:p>
          </w:sdtContent>
        </w:sdt>
        <w:sdt>
          <w:sdtPr>
            <w:alias w:val="1 p."/>
            <w:tag w:val="part_37718e3d28ee4137808d162de75bd1d1"/>
            <w:lock w:val="sdtLocked"/>
            <w:richText/>
          </w:sdtPr>
          <w:sdtContent>
            <w:p w14:paraId="583178DA" w14:textId="4E330368">
              <w:pPr>
                <w:ind w:firstLine="851"/>
                <w:jc w:val="both"/>
                <w:rPr>
                  <w:rFonts w:eastAsia="NSimSun"/>
                  <w:kern w:val="2"/>
                  <w:szCs w:val="24"/>
                  <w:lang w:eastAsia="ar-SA" w:bidi="hi-IN"/>
                </w:rPr>
              </w:pPr>
              <w:sdt>
                <w:sdtPr>
                  <w:alias w:val="Numeris"/>
                  <w:tag w:val="nr_37718e3d28ee4137808d162de75bd1d1"/>
                  <w:lock w:val="sdtLocked"/>
                  <w:richText/>
                </w:sdtPr>
                <w:sdtContent>
                  <w:r>
                    <w:rPr>
                      <w:rFonts w:eastAsia="NSimSun"/>
                      <w:kern w:val="2"/>
                      <w:szCs w:val="24"/>
                      <w:lang w:eastAsia="ar-SA" w:bidi="hi-IN"/>
                    </w:rPr>
                    <w:t>1</w:t>
                  </w:r>
                </w:sdtContent>
              </w:sdt>
              <w:r>
                <w:rPr>
                  <w:rFonts w:eastAsia="NSimSun"/>
                  <w:kern w:val="2"/>
                  <w:szCs w:val="24"/>
                  <w:lang w:eastAsia="ar-SA" w:bidi="hi-IN"/>
                </w:rPr>
                <w:t xml:space="preserve">. Pakeisti Šiaulių miesto savivaldybės smulkiojo ir vidutinio verslo rėmimo nuostatus, patvirtintus  Šiaulių miesto savivaldybės tarybos 2023 m. kovo 30 d. sprendimo Nr. T-99 „Dėl Šiaulių miesto savivaldybės smulkiojo ir vidutinio verslo rėmimo nuostatų patvirtinimo“ 1 punktu:</w:t>
              </w:r>
            </w:p>
            <w:sdt>
              <w:sdtPr>
                <w:alias w:val="1.1 pp."/>
                <w:tag w:val="part_f2c74142bb434e4f82f9bcd2619253a3"/>
                <w:lock w:val="sdtLocked"/>
                <w:richText/>
              </w:sdtPr>
              <w:sdtContent>
                <w:p w14:paraId="08EE5BEF" w14:textId="0BCBCDE4">
                  <w:pPr>
                    <w:ind w:firstLine="851"/>
                    <w:jc w:val="both"/>
                    <w:rPr>
                      <w:rFonts w:eastAsia="NSimSun"/>
                      <w:kern w:val="2"/>
                      <w:szCs w:val="24"/>
                      <w:lang w:eastAsia="ar-SA" w:bidi="hi-IN"/>
                    </w:rPr>
                  </w:pPr>
                  <w:sdt>
                    <w:sdtPr>
                      <w:alias w:val="Numeris"/>
                      <w:tag w:val="nr_f2c74142bb434e4f82f9bcd2619253a3"/>
                      <w:lock w:val="sdtLocked"/>
                      <w:richText/>
                    </w:sdtPr>
                    <w:sdtContent>
                      <w:r>
                        <w:rPr>
                          <w:rFonts w:eastAsia="NSimSun"/>
                          <w:kern w:val="2"/>
                          <w:szCs w:val="24"/>
                          <w:lang w:eastAsia="ar-SA" w:bidi="hi-IN"/>
                        </w:rPr>
                        <w:t>1.1</w:t>
                      </w:r>
                    </w:sdtContent>
                  </w:sdt>
                  <w:r>
                    <w:rPr>
                      <w:rFonts w:eastAsia="NSimSun"/>
                      <w:kern w:val="2"/>
                      <w:szCs w:val="24"/>
                      <w:lang w:eastAsia="ar-SA" w:bidi="hi-IN"/>
                    </w:rPr>
                    <w:t xml:space="preserve">. Pakeisti 4 punktą ir jį išdėstyti taip: </w:t>
                  </w:r>
                </w:p>
                <w:sdt>
                  <w:sdtPr>
                    <w:alias w:val="citata"/>
                    <w:tag w:val="part_f459e39c431b402e92d6b4ee2c019b8b"/>
                    <w:lock w:val="sdtLocked"/>
                    <w:richText/>
                  </w:sdtPr>
                  <w:sdtContent>
                    <w:sdt>
                      <w:sdtPr>
                        <w:alias w:val="4 p."/>
                        <w:tag w:val="part_0fc12f5e442e4e80a1b46357a4e1de75"/>
                        <w:lock w:val="sdtLocked"/>
                        <w:richText/>
                      </w:sdtPr>
                      <w:sdtContent>
                        <w:p w14:paraId="5EB53C6F" w14:textId="6BA66AB6">
                          <w:pPr>
                            <w:ind w:firstLine="851"/>
                            <w:jc w:val="both"/>
                            <w:rPr>
                              <w:rFonts w:eastAsia="NSimSun"/>
                              <w:kern w:val="2"/>
                              <w:szCs w:val="24"/>
                              <w:lang w:eastAsia="ar-SA" w:bidi="hi-IN"/>
                            </w:rPr>
                          </w:pPr>
                          <w:r>
                            <w:rPr>
                              <w:rFonts w:eastAsia="NSimSun"/>
                              <w:kern w:val="2"/>
                              <w:szCs w:val="24"/>
                              <w:lang w:eastAsia="ar-SA" w:bidi="hi-IN"/>
                            </w:rPr>
                            <w:t>„</w:t>
                          </w:r>
                          <w:sdt>
                            <w:sdtPr>
                              <w:alias w:val="Numeris"/>
                              <w:tag w:val="nr_0fc12f5e442e4e80a1b46357a4e1de75"/>
                              <w:lock w:val="sdtLocked"/>
                              <w:richText/>
                            </w:sdtPr>
                            <w:sdtContent>
                              <w:r>
                                <w:rPr>
                                  <w:rFonts w:eastAsia="NSimSun"/>
                                  <w:kern w:val="2"/>
                                  <w:szCs w:val="24"/>
                                  <w:lang w:eastAsia="ar-SA" w:bidi="hi-IN"/>
                                </w:rPr>
                                <w:t>4</w:t>
                              </w:r>
                            </w:sdtContent>
                          </w:sdt>
                          <w:r>
                            <w:rPr>
                              <w:rFonts w:eastAsia="NSimSun"/>
                              <w:kern w:val="2"/>
                              <w:szCs w:val="24"/>
                              <w:lang w:eastAsia="ar-SA" w:bidi="hi-IN"/>
                            </w:rPr>
                            <w:t>. Paramos lėšas sudaro Šiaulių miesto savivaldybės biudžeto (toliau – savivaldybės biudžetas) lėšos. Lėšų suma kiekvienais metais numatoma Šiaulių miesto savivaldybės strateginio veiklos plano, Ekonominės plėtros programos 05-01-01 priemonėje „Skatinti smulkiojo ir vidutinio verslo subjektus“, yra laikoma nereikšminga (</w:t>
                          </w:r>
                          <w:r>
                            <w:rPr>
                              <w:rFonts w:eastAsia="NSimSun"/>
                              <w:i/>
                              <w:iCs/>
                              <w:kern w:val="2"/>
                              <w:szCs w:val="24"/>
                              <w:lang w:eastAsia="ar-SA" w:bidi="hi-IN"/>
                            </w:rPr>
                            <w:t>de minimis</w:t>
                          </w:r>
                          <w:r>
                            <w:rPr>
                              <w:rFonts w:eastAsia="NSimSun"/>
                              <w:kern w:val="2"/>
                              <w:szCs w:val="24"/>
                              <w:lang w:eastAsia="ar-SA" w:bidi="hi-IN"/>
                            </w:rPr>
                            <w:t>) pagalba ir atitinka 2023 m. gruodžio 13 d. Europos Komisijos reglamento </w:t>
                          </w:r>
                          <w:fldSimple w:instr="HYPERLINK http://eur-lex.europa.eu/legal-content/LIT/TXT/?uri=CELEX:32023R2831&amp;locale=lt \t _blank">
                            <w:r>
                              <w:rPr>
                                <w:rFonts w:eastAsia="NSimSun"/>
                                <w:kern w:val="2"/>
                                <w:szCs w:val="24"/>
                                <w:lang w:eastAsia="ar-SA" w:bidi="hi-IN"/>
                                <w:u w:val="single"/>
                                <w:color w:val="0000FF" w:themeColor="hyperlink"/>
                              </w:rPr>
                              <w:t>(ES) 2023/2831</w:t>
                            </w:r>
                          </w:fldSimple>
                          <w:r>
                            <w:rPr>
                              <w:rFonts w:eastAsia="NSimSun"/>
                              <w:kern w:val="2"/>
                              <w:szCs w:val="24"/>
                              <w:lang w:eastAsia="ar-SA" w:bidi="hi-IN"/>
                            </w:rPr>
                            <w:t> dėl Sutarties dėl Europos Sąjungos veikimo 107 ir 108 straipsnių taikymo </w:t>
                          </w:r>
                          <w:r>
                            <w:rPr>
                              <w:rFonts w:eastAsia="NSimSun"/>
                              <w:i/>
                              <w:iCs/>
                              <w:kern w:val="2"/>
                              <w:szCs w:val="24"/>
                              <w:lang w:eastAsia="ar-SA" w:bidi="hi-IN"/>
                            </w:rPr>
                            <w:t>de minimis</w:t>
                          </w:r>
                          <w:r>
                            <w:rPr>
                              <w:rFonts w:eastAsia="NSimSun"/>
                              <w:kern w:val="2"/>
                              <w:szCs w:val="24"/>
                              <w:lang w:eastAsia="ar-SA" w:bidi="hi-IN"/>
                            </w:rPr>
                            <w:t> pagalbai (toliau – Reglamentas) nuostatas.“</w:t>
                          </w:r>
                        </w:p>
                      </w:sdtContent>
                    </w:sdt>
                  </w:sdtContent>
                </w:sdt>
              </w:sdtContent>
            </w:sdt>
            <w:sdt>
              <w:sdtPr>
                <w:alias w:val="1.2 pp."/>
                <w:tag w:val="part_29e0dabd62cd4898af5002c15ab04bcb"/>
                <w:lock w:val="sdtLocked"/>
                <w:richText/>
              </w:sdtPr>
              <w:sdtContent>
                <w:p w14:paraId="24C92EF2" w14:textId="56F27BA4">
                  <w:pPr>
                    <w:ind w:firstLine="851"/>
                    <w:jc w:val="both"/>
                    <w:rPr>
                      <w:rFonts w:eastAsia="NSimSun"/>
                      <w:kern w:val="2"/>
                      <w:szCs w:val="24"/>
                      <w:lang w:eastAsia="ar-SA" w:bidi="hi-IN"/>
                    </w:rPr>
                  </w:pPr>
                  <w:sdt>
                    <w:sdtPr>
                      <w:alias w:val="Numeris"/>
                      <w:tag w:val="nr_29e0dabd62cd4898af5002c15ab04bcb"/>
                      <w:lock w:val="sdtLocked"/>
                      <w:richText/>
                    </w:sdtPr>
                    <w:sdtContent>
                      <w:r>
                        <w:rPr>
                          <w:rFonts w:eastAsia="NSimSun"/>
                          <w:kern w:val="2"/>
                          <w:szCs w:val="24"/>
                          <w:lang w:eastAsia="ar-SA" w:bidi="hi-IN"/>
                        </w:rPr>
                        <w:t>1.2</w:t>
                      </w:r>
                    </w:sdtContent>
                  </w:sdt>
                  <w:r>
                    <w:rPr>
                      <w:rFonts w:eastAsia="NSimSun"/>
                      <w:kern w:val="2"/>
                      <w:szCs w:val="24"/>
                      <w:lang w:eastAsia="ar-SA" w:bidi="hi-IN"/>
                    </w:rPr>
                    <w:t xml:space="preserve">. Pakeisti 7 punktą ir jį išdėstyti taip: </w:t>
                  </w:r>
                </w:p>
                <w:sdt>
                  <w:sdtPr>
                    <w:alias w:val="citata"/>
                    <w:tag w:val="part_85c69d5030d149748f7b399f71c16c64"/>
                    <w:lock w:val="sdtLocked"/>
                    <w:richText/>
                  </w:sdtPr>
                  <w:sdtContent>
                    <w:sdt>
                      <w:sdtPr>
                        <w:alias w:val="7 p."/>
                        <w:tag w:val="part_8891a56500b04365bd5ff082ec935e77"/>
                        <w:lock w:val="sdtLocked"/>
                        <w:richText/>
                      </w:sdtPr>
                      <w:sdtContent>
                        <w:p w14:paraId="6B36C8B2" w14:textId="39006AA8">
                          <w:pPr>
                            <w:ind w:firstLine="851"/>
                            <w:jc w:val="both"/>
                            <w:rPr>
                              <w:rFonts w:eastAsia="NSimSun"/>
                              <w:kern w:val="2"/>
                              <w:szCs w:val="24"/>
                              <w:lang w:eastAsia="ar-SA" w:bidi="hi-IN"/>
                            </w:rPr>
                          </w:pPr>
                          <w:r>
                            <w:rPr>
                              <w:rFonts w:eastAsia="NSimSun"/>
                              <w:kern w:val="2"/>
                              <w:szCs w:val="24"/>
                              <w:lang w:eastAsia="ar-SA" w:bidi="hi-IN"/>
                            </w:rPr>
                            <w:t>„</w:t>
                          </w:r>
                          <w:sdt>
                            <w:sdtPr>
                              <w:alias w:val="Numeris"/>
                              <w:tag w:val="nr_8891a56500b04365bd5ff082ec935e77"/>
                              <w:lock w:val="sdtLocked"/>
                              <w:richText/>
                            </w:sdtPr>
                            <w:sdtContent>
                              <w:r>
                                <w:rPr>
                                  <w:rFonts w:eastAsia="NSimSun"/>
                                  <w:kern w:val="2"/>
                                  <w:szCs w:val="24"/>
                                  <w:lang w:eastAsia="ar-SA" w:bidi="hi-IN"/>
                                </w:rPr>
                                <w:t>7</w:t>
                              </w:r>
                            </w:sdtContent>
                          </w:sdt>
                          <w:r>
                            <w:rPr>
                              <w:rFonts w:eastAsia="NSimSun"/>
                              <w:kern w:val="2"/>
                              <w:szCs w:val="24"/>
                              <w:lang w:eastAsia="ar-SA" w:bidi="hi-IN"/>
                            </w:rPr>
                            <w:t>. Išnaudojus einamųjų metų Ekonominės plėtros programoje numatytas lėšas, skirtas finansinėms paramos priemonėms, prašymai nesvarstomi.“</w:t>
                          </w:r>
                        </w:p>
                      </w:sdtContent>
                    </w:sdt>
                  </w:sdtContent>
                </w:sdt>
              </w:sdtContent>
            </w:sdt>
            <w:sdt>
              <w:sdtPr>
                <w:alias w:val="1.3 pp."/>
                <w:tag w:val="part_41b67bb9a70e41c1b1c125766c33b86a"/>
                <w:lock w:val="sdtLocked"/>
                <w:richText/>
              </w:sdtPr>
              <w:sdtContent>
                <w:p w14:paraId="05B0A717" w14:textId="5D9509B6">
                  <w:pPr>
                    <w:ind w:firstLine="851"/>
                    <w:jc w:val="both"/>
                    <w:rPr>
                      <w:rFonts w:eastAsia="NSimSun"/>
                      <w:kern w:val="2"/>
                      <w:szCs w:val="24"/>
                      <w:lang w:eastAsia="ar-SA" w:bidi="hi-IN"/>
                    </w:rPr>
                  </w:pPr>
                  <w:sdt>
                    <w:sdtPr>
                      <w:alias w:val="Numeris"/>
                      <w:tag w:val="nr_41b67bb9a70e41c1b1c125766c33b86a"/>
                      <w:lock w:val="sdtLocked"/>
                      <w:richText/>
                    </w:sdtPr>
                    <w:sdtContent>
                      <w:r>
                        <w:rPr>
                          <w:rFonts w:eastAsia="NSimSun"/>
                          <w:kern w:val="2"/>
                          <w:szCs w:val="24"/>
                          <w:lang w:eastAsia="ar-SA" w:bidi="hi-IN"/>
                        </w:rPr>
                        <w:t>1.3</w:t>
                      </w:r>
                    </w:sdtContent>
                  </w:sdt>
                  <w:r>
                    <w:rPr>
                      <w:rFonts w:eastAsia="NSimSun"/>
                      <w:kern w:val="2"/>
                      <w:szCs w:val="24"/>
                      <w:lang w:eastAsia="ar-SA" w:bidi="hi-IN"/>
                    </w:rPr>
                    <w:t xml:space="preserve">. Pakeisti 9.9 papunktį ir jį išdėstyti taip: </w:t>
                  </w:r>
                </w:p>
                <w:p w14:paraId="3D9B5DD1" w14:textId="628014D9">
                  <w:pPr>
                    <w:tabs>
                      <w:tab w:val="left" w:pos="993"/>
                    </w:tabs>
                    <w:ind w:hanging="142"/>
                    <w:jc w:val="both"/>
                    <w:rPr>
                      <w:strike/>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6938"/>
                  </w:tblGrid>
                  <w:tr w14:paraId="30804742" w14:textId="77777777">
                    <w:trPr>
                      <w:trHeight w:val="3498"/>
                    </w:trPr>
                    <w:tc>
                      <w:tcPr>
                        <w:tcW w:w="2689" w:type="dxa"/>
                        <w:tcBorders>
                          <w:top w:val="single" w:sz="4" w:space="0" w:color="auto"/>
                          <w:left w:val="single" w:sz="4" w:space="0" w:color="auto"/>
                          <w:bottom w:val="single" w:sz="4" w:space="0" w:color="auto"/>
                          <w:right w:val="single" w:sz="4" w:space="0" w:color="auto"/>
                        </w:tcBorders>
                      </w:tcPr>
                      <w:p w14:paraId="0C6AE94E" w14:textId="49E06440">
                        <w:pPr>
                          <w:rPr>
                            <w:szCs w:val="24"/>
                            <w:lang w:eastAsia="lt-LT"/>
                          </w:rPr>
                        </w:pPr>
                        <w:r>
                          <w:rPr>
                            <w:szCs w:val="24"/>
                            <w:lang w:eastAsia="lt-LT"/>
                          </w:rPr>
                          <w:t>„9.9. Rinkodaros priemonių įsigijimo dalinis išlaidų kompensavimas</w:t>
                        </w:r>
                      </w:p>
                    </w:tc>
                    <w:tc>
                      <w:tcPr>
                        <w:tcW w:w="6938" w:type="dxa"/>
                        <w:tcBorders>
                          <w:top w:val="single" w:sz="4" w:space="0" w:color="auto"/>
                          <w:left w:val="single" w:sz="4" w:space="0" w:color="auto"/>
                          <w:bottom w:val="single" w:sz="4" w:space="0" w:color="auto"/>
                          <w:right w:val="single" w:sz="4" w:space="0" w:color="auto"/>
                        </w:tcBorders>
                      </w:tcPr>
                      <w:p w14:paraId="7C8508A9" w14:textId="60086E92">
                        <w:pPr>
                          <w:tabs>
                            <w:tab w:val="left" w:pos="993"/>
                          </w:tabs>
                          <w:ind w:right="172"/>
                          <w:jc w:val="both"/>
                          <w:rPr>
                            <w:szCs w:val="24"/>
                            <w:lang w:eastAsia="lt-LT"/>
                          </w:rPr>
                        </w:pPr>
                        <w:r>
                          <w:rPr>
                            <w:szCs w:val="24"/>
                            <w:lang w:eastAsia="lt-LT"/>
                          </w:rPr>
                          <w:t>Skiriama parama –50 proc. kompensuoti tinkamų išlaidų, bet ne daugiau kaip 1000 Eur.</w:t>
                        </w:r>
                      </w:p>
                      <w:p w14:paraId="16AA257F" w14:textId="77777777">
                        <w:pPr>
                          <w:tabs>
                            <w:tab w:val="left" w:pos="993"/>
                          </w:tabs>
                          <w:ind w:right="172"/>
                          <w:jc w:val="both"/>
                          <w:rPr>
                            <w:szCs w:val="24"/>
                            <w:lang w:eastAsia="lt-LT"/>
                          </w:rPr>
                        </w:pPr>
                        <w:r>
                          <w:rPr>
                            <w:b/>
                            <w:szCs w:val="24"/>
                            <w:lang w:eastAsia="lt-LT"/>
                          </w:rPr>
                          <w:t>Tinkamos finansuoti išlaidos:</w:t>
                        </w:r>
                        <w:r>
                          <w:rPr>
                            <w:szCs w:val="24"/>
                            <w:lang w:eastAsia="lt-LT"/>
                          </w:rPr>
                          <w:t xml:space="preserve"> reklaminė spauda (leidiniai, skrajutės, lankstinukai, vizitinės kortelės, lipdukai, plakatai), vizualinė reklama (iškabos, stendai, informacinės lentelės, langų ir automobilių lipdukai), kitos reklamos priemonės ir paslaugos (antspaudai, prekinio ženklo, logotipo sukūrimas, reklamos dizaino paslaugos), elektroninės rinkodaros priemonės (reklama paieškos sistemose, vaizdinė reklama internete, interaktyvaus turinio reklama), interneto svetainė. </w:t>
                        </w:r>
                      </w:p>
                      <w:p w14:paraId="186D3468" w14:textId="7D878949">
                        <w:pPr>
                          <w:tabs>
                            <w:tab w:val="left" w:pos="993"/>
                          </w:tabs>
                          <w:ind w:right="172"/>
                          <w:jc w:val="both"/>
                          <w:rPr>
                            <w:szCs w:val="24"/>
                            <w:lang w:eastAsia="lt-LT"/>
                          </w:rPr>
                        </w:pPr>
                        <w:r>
                          <w:rPr>
                            <w:szCs w:val="24"/>
                            <w:lang w:eastAsia="lt-LT"/>
                          </w:rPr>
                          <w:t>Prašymas padengti išlaidas turi būti pateiktas ne vėliau kaip per devynis mėnesius nuo išlaidų atsiradimo dienos.“</w:t>
                        </w:r>
                      </w:p>
                    </w:tc>
                  </w:tr>
                </w:tbl>
                <w:p w14:paraId="6506E1EA" w14:textId="654AB0D9">
                  <w:pPr>
                    <w:tabs>
                      <w:tab w:val="left" w:pos="993"/>
                    </w:tabs>
                    <w:ind w:hanging="142"/>
                    <w:jc w:val="both"/>
                    <w:rPr>
                      <w:strike/>
                      <w:szCs w:val="24"/>
                      <w:lang w:eastAsia="lt-LT"/>
                    </w:rPr>
                  </w:pPr>
                </w:p>
                <w:p w14:paraId="3B4BC829" w14:textId="549563CE">
                  <w:pPr>
                    <w:rPr>
                      <w:strike/>
                      <w:szCs w:val="24"/>
                      <w:lang w:eastAsia="lt-LT"/>
                    </w:rPr>
                  </w:pPr>
                  <w:r>
                    <w:rPr>
                      <w:strike/>
                      <w:szCs w:val="24"/>
                      <w:lang w:eastAsia="lt-LT"/>
                    </w:rPr>
                    <w:br w:type="page"/>
                  </w:r>
                </w:p>
              </w:sdtContent>
            </w:sdt>
            <w:sdt>
              <w:sdtPr>
                <w:alias w:val="1.4 pp."/>
                <w:tag w:val="part_b3eeab33e0e44e8fa598cc6fe5680555"/>
                <w:lock w:val="sdtLocked"/>
                <w:richText/>
              </w:sdtPr>
              <w:sdtContent>
                <w:p w14:paraId="2D17B0EA" w14:textId="7AAB940F">
                  <w:pPr>
                    <w:ind w:firstLine="851"/>
                    <w:jc w:val="both"/>
                    <w:rPr>
                      <w:rFonts w:eastAsia="NSimSun"/>
                      <w:kern w:val="2"/>
                      <w:szCs w:val="24"/>
                      <w:lang w:eastAsia="ar-SA" w:bidi="hi-IN"/>
                    </w:rPr>
                  </w:pPr>
                  <w:sdt>
                    <w:sdtPr>
                      <w:alias w:val="Numeris"/>
                      <w:tag w:val="nr_b3eeab33e0e44e8fa598cc6fe5680555"/>
                      <w:lock w:val="sdtLocked"/>
                      <w:richText/>
                    </w:sdtPr>
                    <w:sdtContent>
                      <w:r>
                        <w:rPr>
                          <w:rFonts w:eastAsia="NSimSun"/>
                          <w:kern w:val="2"/>
                          <w:szCs w:val="24"/>
                          <w:lang w:eastAsia="ar-SA" w:bidi="hi-IN"/>
                        </w:rPr>
                        <w:t>1.4</w:t>
                      </w:r>
                    </w:sdtContent>
                  </w:sdt>
                  <w:r>
                    <w:rPr>
                      <w:rFonts w:eastAsia="NSimSun"/>
                      <w:kern w:val="2"/>
                      <w:szCs w:val="24"/>
                      <w:lang w:eastAsia="ar-SA" w:bidi="hi-IN"/>
                    </w:rPr>
                    <w:t xml:space="preserve">. Papildyti 9.10 papunkčiu: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8081"/>
                  </w:tblGrid>
                  <w:tr w14:paraId="7704CFDE" w14:textId="77777777">
                    <w:trPr>
                      <w:trHeight w:val="699"/>
                    </w:trPr>
                    <w:tc>
                      <w:tcPr>
                        <w:tcW w:w="1413" w:type="dxa"/>
                        <w:tcBorders>
                          <w:top w:val="single" w:sz="4" w:space="0" w:color="auto"/>
                          <w:left w:val="single" w:sz="4" w:space="0" w:color="auto"/>
                          <w:bottom w:val="single" w:sz="4" w:space="0" w:color="auto"/>
                          <w:right w:val="single" w:sz="4" w:space="0" w:color="auto"/>
                        </w:tcBorders>
                      </w:tcPr>
                      <w:p w14:paraId="73507470" w14:textId="51878447">
                        <w:pPr>
                          <w:rPr>
                            <w:szCs w:val="24"/>
                            <w:lang w:eastAsia="lt-LT"/>
                          </w:rPr>
                        </w:pPr>
                        <w:r>
                          <w:rPr>
                            <w:szCs w:val="24"/>
                            <w:lang w:eastAsia="lt-LT"/>
                          </w:rPr>
                          <w:t>„9.10. Komercinės paskirties patalpų nuomos dalinis išlaidų padengimas</w:t>
                        </w:r>
                      </w:p>
                    </w:tc>
                    <w:tc>
                      <w:tcPr>
                        <w:tcW w:w="8081" w:type="dxa"/>
                        <w:tcBorders>
                          <w:top w:val="single" w:sz="4" w:space="0" w:color="auto"/>
                          <w:left w:val="single" w:sz="4" w:space="0" w:color="auto"/>
                          <w:bottom w:val="single" w:sz="4" w:space="0" w:color="auto"/>
                          <w:right w:val="single" w:sz="4" w:space="0" w:color="auto"/>
                        </w:tcBorders>
                      </w:tcPr>
                      <w:p w14:paraId="46F0CC76" w14:textId="6C4A264E">
                        <w:pPr>
                          <w:ind w:right="40"/>
                          <w:jc w:val="both"/>
                          <w:rPr>
                            <w:szCs w:val="24"/>
                            <w:lang w:eastAsia="lt-LT"/>
                          </w:rPr>
                        </w:pPr>
                        <w:r>
                          <w:rPr>
                            <w:szCs w:val="24"/>
                            <w:lang w:eastAsia="lt-LT"/>
                          </w:rPr>
                          <w:t>Skiriama parama – 50 proc. kompensuoti tinkamų išlaidų, bet ne daugiau kaip 3000 Eur.</w:t>
                        </w:r>
                      </w:p>
                      <w:p w14:paraId="1EE0A442" w14:textId="7260128B">
                        <w:pPr>
                          <w:ind w:right="40"/>
                          <w:jc w:val="both"/>
                          <w:rPr>
                            <w:szCs w:val="24"/>
                            <w:lang w:eastAsia="lt-LT"/>
                          </w:rPr>
                        </w:pPr>
                        <w:r>
                          <w:rPr>
                            <w:b/>
                            <w:szCs w:val="24"/>
                            <w:lang w:eastAsia="lt-LT"/>
                          </w:rPr>
                          <w:t xml:space="preserve">Tinkamos finansuoti išlaidos: </w:t>
                        </w:r>
                        <w:r>
                          <w:rPr>
                            <w:szCs w:val="24"/>
                            <w:lang w:eastAsia="lt-LT"/>
                          </w:rPr>
                          <w:t xml:space="preserve">komercinės paskirties patalpų ilgalaikės nuomos išlaidos (nekompensuojama – </w:t>
                        </w:r>
                        <w:r>
                          <w:rPr>
                            <w:color w:val="000000"/>
                            <w:szCs w:val="24"/>
                            <w:shd w:val="clear" w:color="auto" w:fill="FFFFFF"/>
                            <w:lang w:eastAsia="lt-LT"/>
                          </w:rPr>
                          <w:t>mokesčiai valstybei, komunalinės, remonto išlaidos</w:t>
                        </w:r>
                        <w:r>
                          <w:rPr>
                            <w:szCs w:val="24"/>
                            <w:lang w:eastAsia="lt-LT"/>
                          </w:rPr>
                          <w:t xml:space="preserve">), kurias patiria SVV subjektai, užsiimantys prekyba, gamyba ir (ar) paslaugų teikimu ir veikiantys ne ilgiau nei 5 metus. </w:t>
                        </w:r>
                      </w:p>
                      <w:p w14:paraId="2B0A4634" w14:textId="506A7757">
                        <w:pPr>
                          <w:ind w:right="40"/>
                          <w:jc w:val="both"/>
                          <w:rPr>
                            <w:szCs w:val="24"/>
                            <w:lang w:eastAsia="lt-LT"/>
                          </w:rPr>
                        </w:pPr>
                        <w:r>
                          <w:rPr>
                            <w:szCs w:val="24"/>
                            <w:lang w:eastAsia="lt-LT"/>
                          </w:rPr>
                          <w:t xml:space="preserve">Pagal šią priemonę SVV subjektams netaikomi Nuostatų 10.2, 10.3 ir 30.2.1 papunkčių ir 32 punkto reikalavimai.  </w:t>
                        </w:r>
                      </w:p>
                      <w:p w14:paraId="443404A5" w14:textId="1F7128C9">
                        <w:pPr>
                          <w:ind w:right="40" w:firstLine="27"/>
                          <w:jc w:val="both"/>
                          <w:rPr>
                            <w:szCs w:val="24"/>
                            <w:shd w:val="clear" w:color="auto" w:fill="FFFFFF"/>
                            <w:lang w:eastAsia="lt-LT"/>
                          </w:rPr>
                        </w:pPr>
                        <w:r>
                          <w:rPr>
                            <w:szCs w:val="24"/>
                            <w:lang w:eastAsia="lt-LT"/>
                          </w:rPr>
                          <w:t xml:space="preserve">Išlaidos kompensuojamos tik tuo atveju, jei patalpų ilgalaikės nuomos sutartyje nurodytas nuomojamo objekto adresas – Šiaulių miesto centrinė dalis, kuri </w:t>
                        </w:r>
                        <w:r>
                          <w:rPr>
                            <w:szCs w:val="24"/>
                            <w:shd w:val="clear" w:color="auto" w:fill="FFFFFF"/>
                            <w:lang w:eastAsia="lt-LT"/>
                          </w:rPr>
                          <w:t xml:space="preserve">apima Vilniaus gatvės (bulvaro) dalį nuo Žemaitės gatvės iki Draugystės prospekto, ir patalpų nuomos sutartis užregistruota valstybės įmonės Registrų centro Nekilnojamojo turto registre. </w:t>
                        </w:r>
                      </w:p>
                      <w:p w14:paraId="7AFDD5ED" w14:textId="57084204">
                        <w:pPr>
                          <w:ind w:right="40" w:firstLine="27"/>
                          <w:jc w:val="both"/>
                          <w:rPr>
                            <w:color w:val="FF0000"/>
                            <w:szCs w:val="24"/>
                            <w:lang w:eastAsia="lt-LT"/>
                          </w:rPr>
                        </w:pPr>
                        <w:r>
                          <w:rPr>
                            <w:szCs w:val="24"/>
                            <w:lang w:eastAsia="lt-LT"/>
                          </w:rPr>
                          <w:t>Prašymas padengti išlaidas turi būti pateiktas ne vėliau kaip per devynis mėnesius nuo išlaidų atsiradimo dienos.“</w:t>
                        </w:r>
                      </w:p>
                    </w:tc>
                  </w:tr>
                </w:tbl>
                <w:p w14:paraId="57A74930" w14:textId="77777777">
                  <w:pPr>
                    <w:ind w:firstLine="851"/>
                    <w:jc w:val="both"/>
                    <w:rPr>
                      <w:szCs w:val="24"/>
                      <w:lang w:eastAsia="lt-LT"/>
                    </w:rPr>
                  </w:pPr>
                </w:p>
              </w:sdtContent>
            </w:sdt>
            <w:sdt>
              <w:sdtPr>
                <w:alias w:val="1.5 pp."/>
                <w:tag w:val="part_113ca54316b849fc88e6221fb029258d"/>
                <w:lock w:val="sdtLocked"/>
                <w:richText/>
              </w:sdtPr>
              <w:sdtContent>
                <w:p w14:paraId="00EAC845" w14:textId="0B22F896">
                  <w:pPr>
                    <w:ind w:firstLine="851"/>
                    <w:jc w:val="both"/>
                    <w:rPr>
                      <w:szCs w:val="24"/>
                      <w:lang w:eastAsia="lt-LT"/>
                    </w:rPr>
                  </w:pPr>
                  <w:sdt>
                    <w:sdtPr>
                      <w:alias w:val="Numeris"/>
                      <w:tag w:val="nr_113ca54316b849fc88e6221fb029258d"/>
                      <w:lock w:val="sdtLocked"/>
                      <w:richText/>
                    </w:sdtPr>
                    <w:sdtContent>
                      <w:r>
                        <w:rPr>
                          <w:szCs w:val="24"/>
                          <w:lang w:eastAsia="lt-LT"/>
                        </w:rPr>
                        <w:t>1.5</w:t>
                      </w:r>
                    </w:sdtContent>
                  </w:sdt>
                  <w:r>
                    <w:rPr>
                      <w:szCs w:val="24"/>
                      <w:lang w:eastAsia="lt-LT"/>
                    </w:rPr>
                    <w:t xml:space="preserve">. Pakeisti 10.4 papunktį ir jį išdėstyti taip: </w:t>
                  </w:r>
                </w:p>
                <w:sdt>
                  <w:sdtPr>
                    <w:alias w:val="citata"/>
                    <w:tag w:val="part_6ecae3e26f2a4561b01870ef1f634c37"/>
                    <w:lock w:val="sdtLocked"/>
                    <w:richText/>
                  </w:sdtPr>
                  <w:sdtContent>
                    <w:sdt>
                      <w:sdtPr>
                        <w:alias w:val="10.4 pp."/>
                        <w:tag w:val="part_741911f54f09482ca44910e14e0cbc20"/>
                        <w:lock w:val="sdtLocked"/>
                        <w:richText/>
                      </w:sdtPr>
                      <w:sdtContent>
                        <w:p w14:paraId="06260E73" w14:textId="141516A8">
                          <w:pPr>
                            <w:ind w:firstLine="851"/>
                            <w:jc w:val="both"/>
                            <w:rPr>
                              <w:szCs w:val="24"/>
                              <w:lang w:eastAsia="lt-LT"/>
                            </w:rPr>
                          </w:pPr>
                          <w:r>
                            <w:rPr>
                              <w:szCs w:val="24"/>
                              <w:lang w:eastAsia="lt-LT"/>
                            </w:rPr>
                            <w:t>„</w:t>
                          </w:r>
                          <w:sdt>
                            <w:sdtPr>
                              <w:alias w:val="Numeris"/>
                              <w:tag w:val="nr_741911f54f09482ca44910e14e0cbc20"/>
                              <w:lock w:val="sdtLocked"/>
                              <w:richText/>
                            </w:sdtPr>
                            <w:sdtContent>
                              <w:r>
                                <w:rPr>
                                  <w:szCs w:val="24"/>
                                  <w:lang w:eastAsia="lt-LT"/>
                                </w:rPr>
                                <w:t>10.4</w:t>
                              </w:r>
                            </w:sdtContent>
                          </w:sdt>
                          <w:r>
                            <w:rPr>
                              <w:szCs w:val="24"/>
                              <w:lang w:eastAsia="lt-LT"/>
                            </w:rPr>
                            <w:t>. nėra padarę ekonominio pobūdžio pažeidimų;“.</w:t>
                          </w:r>
                        </w:p>
                      </w:sdtContent>
                    </w:sdt>
                  </w:sdtContent>
                </w:sdt>
              </w:sdtContent>
            </w:sdt>
            <w:sdt>
              <w:sdtPr>
                <w:alias w:val="1.6 pp."/>
                <w:tag w:val="part_b6a580d88dd94aacbc29bfae93ef3f7c"/>
                <w:lock w:val="sdtLocked"/>
                <w:richText/>
              </w:sdtPr>
              <w:sdtContent>
                <w:p w14:paraId="4A11A894" w14:textId="64422D7D">
                  <w:pPr>
                    <w:ind w:firstLine="851"/>
                    <w:jc w:val="both"/>
                    <w:rPr>
                      <w:szCs w:val="24"/>
                      <w:lang w:eastAsia="lt-LT"/>
                    </w:rPr>
                  </w:pPr>
                  <w:sdt>
                    <w:sdtPr>
                      <w:alias w:val="Numeris"/>
                      <w:tag w:val="nr_b6a580d88dd94aacbc29bfae93ef3f7c"/>
                      <w:lock w:val="sdtLocked"/>
                      <w:richText/>
                    </w:sdtPr>
                    <w:sdtContent>
                      <w:r>
                        <w:rPr>
                          <w:szCs w:val="24"/>
                          <w:lang w:eastAsia="lt-LT"/>
                        </w:rPr>
                        <w:t>1.6</w:t>
                      </w:r>
                    </w:sdtContent>
                  </w:sdt>
                  <w:r>
                    <w:rPr>
                      <w:szCs w:val="24"/>
                      <w:lang w:eastAsia="lt-LT"/>
                    </w:rPr>
                    <w:t xml:space="preserve">. Pakeisti 12 punktą ir jį išdėstyti taip: </w:t>
                  </w:r>
                </w:p>
                <w:sdt>
                  <w:sdtPr>
                    <w:alias w:val="citata"/>
                    <w:tag w:val="part_46fa7c5b6d814a969f5da6d96b65072f"/>
                    <w:lock w:val="sdtLocked"/>
                    <w:richText/>
                  </w:sdtPr>
                  <w:sdtContent>
                    <w:sdt>
                      <w:sdtPr>
                        <w:alias w:val="12 p."/>
                        <w:tag w:val="part_8dbd44291fea40e2b007b2355ed79031"/>
                        <w:lock w:val="sdtLocked"/>
                        <w:richText/>
                      </w:sdtPr>
                      <w:sdtContent>
                        <w:p w14:paraId="47286372" w14:textId="53367B3D">
                          <w:pPr>
                            <w:ind w:firstLine="851"/>
                            <w:jc w:val="both"/>
                            <w:rPr>
                              <w:szCs w:val="24"/>
                              <w:lang w:eastAsia="lt-LT"/>
                            </w:rPr>
                          </w:pPr>
                          <w:r>
                            <w:rPr>
                              <w:szCs w:val="24"/>
                              <w:lang w:eastAsia="lt-LT"/>
                            </w:rPr>
                            <w:t>„</w:t>
                          </w:r>
                          <w:sdt>
                            <w:sdtPr>
                              <w:alias w:val="Numeris"/>
                              <w:tag w:val="nr_8dbd44291fea40e2b007b2355ed79031"/>
                              <w:lock w:val="sdtLocked"/>
                              <w:richText/>
                            </w:sdtPr>
                            <w:sdtContent>
                              <w:r>
                                <w:rPr>
                                  <w:szCs w:val="24"/>
                                  <w:lang w:eastAsia="lt-LT"/>
                                </w:rPr>
                                <w:t>12</w:t>
                              </w:r>
                            </w:sdtContent>
                          </w:sdt>
                          <w:r>
                            <w:rPr>
                              <w:szCs w:val="24"/>
                              <w:lang w:eastAsia="lt-LT"/>
                            </w:rPr>
                            <w:t xml:space="preserve">. Paraiškos finansinėms priemonėms, nurodytoms Nuostatų 9.1, 9.2, 9.3, 9.6, 9.7, 9.9 ir 9.10 papunkčiuose, priimamos visus einamuosius metus iki Nuostatų 7 punkte nurodytų aplinkybių atsiradimo dienos.“  </w:t>
                          </w:r>
                        </w:p>
                      </w:sdtContent>
                    </w:sdt>
                  </w:sdtContent>
                </w:sdt>
              </w:sdtContent>
            </w:sdt>
            <w:sdt>
              <w:sdtPr>
                <w:alias w:val="1.7 pp."/>
                <w:tag w:val="part_27ad4148ffa64d2198145d1b5b944716"/>
                <w:lock w:val="sdtLocked"/>
                <w:richText/>
              </w:sdtPr>
              <w:sdtContent>
                <w:p w14:paraId="227D015F" w14:textId="59D813B6">
                  <w:pPr>
                    <w:ind w:firstLine="851"/>
                    <w:jc w:val="both"/>
                    <w:rPr>
                      <w:szCs w:val="24"/>
                      <w:lang w:eastAsia="lt-LT"/>
                    </w:rPr>
                  </w:pPr>
                  <w:sdt>
                    <w:sdtPr>
                      <w:alias w:val="Numeris"/>
                      <w:tag w:val="nr_27ad4148ffa64d2198145d1b5b944716"/>
                      <w:lock w:val="sdtLocked"/>
                      <w:richText/>
                    </w:sdtPr>
                    <w:sdtContent>
                      <w:r>
                        <w:rPr>
                          <w:szCs w:val="24"/>
                          <w:lang w:eastAsia="lt-LT"/>
                        </w:rPr>
                        <w:t>1.7</w:t>
                      </w:r>
                    </w:sdtContent>
                  </w:sdt>
                  <w:r>
                    <w:rPr>
                      <w:szCs w:val="24"/>
                      <w:lang w:eastAsia="lt-LT"/>
                    </w:rPr>
                    <w:t xml:space="preserve">. Pakeisti 20 punktą ir jį išdėstyti taip: </w:t>
                  </w:r>
                </w:p>
                <w:sdt>
                  <w:sdtPr>
                    <w:alias w:val="citata"/>
                    <w:tag w:val="part_7876cbfc50274985b642a8cc57d165af"/>
                    <w:lock w:val="sdtLocked"/>
                    <w:richText/>
                  </w:sdtPr>
                  <w:sdtContent>
                    <w:sdt>
                      <w:sdtPr>
                        <w:alias w:val="20 p."/>
                        <w:tag w:val="part_e114ab511d404dab8a8b556bcf001165"/>
                        <w:lock w:val="sdtLocked"/>
                        <w:richText/>
                      </w:sdtPr>
                      <w:sdtContent>
                        <w:p w14:paraId="6910D6B1" w14:textId="6C22B34A">
                          <w:pPr>
                            <w:ind w:firstLine="851"/>
                            <w:jc w:val="both"/>
                            <w:rPr>
                              <w:szCs w:val="24"/>
                              <w:lang w:eastAsia="lt-LT"/>
                            </w:rPr>
                          </w:pPr>
                          <w:r>
                            <w:rPr>
                              <w:szCs w:val="24"/>
                              <w:lang w:eastAsia="lt-LT"/>
                            </w:rPr>
                            <w:t>„</w:t>
                          </w:r>
                          <w:sdt>
                            <w:sdtPr>
                              <w:alias w:val="Numeris"/>
                              <w:tag w:val="nr_e114ab511d404dab8a8b556bcf001165"/>
                              <w:lock w:val="sdtLocked"/>
                              <w:richText/>
                            </w:sdtPr>
                            <w:sdtContent>
                              <w:r>
                                <w:rPr>
                                  <w:szCs w:val="24"/>
                                  <w:lang w:eastAsia="lt-LT"/>
                                </w:rPr>
                                <w:t>20</w:t>
                              </w:r>
                            </w:sdtContent>
                          </w:sdt>
                          <w:r>
                            <w:rPr>
                              <w:szCs w:val="24"/>
                              <w:lang w:eastAsia="lt-LT"/>
                            </w:rPr>
                            <w:t>. Paraiškas, pateiktas paramai gauti pagal Nuostatų 9.1, 9.2, 9.3, 9.6, 9.7, 9.9 ir 9.10 papunkčiuose nurodytas finansavimo priemones, Darbo grupė vertina atsižvelgdama į jų atitiktį Nuostatų III skyriuje nustatytiems reikalavimams ir į Nuostatų 15 punkte nurodytus dokumentus.“</w:t>
                          </w:r>
                        </w:p>
                      </w:sdtContent>
                    </w:sdt>
                  </w:sdtContent>
                </w:sdt>
              </w:sdtContent>
            </w:sdt>
            <w:sdt>
              <w:sdtPr>
                <w:alias w:val="1.8 pp."/>
                <w:tag w:val="part_852f1891e1534e61bae9b1d083d4a5f6"/>
                <w:lock w:val="sdtLocked"/>
                <w:richText/>
              </w:sdtPr>
              <w:sdtContent>
                <w:p w14:paraId="1E1A5468" w14:textId="51791E42">
                  <w:pPr>
                    <w:ind w:firstLine="851"/>
                    <w:jc w:val="both"/>
                    <w:rPr>
                      <w:szCs w:val="24"/>
                      <w:lang w:eastAsia="lt-LT"/>
                    </w:rPr>
                  </w:pPr>
                  <w:sdt>
                    <w:sdtPr>
                      <w:alias w:val="Numeris"/>
                      <w:tag w:val="nr_852f1891e1534e61bae9b1d083d4a5f6"/>
                      <w:lock w:val="sdtLocked"/>
                      <w:richText/>
                    </w:sdtPr>
                    <w:sdtContent>
                      <w:r>
                        <w:rPr>
                          <w:szCs w:val="24"/>
                          <w:lang w:eastAsia="lt-LT"/>
                        </w:rPr>
                        <w:t>1.8</w:t>
                      </w:r>
                    </w:sdtContent>
                  </w:sdt>
                  <w:r>
                    <w:rPr>
                      <w:szCs w:val="24"/>
                      <w:lang w:eastAsia="lt-LT"/>
                    </w:rPr>
                    <w:t xml:space="preserve">. Pakeisti 30.2 papunktį ir jį išdėstyti taip: </w:t>
                  </w:r>
                </w:p>
                <w:sdt>
                  <w:sdtPr>
                    <w:alias w:val="citata"/>
                    <w:tag w:val="part_e16f6bd269204714bda90ef1b258bb28"/>
                    <w:lock w:val="sdtLocked"/>
                    <w:richText/>
                  </w:sdtPr>
                  <w:sdtContent>
                    <w:sdt>
                      <w:sdtPr>
                        <w:alias w:val="30.2 pp."/>
                        <w:tag w:val="part_adc2c641fcd243deaf0efb7fab664e5f"/>
                        <w:lock w:val="sdtLocked"/>
                        <w:richText/>
                      </w:sdtPr>
                      <w:sdtContent>
                        <w:p w14:paraId="755907A8" w14:textId="2DB10657">
                          <w:pPr>
                            <w:ind w:firstLine="851"/>
                            <w:jc w:val="both"/>
                            <w:rPr>
                              <w:szCs w:val="24"/>
                              <w:lang w:eastAsia="lt-LT"/>
                            </w:rPr>
                          </w:pPr>
                          <w:r>
                            <w:rPr>
                              <w:szCs w:val="24"/>
                              <w:lang w:eastAsia="lt-LT"/>
                            </w:rPr>
                            <w:t>„</w:t>
                          </w:r>
                          <w:sdt>
                            <w:sdtPr>
                              <w:alias w:val="Numeris"/>
                              <w:tag w:val="nr_adc2c641fcd243deaf0efb7fab664e5f"/>
                              <w:lock w:val="sdtLocked"/>
                              <w:richText/>
                            </w:sdtPr>
                            <w:sdtContent>
                              <w:r>
                                <w:rPr>
                                  <w:szCs w:val="24"/>
                                  <w:lang w:eastAsia="lt-LT"/>
                                </w:rPr>
                                <w:t>30.2</w:t>
                              </w:r>
                            </w:sdtContent>
                          </w:sdt>
                          <w:r>
                            <w:rPr>
                              <w:szCs w:val="24"/>
                              <w:lang w:eastAsia="lt-LT"/>
                            </w:rPr>
                            <w:t>. nuomai:</w:t>
                          </w:r>
                        </w:p>
                        <w:sdt>
                          <w:sdtPr>
                            <w:alias w:val="30.2.1 pp."/>
                            <w:tag w:val="part_c6dbda52e1894005b07fa3061617f74a"/>
                            <w:lock w:val="sdtLocked"/>
                            <w:richText/>
                          </w:sdtPr>
                          <w:sdtContent>
                            <w:p w14:paraId="7387AB6B" w14:textId="77777777">
                              <w:pPr>
                                <w:ind w:firstLine="851"/>
                                <w:jc w:val="both"/>
                                <w:rPr>
                                  <w:szCs w:val="24"/>
                                  <w:lang w:eastAsia="lt-LT"/>
                                </w:rPr>
                              </w:pPr>
                              <w:sdt>
                                <w:sdtPr>
                                  <w:alias w:val="Numeris"/>
                                  <w:tag w:val="nr_c6dbda52e1894005b07fa3061617f74a"/>
                                  <w:lock w:val="sdtLocked"/>
                                  <w:richText/>
                                </w:sdtPr>
                                <w:sdtContent>
                                  <w:r>
                                    <w:rPr>
                                      <w:szCs w:val="24"/>
                                      <w:lang w:eastAsia="lt-LT"/>
                                    </w:rPr>
                                    <w:t>30.2.1</w:t>
                                  </w:r>
                                </w:sdtContent>
                              </w:sdt>
                              <w:r>
                                <w:rPr>
                                  <w:szCs w:val="24"/>
                                  <w:lang w:eastAsia="lt-LT"/>
                                </w:rPr>
                                <w:t xml:space="preserve">. nekilnojamojo turto; </w:t>
                              </w:r>
                            </w:p>
                          </w:sdtContent>
                        </w:sdt>
                        <w:sdt>
                          <w:sdtPr>
                            <w:alias w:val="30.2.2 pp."/>
                            <w:tag w:val="part_23730e40c53e4e0ab27cf52344aa6250"/>
                            <w:lock w:val="sdtLocked"/>
                            <w:richText/>
                          </w:sdtPr>
                          <w:sdtContent>
                            <w:p w14:paraId="67DD17E3" w14:textId="5721F09E">
                              <w:pPr>
                                <w:ind w:firstLine="851"/>
                                <w:jc w:val="both"/>
                                <w:rPr>
                                  <w:szCs w:val="24"/>
                                  <w:lang w:eastAsia="lt-LT"/>
                                </w:rPr>
                              </w:pPr>
                              <w:sdt>
                                <w:sdtPr>
                                  <w:alias w:val="Numeris"/>
                                  <w:tag w:val="nr_23730e40c53e4e0ab27cf52344aa6250"/>
                                  <w:lock w:val="sdtLocked"/>
                                  <w:richText/>
                                </w:sdtPr>
                                <w:sdtContent>
                                  <w:r>
                                    <w:rPr>
                                      <w:szCs w:val="24"/>
                                      <w:lang w:eastAsia="lt-LT"/>
                                    </w:rPr>
                                    <w:t>30.2.2</w:t>
                                  </w:r>
                                </w:sdtContent>
                              </w:sdt>
                              <w:r>
                                <w:rPr>
                                  <w:szCs w:val="24"/>
                                  <w:lang w:eastAsia="lt-LT"/>
                                </w:rPr>
                                <w:t>. ir (ar) žemės;“.</w:t>
                              </w:r>
                            </w:p>
                          </w:sdtContent>
                        </w:sdt>
                      </w:sdtContent>
                    </w:sdt>
                  </w:sdtContent>
                </w:sdt>
              </w:sdtContent>
            </w:sdt>
            <w:sdt>
              <w:sdtPr>
                <w:alias w:val="1.9 pp."/>
                <w:tag w:val="part_3070591d24ea438c883852dc48f518dd"/>
                <w:lock w:val="sdtLocked"/>
                <w:richText/>
              </w:sdtPr>
              <w:sdtContent>
                <w:p w14:paraId="75DEC4EF" w14:textId="2E8AAE75">
                  <w:pPr>
                    <w:ind w:firstLine="851"/>
                    <w:jc w:val="both"/>
                    <w:rPr>
                      <w:szCs w:val="24"/>
                      <w:lang w:eastAsia="lt-LT"/>
                    </w:rPr>
                  </w:pPr>
                  <w:sdt>
                    <w:sdtPr>
                      <w:alias w:val="Numeris"/>
                      <w:tag w:val="nr_3070591d24ea438c883852dc48f518dd"/>
                      <w:lock w:val="sdtLocked"/>
                      <w:richText/>
                    </w:sdtPr>
                    <w:sdtContent>
                      <w:r>
                        <w:rPr>
                          <w:szCs w:val="24"/>
                          <w:lang w:eastAsia="lt-LT"/>
                        </w:rPr>
                        <w:t>1.9</w:t>
                      </w:r>
                    </w:sdtContent>
                  </w:sdt>
                  <w:r>
                    <w:rPr>
                      <w:szCs w:val="24"/>
                      <w:lang w:eastAsia="lt-LT"/>
                    </w:rPr>
                    <w:t xml:space="preserve">. Pakeisti 32 punktą ir jį išdėstyti taip: </w:t>
                  </w:r>
                </w:p>
                <w:sdt>
                  <w:sdtPr>
                    <w:alias w:val="citata"/>
                    <w:tag w:val="part_2bfda5ed178846aba15f7230afba2c80"/>
                    <w:lock w:val="sdtLocked"/>
                    <w:richText/>
                  </w:sdtPr>
                  <w:sdtContent>
                    <w:sdt>
                      <w:sdtPr>
                        <w:alias w:val="32 p."/>
                        <w:tag w:val="part_98b69cd070144f67bfedd1894a1e4b57"/>
                        <w:lock w:val="sdtLocked"/>
                        <w:richText/>
                      </w:sdtPr>
                      <w:sdtContent>
                        <w:p w14:paraId="4EA0EEAD" w14:textId="18E220D8">
                          <w:pPr>
                            <w:ind w:firstLine="851"/>
                            <w:jc w:val="both"/>
                            <w:rPr>
                              <w:szCs w:val="24"/>
                              <w:lang w:eastAsia="lt-LT"/>
                            </w:rPr>
                          </w:pPr>
                          <w:r>
                            <w:rPr>
                              <w:szCs w:val="24"/>
                              <w:lang w:eastAsia="lt-LT"/>
                            </w:rPr>
                            <w:t>„</w:t>
                          </w:r>
                          <w:sdt>
                            <w:sdtPr>
                              <w:alias w:val="Numeris"/>
                              <w:tag w:val="nr_98b69cd070144f67bfedd1894a1e4b57"/>
                              <w:lock w:val="sdtLocked"/>
                              <w:richText/>
                            </w:sdtPr>
                            <w:sdtContent>
                              <w:r>
                                <w:rPr>
                                  <w:szCs w:val="24"/>
                                  <w:lang w:eastAsia="lt-LT"/>
                                </w:rPr>
                                <w:t>32</w:t>
                              </w:r>
                            </w:sdtContent>
                          </w:sdt>
                          <w:r>
                            <w:rPr>
                              <w:szCs w:val="24"/>
                              <w:lang w:eastAsia="lt-LT"/>
                            </w:rPr>
                            <w:t>. Parama neteikiama SVV subjektams, kurie verčiasi alkoholinių gėrimų gamyba (Ekonominės veiklos rūšių klasifikatorius (toliau – EVRK) 11); tabako gaminių gamyba (EVRK 12); mažmenine prekyba (EVRK 47), didmenine prekyba (EVRK 46), finansinių paslaugų veikla, išskyrus draudimą ir pensijų lėšų kaupimą (EVRK 64); draudimo, perdraudimo ir pensijų lėšų kaupimo, išskyrus privalomąjį socialinį draudimą, veikla (EVRK 65); pagalbine finansinių paslaugų ir draudimo veikla (EVRK 66); nekilnojamojo turto operacijomis (pirkimas, pardavimas, nuoma ir kt.) (EVRK 68); pagrindinių buveinių veikla ir konsultacine valdymo veikla (EVRK 70); teisine veikla (EVRK 69.1 (išskyrus apskaitos, buhalterinės ir audito veiklos paslaugas; konsultacines paslaugas mokesčių klausimais (EVRK 69.2)); azartinių lošimų ir lažybų organizavimo veikla (EVRK 92).“</w:t>
                          </w:r>
                        </w:p>
                      </w:sdtContent>
                    </w:sdt>
                  </w:sdtContent>
                </w:sdt>
              </w:sdtContent>
            </w:sdt>
            <w:sdt>
              <w:sdtPr>
                <w:alias w:val="1.10 pp."/>
                <w:tag w:val="part_2a1119de05ad43938dc2472242b08977"/>
                <w:lock w:val="sdtLocked"/>
                <w:richText/>
              </w:sdtPr>
              <w:sdtContent>
                <w:p w14:paraId="530A62AD" w14:textId="097AAA05">
                  <w:pPr>
                    <w:ind w:firstLine="851"/>
                    <w:jc w:val="both"/>
                    <w:rPr>
                      <w:szCs w:val="24"/>
                      <w:lang w:eastAsia="lt-LT"/>
                    </w:rPr>
                  </w:pPr>
                  <w:sdt>
                    <w:sdtPr>
                      <w:alias w:val="Numeris"/>
                      <w:tag w:val="nr_2a1119de05ad43938dc2472242b08977"/>
                      <w:lock w:val="sdtLocked"/>
                      <w:richText/>
                    </w:sdtPr>
                    <w:sdtContent>
                      <w:r>
                        <w:rPr>
                          <w:szCs w:val="24"/>
                          <w:lang w:eastAsia="lt-LT"/>
                        </w:rPr>
                        <w:t>1.10</w:t>
                      </w:r>
                    </w:sdtContent>
                  </w:sdt>
                  <w:r>
                    <w:rPr>
                      <w:szCs w:val="24"/>
                      <w:lang w:eastAsia="lt-LT"/>
                    </w:rPr>
                    <w:t>. Pakeisti 42.4 papunktį ir jį išdėstyti taip:</w:t>
                  </w:r>
                </w:p>
                <w:sdt>
                  <w:sdtPr>
                    <w:alias w:val="citata"/>
                    <w:tag w:val="part_00c891ede37246f1a8b8b12bb6139928"/>
                    <w:lock w:val="sdtLocked"/>
                    <w:richText/>
                  </w:sdtPr>
                  <w:sdtContent>
                    <w:sdt>
                      <w:sdtPr>
                        <w:alias w:val="42.4 pp."/>
                        <w:tag w:val="part_2c4564f1d6fb4ad2a09efeb3e9433649"/>
                        <w:lock w:val="sdtLocked"/>
                        <w:richText/>
                      </w:sdtPr>
                      <w:sdtContent>
                        <w:p w14:paraId="77C16C4D" w14:textId="3612AD60">
                          <w:pPr>
                            <w:ind w:firstLine="851"/>
                            <w:jc w:val="both"/>
                            <w:rPr>
                              <w:szCs w:val="24"/>
                              <w:lang w:eastAsia="lt-LT"/>
                            </w:rPr>
                          </w:pPr>
                          <w:r>
                            <w:rPr>
                              <w:szCs w:val="24"/>
                              <w:lang w:eastAsia="lt-LT"/>
                            </w:rPr>
                            <w:t>„</w:t>
                          </w:r>
                          <w:sdt>
                            <w:sdtPr>
                              <w:alias w:val="Numeris"/>
                              <w:tag w:val="nr_2c4564f1d6fb4ad2a09efeb3e9433649"/>
                              <w:lock w:val="sdtLocked"/>
                              <w:richText/>
                            </w:sdtPr>
                            <w:sdtContent>
                              <w:r>
                                <w:rPr>
                                  <w:szCs w:val="24"/>
                                  <w:lang w:eastAsia="lt-LT"/>
                                </w:rPr>
                                <w:t>42.4</w:t>
                              </w:r>
                            </w:sdtContent>
                          </w:sdt>
                          <w:r>
                            <w:rPr>
                              <w:szCs w:val="24"/>
                              <w:lang w:eastAsia="lt-LT"/>
                            </w:rPr>
                            <w:t xml:space="preserve">. patikrina informaciją Valstybės pagalbos ir nereikšmingos pagalbos registre apie pareiškėjui suteiktą </w:t>
                          </w:r>
                          <w:r>
                            <w:rPr>
                              <w:i/>
                              <w:szCs w:val="24"/>
                              <w:lang w:eastAsia="lt-LT"/>
                            </w:rPr>
                            <w:t>de minimis</w:t>
                          </w:r>
                          <w:r>
                            <w:rPr>
                              <w:szCs w:val="24"/>
                              <w:lang w:eastAsia="lt-LT"/>
                            </w:rPr>
                            <w:t xml:space="preserve"> pagalbą 36 mėnesių laikotarpiu </w:t>
                          </w:r>
                          <w:r>
                            <w:rPr>
                              <w:szCs w:val="24"/>
                              <w:lang w:eastAsia="ar-SA"/>
                            </w:rPr>
                            <w:t>Savivaldybės administracijos nustatyta tvarka</w:t>
                          </w:r>
                          <w:r>
                            <w:rPr>
                              <w:szCs w:val="24"/>
                              <w:lang w:eastAsia="lt-LT"/>
                            </w:rPr>
                            <w:t>;“.</w:t>
                          </w:r>
                        </w:p>
                      </w:sdtContent>
                    </w:sdt>
                  </w:sdtContent>
                </w:sdt>
              </w:sdtContent>
            </w:sdt>
          </w:sdtContent>
        </w:sdt>
        <w:sdt>
          <w:sdtPr>
            <w:alias w:val="2 p."/>
            <w:tag w:val="part_cee88654a97f49f8abe92630626001f5"/>
            <w:lock w:val="sdtLocked"/>
            <w:richText/>
          </w:sdtPr>
          <w:sdtContent>
            <w:p w14:paraId="34F7DCDD" w14:textId="05920A7B">
              <w:pPr>
                <w:ind w:firstLine="851"/>
                <w:jc w:val="both"/>
                <w:rPr>
                  <w:szCs w:val="24"/>
                  <w:lang w:eastAsia="lt-LT"/>
                </w:rPr>
              </w:pPr>
              <w:sdt>
                <w:sdtPr>
                  <w:alias w:val="Numeris"/>
                  <w:tag w:val="nr_cee88654a97f49f8abe92630626001f5"/>
                  <w:lock w:val="sdtLocked"/>
                  <w:richText/>
                </w:sdtPr>
                <w:sdtContent>
                  <w:r>
                    <w:rPr>
                      <w:szCs w:val="24"/>
                      <w:lang w:eastAsia="lt-LT"/>
                    </w:rPr>
                    <w:t>2</w:t>
                  </w:r>
                </w:sdtContent>
              </w:sdt>
              <w:r>
                <w:rPr>
                  <w:szCs w:val="24"/>
                  <w:lang w:eastAsia="lt-LT"/>
                </w:rPr>
                <w:t>. Nustatyti, kad šis sprendimas įsigalioja 2025 m. rugpjūčio 1 d.</w:t>
              </w:r>
            </w:p>
            <w:p w14:paraId="31BFC8DA" w14:textId="47AFA734">
              <w:pPr>
                <w:tabs>
                  <w:tab w:val="left" w:pos="851"/>
                  <w:tab w:val="left" w:pos="993"/>
                  <w:tab w:val="left" w:pos="1276"/>
                </w:tabs>
                <w:ind w:firstLine="851"/>
                <w:jc w:val="both"/>
                <w:rPr>
                  <w:rFonts w:ascii="Calibri" w:hAnsi="Calibri" w:cs="Calibri"/>
                  <w:sz w:val="22"/>
                  <w:szCs w:val="22"/>
                </w:rPr>
              </w:pPr>
              <w:r>
                <w:rPr>
                  <w:szCs w:val="24"/>
                  <w:lang w:eastAsia="lt-LT"/>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150F6309" w14:textId="03292299">
              <w:pPr>
                <w:ind w:firstLine="851"/>
                <w:jc w:val="both"/>
                <w:rPr>
                  <w:color w:val="000000"/>
                  <w:szCs w:val="24"/>
                  <w:lang w:eastAsia="lt-LT"/>
                </w:rPr>
              </w:pPr>
            </w:p>
            <w:p w14:paraId="5C20F703" w14:textId="77777777">
              <w:pPr>
                <w:ind w:firstLine="851"/>
                <w:jc w:val="both"/>
                <w:rPr>
                  <w:color w:val="000000"/>
                  <w:szCs w:val="24"/>
                  <w:lang w:eastAsia="lt-LT"/>
                </w:rPr>
              </w:pPr>
            </w:p>
          </w:sdtContent>
        </w:sdt>
        <w:sdt>
          <w:sdtPr>
            <w:alias w:val="signatura"/>
            <w:tag w:val="part_996fc52f5feb4521863ff7925ce736e6"/>
            <w:lock w:val="sdtLocked"/>
            <w:richText/>
          </w:sdtPr>
          <w:sdtContent>
            <w:p w14:paraId="78811F29" w14:textId="1D17A8A6">
              <w:pPr>
                <w:widowControl w:val="0"/>
                <w:suppressAutoHyphens/>
                <w:jc w:val="both"/>
                <w:rPr>
                  <w:color w:val="000000"/>
                  <w:szCs w:val="24"/>
                  <w:lang w:eastAsia="lt-LT"/>
                </w:rPr>
              </w:pPr>
              <w:r>
                <w:rPr>
                  <w:rFonts w:eastAsia="Lucida Sans Unicode"/>
                  <w:szCs w:val="24"/>
                  <w:lang w:eastAsia="lt-LT"/>
                </w:rPr>
                <w:t>Savivaldybės meras</w:t>
                <w:tab/>
                <w:tab/>
                <w:tab/>
                <w:tab/>
                <w:tab/>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4E31A8" w14:textId="77777777">
      <w:pPr>
        <w:rPr>
          <w:szCs w:val="24"/>
          <w:lang w:eastAsia="lt-LT"/>
        </w:rPr>
      </w:pPr>
      <w:r>
        <w:rPr>
          <w:szCs w:val="24"/>
          <w:lang w:eastAsia="lt-LT"/>
        </w:rPr>
        <w:separator/>
      </w:r>
    </w:p>
  </w:endnote>
  <w:endnote w:type="continuationSeparator" w:id="0">
    <w:p w14:paraId="03794C7C"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NSimSun">
    <w:panose1 w:val="02010609030101010101"/>
    <w:charset w:val="86"/>
    <w:family w:val="modern"/>
    <w:pitch w:val="fixed"/>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A24B55" w14:textId="77777777">
    <w:pPr>
      <w:tabs>
        <w:tab w:val="center" w:pos="4153"/>
        <w:tab w:val="right" w:pos="8306"/>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10CAB1" w14:textId="77777777">
    <w:pPr>
      <w:tabs>
        <w:tab w:val="center" w:pos="4153"/>
        <w:tab w:val="right" w:pos="8306"/>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A5FD2" w14:textId="77777777">
    <w:pPr>
      <w:tabs>
        <w:tab w:val="center" w:pos="4153"/>
        <w:tab w:val="right" w:pos="8306"/>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BBD346" w14:textId="77777777">
      <w:pPr>
        <w:rPr>
          <w:szCs w:val="24"/>
          <w:lang w:eastAsia="lt-LT"/>
        </w:rPr>
      </w:pPr>
      <w:r>
        <w:rPr>
          <w:szCs w:val="24"/>
          <w:lang w:eastAsia="lt-LT"/>
        </w:rPr>
        <w:separator/>
      </w:r>
    </w:p>
  </w:footnote>
  <w:footnote w:type="continuationSeparator" w:id="0">
    <w:p w14:paraId="53FD6041"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A6527D" w14:textId="77777777">
    <w:pPr>
      <w:tabs>
        <w:tab w:val="center" w:pos="4153"/>
        <w:tab w:val="right" w:pos="8306"/>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E5B9E4" w14:textId="03970687">
    <w:pPr>
      <w:tabs>
        <w:tab w:val="center" w:pos="4153"/>
        <w:tab w:val="right" w:pos="8306"/>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73C77487" w14:textId="77777777">
    <w:pPr>
      <w:tabs>
        <w:tab w:val="center" w:pos="4153"/>
        <w:tab w:val="right" w:pos="8306"/>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6FF53" w14:textId="77777777">
    <w:pPr>
      <w:tabs>
        <w:tab w:val="center" w:pos="4153"/>
        <w:tab w:val="right" w:pos="8306"/>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29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75FAB82E"/>
  <w15:chartTrackingRefBased/>
  <w15:docId w15:val="{B56CFE53-ACEC-4FEB-A1AD-12A78CF4A30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008840e9c2b43d98601e6c56a5a0fd6" PartId="7023e1aeb6ef4de1acd6689c76e617e7">
    <Part Type="preambule" DocPartId="7e13f2cb25654a9e92bc985e8624f456" PartId="6ca286c4cbee47eca19d7eabe7c7283f"/>
    <Part Type="punktas" Nr="1" Abbr="1 p." DocPartId="0be823f62b4c4b7984538c0a9f0b14af" PartId="37718e3d28ee4137808d162de75bd1d1">
      <Part Type="papunktis" Nr="1.1" Abbr="1.1 pp." DocPartId="2d1112f0661e453cbefbf0df2506b2ea" PartId="f2c74142bb434e4f82f9bcd2619253a3">
        <Part Type="citata" DocPartId="abf4fd33461b419daa3b9f104319ba53" PartId="f459e39c431b402e92d6b4ee2c019b8b">
          <Part Type="punktas" Nr="4" Abbr="4 p." DocPartId="37f88247eab241b1b43c106b4a4639a0" PartId="0fc12f5e442e4e80a1b46357a4e1de75"/>
        </Part>
      </Part>
      <Part Type="papunktis" Nr="1.2" Abbr="1.2 pp." DocPartId="7ccf79860bd5415fa84a08502d4089ea" PartId="29e0dabd62cd4898af5002c15ab04bcb">
        <Part Type="citata" DocPartId="4eb70e6c20094f49869b93e80ff57657" PartId="85c69d5030d149748f7b399f71c16c64">
          <Part Type="punktas" Nr="7" Abbr="7 p." DocPartId="bac0e5ee09804e37afeb3770f24d42c7" PartId="8891a56500b04365bd5ff082ec935e77"/>
        </Part>
      </Part>
      <Part Type="papunktis" Nr="1.3" Abbr="1.3 pp." DocPartId="c9595838743847ba85c57f74f77ce698" PartId="41b67bb9a70e41c1b1c125766c33b86a"/>
      <Part Type="papunktis" Nr="1.4" Abbr="1.4 pp." DocPartId="d0bb588c758541e082259e970aa09b1a" PartId="b3eeab33e0e44e8fa598cc6fe5680555"/>
      <Part Type="papunktis" Nr="1.5" Abbr="1.5 pp." DocPartId="bbc653512f844e558e0be26c68fd1770" PartId="113ca54316b849fc88e6221fb029258d">
        <Part Type="citata" DocPartId="969210be855e44e79b9f21642d0d591d" PartId="6ecae3e26f2a4561b01870ef1f634c37">
          <Part Type="papunktis" Nr="10.4" Abbr="10.4 pp." DocPartId="598b585a82324d44b5403b74735f4f81" PartId="741911f54f09482ca44910e14e0cbc20"/>
        </Part>
      </Part>
      <Part Type="papunktis" Nr="1.6" Abbr="1.6 pp." DocPartId="90df94893d6f41e49e622e39cae8cb56" PartId="b6a580d88dd94aacbc29bfae93ef3f7c">
        <Part Type="citata" DocPartId="c7bc2c399f9644539d64d497c71acd30" PartId="46fa7c5b6d814a969f5da6d96b65072f">
          <Part Type="punktas" Nr="12" Abbr="12 p." DocPartId="3c340f84cd324573ae4cf490c0ef8568" PartId="8dbd44291fea40e2b007b2355ed79031"/>
        </Part>
      </Part>
      <Part Type="papunktis" Nr="1.7" Abbr="1.7 pp." DocPartId="24861bdf99794da489e8868fa2de2afb" PartId="27ad4148ffa64d2198145d1b5b944716">
        <Part Type="citata" DocPartId="31905fc8d896401594495f38898192f7" PartId="7876cbfc50274985b642a8cc57d165af">
          <Part Type="punktas" Nr="20" Abbr="20 p." DocPartId="52e647f51b2a4457a01a69e947c45e44" PartId="e114ab511d404dab8a8b556bcf001165"/>
        </Part>
      </Part>
      <Part Type="papunktis" Nr="1.8" Abbr="1.8 pp." DocPartId="05a458e122064745a4b08d718ec18a81" PartId="852f1891e1534e61bae9b1d083d4a5f6">
        <Part Type="citata" DocPartId="10eb03d820e9449494ad9eed522192c1" PartId="e16f6bd269204714bda90ef1b258bb28">
          <Part Type="papunktis" Nr="30.2" Abbr="30.2 pp." DocPartId="7c12fc4df5ac49cfa941b44b4dc0d0a5" PartId="adc2c641fcd243deaf0efb7fab664e5f">
            <Part Type="papunktis" Nr="30.2.1" Abbr="30.2.1 pp." DocPartId="ba476137ce8d4c5395dabe3b0b669410" PartId="c6dbda52e1894005b07fa3061617f74a"/>
            <Part Type="papunktis" Nr="30.2.2" Abbr="30.2.2 pp." DocPartId="17918486c3e84721beef807b731207fd" PartId="23730e40c53e4e0ab27cf52344aa6250"/>
          </Part>
        </Part>
      </Part>
      <Part Type="papunktis" Nr="1.9" Abbr="1.9 pp." DocPartId="7e1637ab70444508b4ebd6a4c1532483" PartId="3070591d24ea438c883852dc48f518dd">
        <Part Type="citata" DocPartId="93e474b78f4c482a9f8b5be1a13de9dd" PartId="2bfda5ed178846aba15f7230afba2c80">
          <Part Type="punktas" Nr="32" Abbr="32 p." DocPartId="5e3f2b2e53b144c2b68c5c9a6f625e38" PartId="98b69cd070144f67bfedd1894a1e4b57"/>
        </Part>
      </Part>
      <Part Type="papunktis" Nr="1.10" Abbr="1.10 pp." DocPartId="57c9d6c120f4415c824eeda2186c36f5" PartId="2a1119de05ad43938dc2472242b08977">
        <Part Type="citata" DocPartId="c23880d297404c958c77bead66caa80d" PartId="00c891ede37246f1a8b8b12bb6139928">
          <Part Type="papunktis" Nr="42.4" Abbr="42.4 pp." DocPartId="c9f8b597717f4276a8a673e75a24592a" PartId="2c4564f1d6fb4ad2a09efeb3e9433649"/>
        </Part>
      </Part>
    </Part>
    <Part Type="punktas" Nr="2" Abbr="2 p." DocPartId="f8d3ffb2ba8449a98b86604ad7eea962" PartId="cee88654a97f49f8abe92630626001f5"/>
    <Part Type="signatura" DocPartId="a98889365afa438d9ee2c22dcfb2ee2b" PartId="996fc52f5feb4521863ff7925ce736e6"/>
  </Part>
</Parts>
</file>

<file path=customXml/itemProps1.xml><?xml version="1.0" encoding="utf-8"?>
<ds:datastoreItem xmlns:ds="http://schemas.openxmlformats.org/officeDocument/2006/customXml" ds:itemID="{1E8057F4-54D1-41D7-A8D1-7E4D00AD76C6}">
  <ds:schemaRefs>
    <ds:schemaRef ds:uri="http://schemas.openxmlformats.org/officeDocument/2006/bibliography"/>
  </ds:schemaRefs>
</ds:datastoreItem>
</file>

<file path=customXml/itemProps2.xml><?xml version="1.0" encoding="utf-8"?>
<ds:datastoreItem xmlns:ds="http://schemas.openxmlformats.org/officeDocument/2006/customXml" ds:itemID="{D8D77503-4E46-4549-A307-0EC8813AFE6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786</Words>
  <Characters>5253</Characters>
  <Application>Microsoft Office Word</Application>
  <DocSecurity>4</DocSecurity>
  <Lines>114</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Tarifu skaicčiavimas 2009 - 2013m.</vt:lpstr>
      <vt:lpstr>Tarifu skaicčiavimas 2009 - 2013m.</vt:lpstr>
    </vt:vector>
  </TitlesOfParts>
  <Company>UAB "Šiaulių Vandenys"</Company>
  <LinksUpToDate>false</LinksUpToDate>
  <CharactersWithSpaces>5993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2025-06-16T07:14:00Z</dcterms:created>
  <dc:creator>Simona Virbukienė</dc:creator>
  <lastModifiedBy>adlibuser</lastModifiedBy>
  <lastPrinted>2023-03-08T11:11:00Z</lastPrinted>
  <dcterms:modified xsi:type="dcterms:W3CDTF">2025-06-16T07:14:00Z</dcterms:modified>
  <revision>2</revision>
  <dc:title>Tarifu skaicčiavimas 2009 - 2013m.</dc:title>
</coreProperties>
</file>