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extensions/taskpanes.xml" ContentType="application/vnd.ms-office.webextensiontaskpanes+xml"/>
  <Override PartName="/word/webextensions/webextension1.xml" ContentType="application/vnd.ms-office.webextension+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2" Type="http://schemas.microsoft.com/office/2011/relationships/webextensiontaskpanes" Target="word/webextensions/taskpanes.xml"/>
  <Relationship Id="rId4" Type="http://schemas.openxmlformats.org/officeDocument/2006/relationships/extended-properties" Target="docProps/app.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c448bcb4f9e44a8909e365d9fc2c571"/>
        <w:lock w:val="sdtLocked"/>
        <w:richText/>
      </w:sdtPr>
      <w:sdtContent>
        <w:p>
          <w:pPr>
            <w:shd w:val="clear" w:color="auto" w:fill="FFFFFF"/>
            <w:ind w:left="6480" w:firstLine="1296"/>
            <w:rPr>
              <w:rFonts w:eastAsia="Calibri"/>
              <w:b/>
              <w:position w:val="6"/>
              <w:szCs w:val="24"/>
              <w14:cntxtAlts/>
            </w:rPr>
          </w:pPr>
          <w:r>
            <w:rPr>
              <w:rFonts w:eastAsia="Calibri"/>
              <w:b/>
              <w:position w:val="6"/>
              <w:szCs w:val="24"/>
              <w14:cntxtAlts/>
            </w:rPr>
            <w:t>Projektas</w:t>
          </w:r>
        </w:p>
        <w:p>
          <w:pPr>
            <w:shd w:val="clear" w:color="auto" w:fill="FFFFFF"/>
            <w:ind w:left="6480" w:right="424" w:firstLine="1296"/>
            <w:rPr>
              <w:rFonts w:eastAsia="Calibri"/>
              <w:bCs/>
              <w:position w:val="6"/>
              <w:szCs w:val="24"/>
              <w14:cntxtAlts/>
            </w:rPr>
          </w:pPr>
          <w:r>
            <w:rPr>
              <w:rFonts w:eastAsia="Calibri"/>
              <w:bCs/>
              <w:position w:val="6"/>
              <w:szCs w:val="24"/>
              <w14:cntxtAlts/>
            </w:rPr>
            <w:t>Nr. TSP-</w:t>
          </w:r>
        </w:p>
        <w:p>
          <w:pPr>
            <w:shd w:val="clear" w:color="auto" w:fill="FFFFFF"/>
            <w:jc w:val="center"/>
            <w:rPr>
              <w:rFonts w:eastAsia="Calibri"/>
              <w:bCs/>
              <w:position w:val="6"/>
              <w:szCs w:val="24"/>
              <w14:cntxtAlts/>
            </w:rPr>
          </w:pPr>
        </w:p>
        <w:p>
          <w:pPr>
            <w:shd w:val="clear" w:color="auto" w:fill="FFFFFF"/>
            <w:spacing w:line="276" w:lineRule="auto"/>
            <w:jc w:val="center"/>
            <w:rPr>
              <w:rFonts w:eastAsia="Calibri"/>
              <w:b/>
              <w:position w:val="6"/>
              <w:szCs w:val="24"/>
              <w14:cntxtAlts/>
            </w:rPr>
          </w:pPr>
          <w:r>
            <w:rPr>
              <w:rFonts w:eastAsia="Calibri"/>
              <w:b/>
              <w:position w:val="6"/>
              <w:szCs w:val="24"/>
              <w14:cntxtAlts/>
            </w:rPr>
            <w:t>RADVILIŠKIO RAJONO SAVIVALDYBĖS TARYBA</w:t>
          </w:r>
        </w:p>
        <w:p>
          <w:pPr>
            <w:rPr>
              <w:sz w:val="18"/>
              <w:szCs w:val="18"/>
            </w:rPr>
          </w:pPr>
        </w:p>
        <w:p>
          <w:pPr>
            <w:shd w:val="clear" w:color="auto" w:fill="FFFFFF"/>
            <w:jc w:val="center"/>
            <w:rPr>
              <w:b/>
              <w:position w:val="6"/>
              <w:szCs w:val="24"/>
              <w:lang w:eastAsia="lt-LT"/>
              <w14:cntxtAlts/>
            </w:rPr>
          </w:pPr>
          <w:r>
            <w:rPr>
              <w:b/>
              <w:position w:val="6"/>
              <w:szCs w:val="24"/>
              <w:lang w:eastAsia="lt-LT"/>
              <w14:cntxtAlts/>
            </w:rPr>
            <w:t>SPRENDIMAS</w:t>
          </w:r>
        </w:p>
        <w:p>
          <w:pPr>
            <w:shd w:val="clear" w:color="auto" w:fill="FFFFFF"/>
            <w:jc w:val="center"/>
            <w:rPr>
              <w:b/>
              <w:position w:val="6"/>
              <w:szCs w:val="24"/>
              <w:lang w:eastAsia="lt-LT"/>
              <w14:cntxtAlts/>
            </w:rPr>
          </w:pPr>
          <w:r>
            <w:rPr>
              <w:b/>
              <w:position w:val="6"/>
              <w:szCs w:val="24"/>
              <w:lang w:eastAsia="lt-LT"/>
              <w14:cntxtAlts/>
            </w:rPr>
            <w:t>DĖL RADVILIŠKIO RAJONO SAVIVALDYBĖS TARYBOS 2025 M. VASARIO 13 D. SPRENDIMO NR. T-557 „DĖL RADVILIŠKIO RAJONO SAVIVALDYBĖS 2025-2027 METŲ BIUDŽETO PATVIRTINIMO“ PAKEITIMO</w:t>
          </w:r>
        </w:p>
        <w:p>
          <w:pPr>
            <w:shd w:val="clear" w:color="auto" w:fill="FFFFFF"/>
            <w:jc w:val="center"/>
            <w:rPr>
              <w:b/>
              <w:position w:val="6"/>
              <w:szCs w:val="24"/>
              <w:lang w:eastAsia="lt-LT"/>
              <w14:cntxtAlts/>
            </w:rPr>
          </w:pPr>
        </w:p>
        <w:p>
          <w:pPr>
            <w:shd w:val="clear" w:color="auto" w:fill="FFFFFF"/>
            <w:jc w:val="center"/>
            <w:rPr>
              <w:position w:val="6"/>
              <w:szCs w:val="24"/>
              <w:lang w:eastAsia="lt-LT"/>
              <w14:cntxtAlts/>
            </w:rPr>
          </w:pPr>
          <w:r>
            <w:rPr>
              <w:position w:val="6"/>
              <w:szCs w:val="24"/>
              <w:lang w:eastAsia="lt-LT"/>
              <w14:cntxtAlts/>
            </w:rPr>
            <w:t xml:space="preserve">2025 m.                   d. Nr. T-</w:t>
          </w:r>
        </w:p>
        <w:p>
          <w:pPr>
            <w:shd w:val="clear" w:color="auto" w:fill="FFFFFF"/>
            <w:jc w:val="center"/>
            <w:rPr>
              <w:position w:val="6"/>
              <w:szCs w:val="24"/>
              <w:lang w:eastAsia="lt-LT"/>
              <w14:cntxtAlts/>
            </w:rPr>
          </w:pPr>
          <w:r>
            <w:rPr>
              <w:position w:val="6"/>
              <w:szCs w:val="24"/>
              <w:lang w:eastAsia="lt-LT"/>
              <w14:cntxtAlts/>
            </w:rPr>
            <w:t xml:space="preserve">Radviliškis </w:t>
          </w:r>
        </w:p>
        <w:p>
          <w:pPr>
            <w:jc w:val="both"/>
            <w:rPr>
              <w:szCs w:val="24"/>
            </w:rPr>
          </w:pPr>
        </w:p>
        <w:sdt>
          <w:sdtPr>
            <w:alias w:val="preambule"/>
            <w:tag w:val="part_69b748927e08452596c73a16dd1129d0"/>
            <w:lock w:val="sdtLocked"/>
            <w:richText/>
          </w:sdtPr>
          <w:sdtContent>
            <w:p>
              <w:pPr>
                <w:ind w:firstLine="709"/>
                <w:jc w:val="both"/>
                <w:rPr>
                  <w:szCs w:val="24"/>
                </w:rPr>
              </w:pPr>
              <w:r>
                <w:rPr>
                  <w:szCs w:val="24"/>
                </w:rPr>
                <w:t>Vadovaudamasi Lietuvos Respublikos vietos savivaldos įstatymo 15 straipsnio 2 dalies 12 punktu, 66 straipsnio 2 dalimi, Lietuvos Respublikos biudžeto sandaros įstatymo 16 straipsnio 1 dalimi, 22 straipsnio 3 dalimi,</w:t>
              </w:r>
              <w:r>
                <w:rPr>
                  <w:sz w:val="22"/>
                  <w:szCs w:val="22"/>
                </w:rPr>
                <w:t xml:space="preserve"> </w:t>
              </w:r>
              <w:r>
                <w:rPr>
                  <w:szCs w:val="24"/>
                </w:rPr>
                <w:t xml:space="preserve">Lietuvos Respublikos socialinės apsaugos ir darbo ministro 2025 m. rugpjūčio 19 d. įsakymu Nr. A1-448 „Dėl valstybės vardu pasiskolintų lėšų paskirstymo savivaldybių administracijoms, siekiant padengti jų išlaidas, patirtas 2025 metų balandžio 1–birželio 30 d. teikiant  specialiąsias socialines paslaugas (institucinę socialinę globą, šeimų socialinę priežiūrą, vaikų dienos socialinę priežiūrą) užsieniečiams, pasitraukusiems iš Ukrainos dėl Rusijos Federacijos karinių veiksmų Ukrainoje“, Lietuvos Respublikos socialinės apsaugos ir darbo ministro 2025 m. rugpjūčio 22 d. įsakymu Nr. A1-452 „Dėl valstybės vardu pasiskolintų lėšų paskirstymo savivaldybių administracijoms išlaidoms, patirtoms 2025 metų II ketvirtį teikiant socialinę pašalpą, būsto šildymo išlaidų, geriamojo vandens išlaidų ir karšto vandens išlaidų kompensacijas, skiriamas vadovaujantis Lietuvos Respublikos piniginės socialinės paramos nepasiturintiems gyventojams įstatymu, užsieniečiams,</w:t>
              </w:r>
              <w:r>
                <w:rPr>
                  <w:sz w:val="22"/>
                  <w:szCs w:val="22"/>
                </w:rPr>
                <w:t xml:space="preserve"> </w:t>
              </w:r>
              <w:r>
                <w:rPr>
                  <w:szCs w:val="24"/>
                </w:rPr>
                <w:t>pasitraukusiems iš Ukrainos dėl Rusijos Federacijos karinių veiksmų Ukrainoje, padengti“, Lietuvos Respublikos socialinės apsaugos ir darbo ministro 2025 m. rugpjūčio 22 d. įsakymu Nr. A1-453 „Dėl valstybės vardu pasiskolintų lėšų paskirstymo savivaldybių administracijoms išlaidoms, patirtoms 2025 metų II ketvirtį mokant laidojimo pašalpą pagal Lietuvos Respublikos paramos mirties atveju įstatymą ir teikiant socialinę paramą mokiniams pagal Lietuvos Respublikos socialinės paramos mokiniams įstatymą</w:t>
              </w:r>
              <w:r>
                <w:rPr>
                  <w:sz w:val="22"/>
                  <w:szCs w:val="22"/>
                </w:rPr>
                <w:t xml:space="preserve"> </w:t>
              </w:r>
              <w:r>
                <w:rPr>
                  <w:szCs w:val="24"/>
                </w:rPr>
                <w:t xml:space="preserve">užsieniečiams, pasitraukusiems iš Ukrainos dėl Rusijos Federacijos karinių veiksmų Ukrainoje, padengti“, Lietuvos Respublikos socialinės apsaugos ir darbo ministro 2025 m. rugpjūčio 28 d. įsakymu Nr. A1-477 „Dėl Lietuvos Respublikos socialinės apsaugos ir darbo ministro 2024 m. gruodžio 27 d. įsakymo Nr. A1-943 „Dėl Lietuvos Respublikos valstybės biudžeto dotacijų savivaldybių biudžetams socialinėms išmokoms ir kompensacijoms skaičiuoti ir mokėti, skirtų socialinėms paslaugoms finansuoti,  savivaldybių biudžetams  2025 metais paskirstymo savivaldybių administracijoms ir jų panaudojimo tikslo pasiekimo 2025 metais vertinimo kriterijų patvirtinimo“ pakeitimo“, Asmens su negalia teisių apsaugos agentūros prie Lietuvos Respublikos socialinės apsaugos ir darbo ministerijos direktoriaus 2025 m. rugpjūčio 11 d. įsakymu Nr. V-117 „Dėl Asmens su negalia teisių apsaugos agentūros prie Lietuvos Respublikos socialinės apsaugos ir darbo ministerijos direktoriaus 2024 m. gruodžio 30 d. įsakymu Nr. V-260 „Dėl Lietuvos Respublikos valstybės biudžeto dotacijų savivaldybių administracijoms, atliekančioms asmenų su negalia reikalų koordinavimo funkciją, skyrimo 2025 metams“ pakeitimo“, Asmens su negalia teisių apsaugos agentūros prie Lietuvos Respublikos socialinės apsaugos ir darbo ministerijos direktoriaus 2025 m. rugpjūčio 20 d. įsakymu Nr. V-121 „Dėl Asmens su negalia teisių apsaugos agentūros prie Lietuvos Respublikos socialinės apsaugos ir darbo ministerijos direktoriaus 2024 m. gruodžio 30 d. įsakymu Nr. V-261 „Dėl Lietuvos Respublikos valstybės biudžeto lėšų akredituotai socialinei reabilitacijai asmenims su negalia bendruomenėje organizuoti, teikti ir administruoti 2025 metais skyrimo</w:t>
              </w:r>
              <w:r>
                <w:rPr>
                  <w:sz w:val="22"/>
                  <w:szCs w:val="22"/>
                </w:rPr>
                <w:t xml:space="preserve"> </w:t>
              </w:r>
              <w:r>
                <w:rPr>
                  <w:szCs w:val="24"/>
                </w:rPr>
                <w:t xml:space="preserve">savivaldybių administracijoms“ pakeitimo“, atsižvelgdama į 2024 m. vasario 29 d. Jungtinės veiklos sutartį Nr. SUT-2024-191(11.31E) su Europos socialinio fondo agentūra,  į projekto „Atviros ekosistemos atsiskaitymams negrynaisiais pinigais bendrojo ugdymo įstaigų valgyklose kūrimas“ Nr. 04-002-P-0001 finansavimą, į gautus prašymus ir į</w:t>
              </w:r>
              <w:r>
                <w:rPr>
                  <w:sz w:val="22"/>
                  <w:szCs w:val="22"/>
                </w:rPr>
                <w:t xml:space="preserve"> </w:t>
              </w:r>
              <w:r>
                <w:rPr>
                  <w:szCs w:val="24"/>
                </w:rPr>
                <w:t>Radviliškio rajono savivaldybės</w:t>
              </w:r>
              <w:r>
                <w:rPr>
                  <w:sz w:val="22"/>
                  <w:szCs w:val="22"/>
                </w:rPr>
                <w:t xml:space="preserve"> </w:t>
              </w:r>
              <w:r>
                <w:rPr>
                  <w:szCs w:val="24"/>
                </w:rPr>
                <w:t xml:space="preserve">mero 2025 m. rugsėjo  4 d. potvarkį Nr. M-434 (2.5 E) „Dėl  Radviliškio rajono savivaldybės tarybos 2025 m. vasario 13 d. sprendimo Nr. T-557 „Dėl Radviliškio rajono savivaldybės 2025–2027 metų biudžeto patvirtinimo“ pakeitimo“, Radviliškio rajono savivaldybės taryba </w:t>
              </w:r>
              <w:r>
                <w:rPr>
                  <w:spacing w:val="50"/>
                  <w:szCs w:val="24"/>
                </w:rPr>
                <w:t>nusprendži</w:t>
              </w:r>
              <w:r>
                <w:rPr>
                  <w:szCs w:val="24"/>
                </w:rPr>
                <w:t xml:space="preserve">a: </w:t>
              </w:r>
            </w:p>
          </w:sdtContent>
        </w:sdt>
        <w:sdt>
          <w:sdtPr>
            <w:alias w:val="1 p."/>
            <w:tag w:val="part_3296846cbcc64710beadebc619d714b1"/>
            <w:lock w:val="sdtLocked"/>
            <w:richText/>
          </w:sdtPr>
          <w:sdtContent>
            <w:p>
              <w:pPr>
                <w:ind w:firstLine="709"/>
                <w:jc w:val="both"/>
                <w:rPr>
                  <w:szCs w:val="24"/>
                </w:rPr>
              </w:pPr>
              <w:sdt>
                <w:sdtPr>
                  <w:alias w:val="Numeris"/>
                  <w:tag w:val="nr_3296846cbcc64710beadebc619d714b1"/>
                  <w:lock w:val="sdtLocked"/>
                  <w:richText/>
                </w:sdtPr>
                <w:sdtContent>
                  <w:r>
                    <w:rPr>
                      <w:szCs w:val="24"/>
                    </w:rPr>
                    <w:t>1</w:t>
                  </w:r>
                </w:sdtContent>
              </w:sdt>
              <w:r>
                <w:rPr>
                  <w:szCs w:val="24"/>
                </w:rPr>
                <w:t>. Pakeisti Radviliškio rajono savivaldybės tarybos 2025 m. vasario 13 d. sprendimo Nr. T-557 „Dėl Radviliškio rajono savivaldybės 2025–2027 metų biudžeto patvirtinimo“ (toliau – Sprendimas):</w:t>
              </w:r>
            </w:p>
            <w:sdt>
              <w:sdtPr>
                <w:alias w:val="1.1 pp."/>
                <w:tag w:val="part_0332e2a0346e43c89d6c6228f2f5f7bc"/>
                <w:lock w:val="sdtLocked"/>
                <w:richText/>
              </w:sdtPr>
              <w:sdtContent>
                <w:p>
                  <w:pPr>
                    <w:ind w:firstLine="709"/>
                    <w:jc w:val="both"/>
                    <w:rPr>
                      <w:szCs w:val="24"/>
                    </w:rPr>
                  </w:pPr>
                  <w:sdt>
                    <w:sdtPr>
                      <w:alias w:val="Numeris"/>
                      <w:tag w:val="nr_0332e2a0346e43c89d6c6228f2f5f7bc"/>
                      <w:lock w:val="sdtLocked"/>
                      <w:richText/>
                    </w:sdtPr>
                    <w:sdtContent>
                      <w:r>
                        <w:rPr>
                          <w:szCs w:val="24"/>
                        </w:rPr>
                        <w:t>1.1</w:t>
                      </w:r>
                    </w:sdtContent>
                  </w:sdt>
                  <w:r>
                    <w:rPr>
                      <w:szCs w:val="24"/>
                    </w:rPr>
                    <w:t>. Pakeisti 1.1 papunktį ir išdėstyti jį taip:</w:t>
                  </w:r>
                </w:p>
                <w:sdt>
                  <w:sdtPr>
                    <w:alias w:val="citata"/>
                    <w:tag w:val="part_ff4ce60842804d408803b881da9d9576"/>
                    <w:lock w:val="sdtLocked"/>
                    <w:richText/>
                  </w:sdtPr>
                  <w:sdtContent>
                    <w:sdt>
                      <w:sdtPr>
                        <w:alias w:val="1.1 pp."/>
                        <w:tag w:val="part_7e24668ed8e84b1db8a7c5b613776809"/>
                        <w:lock w:val="sdtLocked"/>
                        <w:richText/>
                      </w:sdtPr>
                      <w:sdtContent>
                        <w:p>
                          <w:pPr>
                            <w:ind w:firstLine="709"/>
                            <w:jc w:val="both"/>
                            <w:rPr>
                              <w:szCs w:val="24"/>
                            </w:rPr>
                          </w:pPr>
                          <w:r>
                            <w:rPr>
                              <w:szCs w:val="24"/>
                            </w:rPr>
                            <w:t>„</w:t>
                          </w:r>
                          <w:sdt>
                            <w:sdtPr>
                              <w:alias w:val="Numeris"/>
                              <w:tag w:val="nr_7e24668ed8e84b1db8a7c5b613776809"/>
                              <w:lock w:val="sdtLocked"/>
                              <w:richText/>
                            </w:sdtPr>
                            <w:sdtContent>
                              <w:r>
                                <w:rPr>
                                  <w:szCs w:val="24"/>
                                </w:rPr>
                                <w:t>1.1</w:t>
                              </w:r>
                            </w:sdtContent>
                          </w:sdt>
                          <w:r>
                            <w:rPr>
                              <w:szCs w:val="24"/>
                            </w:rPr>
                            <w:t xml:space="preserve">. pajamas –  86 305 283,15 Eur, iš jų lėšų likučiai iš 2024 metų – 3 996 483,22 Eur (1 priedas);“</w:t>
                          </w:r>
                        </w:p>
                      </w:sdtContent>
                    </w:sdt>
                  </w:sdtContent>
                </w:sdt>
              </w:sdtContent>
            </w:sdt>
            <w:sdt>
              <w:sdtPr>
                <w:alias w:val="1.2 pp."/>
                <w:tag w:val="part_37bb4afc0c02448d93f681db5e6861bc"/>
                <w:lock w:val="sdtLocked"/>
                <w:richText/>
              </w:sdtPr>
              <w:sdtContent>
                <w:p>
                  <w:pPr>
                    <w:ind w:firstLine="709"/>
                    <w:jc w:val="both"/>
                    <w:rPr>
                      <w:szCs w:val="24"/>
                    </w:rPr>
                  </w:pPr>
                  <w:sdt>
                    <w:sdtPr>
                      <w:alias w:val="Numeris"/>
                      <w:tag w:val="nr_37bb4afc0c02448d93f681db5e6861bc"/>
                      <w:lock w:val="sdtLocked"/>
                      <w:richText/>
                    </w:sdtPr>
                    <w:sdtContent>
                      <w:r>
                        <w:rPr>
                          <w:szCs w:val="24"/>
                        </w:rPr>
                        <w:t>1.2</w:t>
                      </w:r>
                    </w:sdtContent>
                  </w:sdt>
                  <w:r>
                    <w:rPr>
                      <w:szCs w:val="24"/>
                    </w:rPr>
                    <w:t>. Pakeisti 1.2 papunktį ir išdėstyti jį taip:</w:t>
                  </w:r>
                </w:p>
                <w:sdt>
                  <w:sdtPr>
                    <w:alias w:val="citata"/>
                    <w:tag w:val="part_88e6a527e9f0422fadf92914e77b9047"/>
                    <w:lock w:val="sdtLocked"/>
                    <w:richText/>
                  </w:sdtPr>
                  <w:sdtContent>
                    <w:sdt>
                      <w:sdtPr>
                        <w:alias w:val="1.2 pp."/>
                        <w:tag w:val="part_32db8784eb554388ac98310dbc953bd8"/>
                        <w:lock w:val="sdtLocked"/>
                        <w:richText/>
                      </w:sdtPr>
                      <w:sdtContent>
                        <w:p>
                          <w:pPr>
                            <w:ind w:firstLine="709"/>
                            <w:jc w:val="both"/>
                            <w:rPr>
                              <w:szCs w:val="24"/>
                            </w:rPr>
                          </w:pPr>
                          <w:r>
                            <w:rPr>
                              <w:szCs w:val="24"/>
                            </w:rPr>
                            <w:t xml:space="preserve">„ </w:t>
                          </w:r>
                          <w:sdt>
                            <w:sdtPr>
                              <w:alias w:val="Numeris"/>
                              <w:tag w:val="nr_32db8784eb554388ac98310dbc953bd8"/>
                              <w:lock w:val="sdtLocked"/>
                              <w:richText/>
                            </w:sdtPr>
                            <w:sdtContent>
                              <w:r>
                                <w:rPr>
                                  <w:szCs w:val="24"/>
                                </w:rPr>
                                <w:t>1.2</w:t>
                              </w:r>
                            </w:sdtContent>
                          </w:sdt>
                          <w:r>
                            <w:rPr>
                              <w:szCs w:val="24"/>
                            </w:rPr>
                            <w:t xml:space="preserve">. asignavimus pagal programas, asignavimų valdytojus ir lėšų šaltinius – 86 305 283,15   Eur (2, 3 priedai), iš jų“.</w:t>
                          </w:r>
                        </w:p>
                      </w:sdtContent>
                    </w:sdt>
                  </w:sdtContent>
                </w:sdt>
              </w:sdtContent>
            </w:sdt>
            <w:sdt>
              <w:sdtPr>
                <w:alias w:val="1.3 pp."/>
                <w:tag w:val="part_79492b1e1f0c4f7e8029e054fc0c6934"/>
                <w:lock w:val="sdtLocked"/>
                <w:richText/>
              </w:sdtPr>
              <w:sdtContent>
                <w:p>
                  <w:pPr>
                    <w:ind w:firstLine="709"/>
                    <w:jc w:val="both"/>
                    <w:rPr>
                      <w:szCs w:val="24"/>
                    </w:rPr>
                  </w:pPr>
                  <w:sdt>
                    <w:sdtPr>
                      <w:alias w:val="Numeris"/>
                      <w:tag w:val="nr_79492b1e1f0c4f7e8029e054fc0c6934"/>
                      <w:lock w:val="sdtLocked"/>
                      <w:richText/>
                    </w:sdtPr>
                    <w:sdtContent>
                      <w:r>
                        <w:rPr>
                          <w:szCs w:val="24"/>
                        </w:rPr>
                        <w:t>1.3</w:t>
                      </w:r>
                    </w:sdtContent>
                  </w:sdt>
                  <w:r>
                    <w:rPr>
                      <w:szCs w:val="24"/>
                    </w:rPr>
                    <w:t>. Pakeisti Sprendimo 2.1 priedą, patvirtintą 1.2.1. papunkčiu, ir išdėstyti jį nauja redakcija (pridedama).</w:t>
                  </w:r>
                </w:p>
                <w:p>
                  <w:pPr>
                    <w:jc w:val="both"/>
                    <w:rPr>
                      <w:szCs w:val="24"/>
                    </w:rPr>
                  </w:pPr>
                </w:p>
                <w:p>
                  <w:pPr>
                    <w:jc w:val="both"/>
                    <w:rPr>
                      <w:szCs w:val="24"/>
                    </w:rPr>
                  </w:pPr>
                </w:p>
                <w:p>
                  <w:pPr>
                    <w:jc w:val="both"/>
                    <w:rPr>
                      <w:szCs w:val="24"/>
                    </w:rPr>
                  </w:pPr>
                </w:p>
                <w:p>
                  <w:pPr>
                    <w:jc w:val="both"/>
                    <w:rPr>
                      <w:szCs w:val="24"/>
                    </w:rPr>
                  </w:pPr>
                  <w:r>
                    <w:rPr>
                      <w:szCs w:val="24"/>
                    </w:rPr>
                    <w:t>Savivaldybės meras</w:t>
                    <w:tab/>
                    <w:tab/>
                    <w:tab/>
                    <w:tab/>
                  </w: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p>
                  <w:pPr>
                    <w:jc w:val="both"/>
                    <w:rPr>
                      <w:szCs w:val="24"/>
                    </w:rPr>
                  </w:pPr>
                </w:p>
              </w:sdtContent>
            </w:sdt>
          </w:sdtContent>
        </w:sdt>
        <w:sdt>
          <w:sdtPr>
            <w:alias w:val="skirsnis"/>
            <w:tag w:val="part_e97e53ae19e84adb83e095fa47914cc2"/>
            <w:lock w:val="sdtLocked"/>
            <w:richText/>
          </w:sdtPr>
          <w:sdtContent>
            <w:sdt>
              <w:sdtPr>
                <w:alias w:val="Pavadinimas"/>
                <w:tag w:val="title_e97e53ae19e84adb83e095fa47914cc2"/>
                <w:lock w:val="sdtLocked"/>
                <w:richText/>
              </w:sdtPr>
              <w:sdtContent>
                <w:p>
                  <w:pPr>
                    <w:shd w:val="clear" w:color="auto" w:fill="FFFFFF"/>
                    <w:jc w:val="center"/>
                    <w:rPr>
                      <w:b/>
                      <w:position w:val="6"/>
                      <w:szCs w:val="24"/>
                      <w:lang w:eastAsia="lt-LT"/>
                      <w14:cntxtAlts/>
                    </w:rPr>
                  </w:pPr>
                  <w:r>
                    <w:rPr>
                      <w:b/>
                      <w:position w:val="6"/>
                      <w:szCs w:val="24"/>
                      <w:lang w:eastAsia="lt-LT"/>
                      <w14:cntxtAlts/>
                    </w:rPr>
                    <w:t xml:space="preserve">RADVILIŠKIO RAJONO SAVIVALDYBĖS TARYBOS SPRENDIMO PROJEKTO </w:t>
                  </w:r>
                </w:p>
                <w:p>
                  <w:pPr>
                    <w:shd w:val="clear" w:color="auto" w:fill="FFFFFF"/>
                    <w:jc w:val="center"/>
                    <w:rPr>
                      <w:b/>
                      <w:position w:val="6"/>
                      <w:szCs w:val="24"/>
                      <w:lang w:eastAsia="lt-LT"/>
                      <w14:cntxtAlts/>
                    </w:rPr>
                  </w:pPr>
                  <w:r>
                    <w:rPr>
                      <w:rFonts w:eastAsia="Calibri"/>
                      <w:b/>
                      <w:position w:val="6"/>
                      <w:szCs w:val="24"/>
                      <w14:cntxtAlts/>
                    </w:rPr>
                    <w:t>„DĖL RADVILIŠKIO RAJONO SAVIVALDYBĖS TARYBOS 2025 M . VASARIO 13 D. SPRENDIMO NR. T-557 „DĖL RADVILIŠKIO RAJONO SAVIVALDYBĖS 2025-2027 METŲ BIUDŽETO PATVIRTINIMO“ PAKEITIMO“</w:t>
                  </w:r>
                </w:p>
                <w:p>
                  <w:pPr>
                    <w:shd w:val="clear" w:color="auto" w:fill="FFFFFF"/>
                    <w:jc w:val="center"/>
                    <w:rPr>
                      <w:b/>
                      <w:position w:val="6"/>
                      <w:szCs w:val="24"/>
                      <w:lang w:eastAsia="lt-LT"/>
                      <w14:cntxtAlts/>
                    </w:rPr>
                  </w:pPr>
                  <w:r>
                    <w:rPr>
                      <w:b/>
                      <w:position w:val="6"/>
                      <w:szCs w:val="24"/>
                      <w:lang w:eastAsia="lt-LT"/>
                      <w14:cntxtAlts/>
                    </w:rPr>
                    <w:t>AIŠKINAMASIS RAŠTAS</w:t>
                  </w:r>
                </w:p>
              </w:sdtContent>
            </w:sdt>
            <w:p>
              <w:pPr>
                <w:shd w:val="clear" w:color="auto" w:fill="FFFFFF"/>
                <w:jc w:val="center"/>
                <w:rPr>
                  <w:bCs/>
                  <w:position w:val="6"/>
                  <w:szCs w:val="24"/>
                  <w:lang w:eastAsia="lt-LT"/>
                  <w14:cntxtAlts/>
                </w:rPr>
              </w:pPr>
            </w:p>
            <w:p>
              <w:pPr>
                <w:shd w:val="clear" w:color="auto" w:fill="FFFFFF"/>
                <w:jc w:val="center"/>
                <w:rPr>
                  <w:bCs/>
                  <w:position w:val="6"/>
                  <w:szCs w:val="24"/>
                  <w:lang w:eastAsia="lt-LT"/>
                  <w14:cntxtAlts/>
                </w:rPr>
              </w:pPr>
              <w:r>
                <w:rPr>
                  <w:bCs/>
                  <w:position w:val="6"/>
                  <w:szCs w:val="24"/>
                  <w:lang w:eastAsia="lt-LT"/>
                  <w14:cntxtAlts/>
                </w:rPr>
                <w:t xml:space="preserve">2025 m. rugsėjo 12  d.</w:t>
              </w:r>
            </w:p>
            <w:p>
              <w:pPr>
                <w:shd w:val="clear" w:color="auto" w:fill="FFFFFF"/>
                <w:jc w:val="center"/>
                <w:rPr>
                  <w:bCs/>
                  <w:sz w:val="28"/>
                  <w:szCs w:val="28"/>
                </w:rPr>
              </w:pPr>
              <w:r>
                <w:rPr>
                  <w:bCs/>
                  <w:position w:val="6"/>
                  <w:szCs w:val="24"/>
                  <w:lang w:eastAsia="lt-LT"/>
                  <w14:cntxtAlts/>
                </w:rPr>
                <w:t>Radviliškis</w:t>
              </w:r>
            </w:p>
            <w:p>
              <w:pPr>
                <w:ind w:left="709"/>
                <w:rPr>
                  <w:b/>
                  <w:bCs/>
                  <w:szCs w:val="24"/>
                  <w:lang w:eastAsia="lt-LT"/>
                </w:rPr>
              </w:pPr>
            </w:p>
            <w:sdt>
              <w:sdtPr>
                <w:alias w:val="1 p."/>
                <w:tag w:val="part_c62a3213067143dbb614fd7470253fa4"/>
                <w:lock w:val="sdtLocked"/>
                <w:richText/>
              </w:sdtPr>
              <w:sdtContent>
                <w:p>
                  <w:pPr>
                    <w:spacing w:line="254" w:lineRule="auto"/>
                    <w:ind w:firstLine="720"/>
                    <w:jc w:val="both"/>
                    <w:rPr>
                      <w:b/>
                      <w:szCs w:val="24"/>
                    </w:rPr>
                  </w:pPr>
                  <w:sdt>
                    <w:sdtPr>
                      <w:alias w:val="Numeris"/>
                      <w:tag w:val="nr_c62a3213067143dbb614fd7470253fa4"/>
                      <w:lock w:val="sdtLocked"/>
                      <w:richText/>
                    </w:sdtPr>
                    <w:sdtContent>
                      <w:r>
                        <w:rPr>
                          <w:b/>
                          <w:szCs w:val="24"/>
                        </w:rPr>
                        <w:t>1</w:t>
                      </w:r>
                    </w:sdtContent>
                  </w:sdt>
                  <w:r>
                    <w:rPr>
                      <w:b/>
                      <w:szCs w:val="24"/>
                    </w:rPr>
                    <w:t xml:space="preserve">. Projekto rengimą paskatinusios priežastys, parengto projekto tikslai ir uždaviniai. </w:t>
                  </w:r>
                </w:p>
                <w:p>
                  <w:pPr>
                    <w:spacing w:line="254" w:lineRule="auto"/>
                    <w:ind w:firstLine="709"/>
                    <w:jc w:val="both"/>
                    <w:rPr>
                      <w:szCs w:val="24"/>
                    </w:rPr>
                  </w:pPr>
                  <w:r>
                    <w:rPr>
                      <w:szCs w:val="24"/>
                      <w:lang w:eastAsia="lt-LT"/>
                    </w:rPr>
                    <w:t>Patikslinti Radviliškio rajono savivaldybės 2025 metų biudžetą savivaldybei skirtomis tikslinėmis valstybės biudžeto dotacijomis ir kitomis lėšomis bei patikslinti patvirtintus savivaldybės biudžeto asignavimus.</w:t>
                  </w:r>
                  <w:r>
                    <w:rPr>
                      <w:sz w:val="22"/>
                      <w:szCs w:val="22"/>
                    </w:rPr>
                    <w:t xml:space="preserve"> </w:t>
                  </w:r>
                  <w:r>
                    <w:rPr>
                      <w:szCs w:val="24"/>
                    </w:rPr>
                    <w:t xml:space="preserve">Savivaldybės biudžeto asignavimai tikslinami, atsižvelgiant į  2025 m.  rugsėjo 5 d. Radviliškio rajono savivaldybės švietimo ir sporto paslaugų centro prašymą „Dėl nepanaudotų asignavimų perkėlimo iš dailės mokyklos sąmatų į Radviliškio menų mokyklos sąmatas“, 2025 m.  rugsėjo 4 d.</w:t>
                  </w:r>
                  <w:r>
                    <w:rPr>
                      <w:sz w:val="22"/>
                      <w:szCs w:val="22"/>
                    </w:rPr>
                    <w:t xml:space="preserve"> </w:t>
                  </w:r>
                  <w:r>
                    <w:rPr>
                      <w:szCs w:val="24"/>
                    </w:rPr>
                    <w:t>Daugyvenės kultūros istorijos muziejaus-draustinio prašymą „Dėl savivaldybės biudžeto specialiųjų programų lėšų sąmatos didinimo“, 2025 m. rugsėjo 9 d. Radviliškio rajono savivaldybės administracijos Socialinės paramos skyriaus prašymą „Dėl informacijos pateikimo apie lėšų perkėlimą“.</w:t>
                  </w:r>
                </w:p>
                <w:p>
                  <w:pPr>
                    <w:spacing w:line="254" w:lineRule="auto"/>
                    <w:ind w:firstLine="682"/>
                    <w:jc w:val="both"/>
                    <w:rPr>
                      <w:b/>
                      <w:szCs w:val="24"/>
                      <w:shd w:val="clear" w:color="auto" w:fill="FFFFFF"/>
                    </w:rPr>
                  </w:pPr>
                  <w:r>
                    <w:rPr>
                      <w:bCs/>
                      <w:szCs w:val="24"/>
                      <w:shd w:val="clear" w:color="auto" w:fill="FFFFFF"/>
                    </w:rPr>
                    <w:t>Nuo 2023 m. balandžio 1 d. pasikeitus Lietuvos Respublikos vietos savivaldos įstatymui savivaldybės meras administruoja savivaldybės biudžeto asignavimus ir kitus piniginius išteklius, organizuoja savivaldybės biudžeto vykdymą.</w:t>
                  </w:r>
                </w:p>
              </w:sdtContent>
            </w:sdt>
            <w:sdt>
              <w:sdtPr>
                <w:alias w:val="2 p."/>
                <w:tag w:val="part_c7aa146bb66743bdab7fcf1d366916ca"/>
                <w:lock w:val="sdtLocked"/>
                <w:richText/>
              </w:sdtPr>
              <w:sdtContent>
                <w:p>
                  <w:pPr>
                    <w:ind w:firstLine="709"/>
                    <w:jc w:val="both"/>
                    <w:rPr>
                      <w:b/>
                      <w:szCs w:val="24"/>
                      <w:shd w:val="clear" w:color="auto" w:fill="FFFFFF"/>
                    </w:rPr>
                  </w:pPr>
                  <w:sdt>
                    <w:sdtPr>
                      <w:alias w:val="Numeris"/>
                      <w:tag w:val="nr_c7aa146bb66743bdab7fcf1d366916ca"/>
                      <w:lock w:val="sdtLocked"/>
                      <w:richText/>
                    </w:sdtPr>
                    <w:sdtContent>
                      <w:r>
                        <w:rPr>
                          <w:b/>
                          <w:szCs w:val="24"/>
                          <w:shd w:val="clear" w:color="auto" w:fill="FFFFFF"/>
                        </w:rPr>
                        <w:t>2</w:t>
                      </w:r>
                    </w:sdtContent>
                  </w:sdt>
                  <w:r>
                    <w:rPr>
                      <w:b/>
                      <w:szCs w:val="24"/>
                      <w:shd w:val="clear" w:color="auto" w:fill="FFFFFF"/>
                    </w:rPr>
                    <w:t>. Projekto iniciatoriai (institucija, asmenys ar piliečių atstovai) ir rengėjai.</w:t>
                  </w:r>
                </w:p>
                <w:p>
                  <w:pPr>
                    <w:ind w:firstLine="709"/>
                    <w:jc w:val="both"/>
                    <w:rPr>
                      <w:b/>
                      <w:szCs w:val="24"/>
                      <w:shd w:val="clear" w:color="auto" w:fill="FFFFFF"/>
                    </w:rPr>
                  </w:pPr>
                  <w:r>
                    <w:rPr>
                      <w:bCs/>
                      <w:szCs w:val="24"/>
                      <w:shd w:val="clear" w:color="auto" w:fill="FFFFFF"/>
                    </w:rPr>
                    <w:t xml:space="preserve">Projekto iniciatorius – Radviliškio rajono savivaldybės meras. Projektą parengė Radviliškio rajono savivaldybės administracijos Finansų skyriaus vedėja Lina Baškevičienė, tel.  (0 422) 69020.</w:t>
                  </w:r>
                  <w:r>
                    <w:rPr>
                      <w:b/>
                      <w:szCs w:val="24"/>
                      <w:shd w:val="clear" w:color="auto" w:fill="FFFFFF"/>
                    </w:rPr>
                    <w:t xml:space="preserve"> </w:t>
                  </w:r>
                </w:p>
              </w:sdtContent>
            </w:sdt>
            <w:sdt>
              <w:sdtPr>
                <w:alias w:val="3 p."/>
                <w:tag w:val="part_46c646e405d14423ac6336d5db7d99e4"/>
                <w:lock w:val="sdtLocked"/>
                <w:richText/>
              </w:sdtPr>
              <w:sdtContent>
                <w:p>
                  <w:pPr>
                    <w:tabs>
                      <w:tab w:val="left" w:pos="7513"/>
                    </w:tabs>
                    <w:spacing w:line="254" w:lineRule="auto"/>
                    <w:ind w:firstLine="709"/>
                    <w:rPr>
                      <w:b/>
                      <w:szCs w:val="24"/>
                      <w:shd w:val="clear" w:color="auto" w:fill="FFFFFF"/>
                    </w:rPr>
                  </w:pPr>
                  <w:sdt>
                    <w:sdtPr>
                      <w:alias w:val="Numeris"/>
                      <w:tag w:val="nr_46c646e405d14423ac6336d5db7d99e4"/>
                      <w:lock w:val="sdtLocked"/>
                      <w:richText/>
                    </w:sdtPr>
                    <w:sdtContent>
                      <w:r>
                        <w:rPr>
                          <w:b/>
                          <w:szCs w:val="24"/>
                          <w:shd w:val="clear" w:color="auto" w:fill="FFFFFF"/>
                        </w:rPr>
                        <w:t>3</w:t>
                      </w:r>
                    </w:sdtContent>
                  </w:sdt>
                  <w:r>
                    <w:rPr>
                      <w:b/>
                      <w:szCs w:val="24"/>
                      <w:shd w:val="clear" w:color="auto" w:fill="FFFFFF"/>
                    </w:rPr>
                    <w:t>. Kaip šiuo metu yra reguliuojami projekte aptarti teisiniai santykiai.</w:t>
                  </w:r>
                </w:p>
                <w:p>
                  <w:pPr>
                    <w:tabs>
                      <w:tab w:val="left" w:pos="7513"/>
                    </w:tabs>
                    <w:spacing w:line="254" w:lineRule="auto"/>
                    <w:ind w:firstLine="709"/>
                    <w:jc w:val="both"/>
                    <w:rPr>
                      <w:bCs/>
                      <w:szCs w:val="24"/>
                      <w:shd w:val="clear" w:color="auto" w:fill="FFFFFF"/>
                    </w:rPr>
                  </w:pPr>
                  <w:r>
                    <w:rPr>
                      <w:bCs/>
                      <w:szCs w:val="24"/>
                      <w:shd w:val="clear" w:color="auto" w:fill="FFFFFF"/>
                    </w:rPr>
                    <w:t>Lietuvos Respublikos vietos savivaldos įstatymo, 15 straipsnio 2 dalies 12 punktas numato savivaldybės tarybos kompetenciją tvirtinti ir tikslinti savivaldybės biudžetą,</w:t>
                  </w:r>
                  <w:r>
                    <w:rPr>
                      <w:sz w:val="22"/>
                      <w:szCs w:val="22"/>
                    </w:rPr>
                    <w:t xml:space="preserve"> </w:t>
                  </w:r>
                  <w:r>
                    <w:rPr>
                      <w:szCs w:val="24"/>
                    </w:rPr>
                    <w:t>66 straipsnio 2 dalis numato, kad biudžetiniais metais savivaldybės taryba mero siūlymu biudžetą gali tikslinti,</w:t>
                  </w:r>
                  <w:r>
                    <w:rPr>
                      <w:sz w:val="22"/>
                      <w:szCs w:val="22"/>
                    </w:rPr>
                    <w:t xml:space="preserve"> </w:t>
                  </w:r>
                  <w:r>
                    <w:rPr>
                      <w:bCs/>
                      <w:szCs w:val="24"/>
                      <w:shd w:val="clear" w:color="auto" w:fill="FFFFFF"/>
                    </w:rPr>
                    <w:t xml:space="preserve">Lietuvos Respublikos biudžeto sandaros įstatymo 16 straipsnio 1 dalis numato, kad biudžetus tvirtina savivaldybių taryba,  22 straipsnio 3 dalis, kad savivaldybės meras organizuoja biudžeto vykdymą, Lietuvos Respublikos 2025–2027 metų biudžeto patvirtinimo įstatymo 4 straipsnio 4 dalis numato, kad Savivaldybių tarybos, atsižvelgdamos į gautas valstybės biudžeto dotacijas, atitinkamai patikslina savo patvirtintus biudžetus.</w:t>
                  </w:r>
                </w:p>
              </w:sdtContent>
            </w:sdt>
            <w:sdt>
              <w:sdtPr>
                <w:alias w:val="4 p."/>
                <w:tag w:val="part_a70f68d574914659bc3b64d8ac72a557"/>
                <w:lock w:val="sdtLocked"/>
                <w:richText/>
              </w:sdtPr>
              <w:sdtContent>
                <w:p>
                  <w:pPr>
                    <w:tabs>
                      <w:tab w:val="left" w:pos="7513"/>
                    </w:tabs>
                    <w:spacing w:line="254" w:lineRule="auto"/>
                    <w:ind w:firstLine="709"/>
                    <w:jc w:val="both"/>
                    <w:rPr>
                      <w:bCs/>
                      <w:szCs w:val="24"/>
                      <w:shd w:val="clear" w:color="auto" w:fill="FFFFFF"/>
                    </w:rPr>
                  </w:pPr>
                  <w:sdt>
                    <w:sdtPr>
                      <w:alias w:val="Numeris"/>
                      <w:tag w:val="nr_a70f68d574914659bc3b64d8ac72a557"/>
                      <w:lock w:val="sdtLocked"/>
                      <w:richText/>
                    </w:sdtPr>
                    <w:sdtContent>
                      <w:r>
                        <w:rPr>
                          <w:b/>
                          <w:szCs w:val="24"/>
                          <w:shd w:val="clear" w:color="auto" w:fill="FFFFFF"/>
                        </w:rPr>
                        <w:t>4</w:t>
                      </w:r>
                    </w:sdtContent>
                  </w:sdt>
                  <w:r>
                    <w:rPr>
                      <w:bCs/>
                      <w:szCs w:val="24"/>
                      <w:shd w:val="clear" w:color="auto" w:fill="FFFFFF"/>
                    </w:rPr>
                    <w:t>.</w:t>
                  </w:r>
                  <w:r>
                    <w:rPr>
                      <w:sz w:val="22"/>
                      <w:szCs w:val="22"/>
                    </w:rPr>
                    <w:t xml:space="preserve"> </w:t>
                  </w:r>
                  <w:r>
                    <w:rPr>
                      <w:b/>
                      <w:szCs w:val="24"/>
                      <w:shd w:val="clear" w:color="auto" w:fill="FFFFFF"/>
                    </w:rPr>
                    <w:t>Kokios siūlomos naujos teisinio reguliavimo nuostatos, kokių teigiamų rezultatų laukiama</w:t>
                  </w:r>
                  <w:r>
                    <w:rPr>
                      <w:bCs/>
                      <w:szCs w:val="24"/>
                      <w:shd w:val="clear" w:color="auto" w:fill="FFFFFF"/>
                    </w:rPr>
                    <w:t>.</w:t>
                  </w:r>
                </w:p>
                <w:p>
                  <w:pPr>
                    <w:tabs>
                      <w:tab w:val="left" w:pos="7513"/>
                    </w:tabs>
                    <w:spacing w:line="254" w:lineRule="auto"/>
                    <w:ind w:firstLine="709"/>
                    <w:jc w:val="both"/>
                    <w:rPr>
                      <w:bCs/>
                      <w:szCs w:val="24"/>
                      <w:shd w:val="clear" w:color="auto" w:fill="FFFFFF"/>
                    </w:rPr>
                  </w:pPr>
                  <w:r>
                    <w:rPr>
                      <w:bCs/>
                      <w:szCs w:val="24"/>
                      <w:shd w:val="clear" w:color="auto" w:fill="FFFFFF"/>
                    </w:rPr>
                    <w:t xml:space="preserve">Pakeitus ir patikslinus 2025 m. Savivaldybės biudžetą, sprendimas atitiks galiojančius teisės aktus. Priimtas sprendimo  projektas įtakos kriminogeninei situacijai ir korupcijai neturės.</w:t>
                  </w:r>
                </w:p>
              </w:sdtContent>
            </w:sdt>
            <w:sdt>
              <w:sdtPr>
                <w:alias w:val="5 p."/>
                <w:tag w:val="part_64a6977f047146c288c819a1cde4a687"/>
                <w:lock w:val="sdtLocked"/>
                <w:richText/>
              </w:sdtPr>
              <w:sdtContent>
                <w:p>
                  <w:pPr>
                    <w:tabs>
                      <w:tab w:val="left" w:pos="0"/>
                    </w:tabs>
                    <w:spacing w:line="254" w:lineRule="auto"/>
                    <w:ind w:firstLine="709"/>
                    <w:jc w:val="both"/>
                    <w:rPr>
                      <w:b/>
                      <w:szCs w:val="24"/>
                      <w:shd w:val="clear" w:color="auto" w:fill="FFFFFF"/>
                    </w:rPr>
                  </w:pPr>
                  <w:sdt>
                    <w:sdtPr>
                      <w:alias w:val="Numeris"/>
                      <w:tag w:val="nr_64a6977f047146c288c819a1cde4a687"/>
                      <w:lock w:val="sdtLocked"/>
                      <w:richText/>
                    </w:sdtPr>
                    <w:sdtContent>
                      <w:r>
                        <w:rPr>
                          <w:b/>
                          <w:szCs w:val="24"/>
                          <w:shd w:val="clear" w:color="auto" w:fill="FFFFFF"/>
                        </w:rPr>
                        <w:t>5</w:t>
                      </w:r>
                    </w:sdtContent>
                  </w:sdt>
                  <w:r>
                    <w:rPr>
                      <w:b/>
                      <w:szCs w:val="24"/>
                      <w:shd w:val="clear" w:color="auto" w:fill="FFFFFF"/>
                    </w:rPr>
                    <w:t>. Galimos neigiamos priimto sprendimo projekto pasekmės ir kokių priemonių reikėtų imtis, kad tokių pasekmių būtų išvengta.</w:t>
                  </w:r>
                </w:p>
                <w:p>
                  <w:pPr>
                    <w:spacing w:line="254" w:lineRule="auto"/>
                    <w:ind w:left="-709" w:firstLine="1418"/>
                    <w:jc w:val="both"/>
                    <w:rPr>
                      <w:szCs w:val="24"/>
                    </w:rPr>
                  </w:pPr>
                  <w:r>
                    <w:rPr>
                      <w:szCs w:val="24"/>
                    </w:rPr>
                    <w:t xml:space="preserve">Priėmus sprendimo projektą, neigiamų pasekmių nenumatoma. </w:t>
                  </w:r>
                </w:p>
              </w:sdtContent>
            </w:sdt>
            <w:sdt>
              <w:sdtPr>
                <w:alias w:val="6 p."/>
                <w:tag w:val="part_a91c1345868d45139a39cdd26bca7955"/>
                <w:lock w:val="sdtLocked"/>
                <w:richText/>
              </w:sdtPr>
              <w:sdtContent>
                <w:p>
                  <w:pPr>
                    <w:spacing w:line="254" w:lineRule="auto"/>
                    <w:ind w:firstLine="709"/>
                    <w:jc w:val="both"/>
                    <w:rPr>
                      <w:b/>
                      <w:bCs/>
                      <w:szCs w:val="24"/>
                    </w:rPr>
                  </w:pPr>
                  <w:sdt>
                    <w:sdtPr>
                      <w:alias w:val="Numeris"/>
                      <w:tag w:val="nr_a91c1345868d45139a39cdd26bca7955"/>
                      <w:lock w:val="sdtLocked"/>
                      <w:richText/>
                    </w:sdtPr>
                    <w:sdtContent>
                      <w:r>
                        <w:rPr>
                          <w:b/>
                          <w:bCs/>
                          <w:szCs w:val="24"/>
                        </w:rPr>
                        <w:t>6</w:t>
                      </w:r>
                    </w:sdtContent>
                  </w:sdt>
                  <w:r>
                    <w:rPr>
                      <w:b/>
                      <w:bCs/>
                      <w:szCs w:val="24"/>
                    </w:rPr>
                    <w:t xml:space="preserve">. Kokius teisės aktus būtina priimti, kokius galiojančius teisės aktus būtina pakeisti ar    pripažinti netekusiais galios priėmus sprendimo projektą.</w:t>
                  </w:r>
                </w:p>
                <w:p>
                  <w:pPr>
                    <w:tabs>
                      <w:tab w:val="left" w:pos="0"/>
                    </w:tabs>
                    <w:spacing w:line="254" w:lineRule="auto"/>
                    <w:ind w:firstLine="709"/>
                    <w:jc w:val="both"/>
                    <w:rPr>
                      <w:bCs/>
                      <w:szCs w:val="24"/>
                      <w:shd w:val="clear" w:color="auto" w:fill="FFFFFF"/>
                    </w:rPr>
                  </w:pPr>
                  <w:r>
                    <w:rPr>
                      <w:bCs/>
                      <w:szCs w:val="24"/>
                      <w:shd w:val="clear" w:color="auto" w:fill="FFFFFF"/>
                    </w:rPr>
                    <w:t xml:space="preserve">Priėmus sprendimą bus iš dalies pakeistas Radviliškio rajono savivaldybės tarybos </w:t>
                  </w:r>
                  <w:r>
                    <w:rPr>
                      <w:szCs w:val="24"/>
                      <w:lang w:eastAsia="lt-LT"/>
                    </w:rPr>
                    <w:t xml:space="preserve">2025  m. vasario 13 d. sprendimas  Nr. T-557 „Dėl Radviliškio rajono savivaldybės 2025-2027 metų biudžeto patvirtinimo“</w:t>
                  </w:r>
                </w:p>
              </w:sdtContent>
            </w:sdt>
            <w:sdt>
              <w:sdtPr>
                <w:alias w:val="7 p."/>
                <w:tag w:val="part_fa5ebdacac0648b98e0afebafda8bbad"/>
                <w:lock w:val="sdtLocked"/>
                <w:richText/>
              </w:sdtPr>
              <w:sdtContent>
                <w:p>
                  <w:pPr>
                    <w:tabs>
                      <w:tab w:val="left" w:pos="0"/>
                    </w:tabs>
                    <w:spacing w:line="254" w:lineRule="auto"/>
                    <w:ind w:firstLine="709"/>
                    <w:jc w:val="both"/>
                    <w:rPr>
                      <w:b/>
                      <w:szCs w:val="24"/>
                      <w:shd w:val="clear" w:color="auto" w:fill="FFFFFF"/>
                    </w:rPr>
                  </w:pPr>
                  <w:sdt>
                    <w:sdtPr>
                      <w:alias w:val="Numeris"/>
                      <w:tag w:val="nr_fa5ebdacac0648b98e0afebafda8bbad"/>
                      <w:lock w:val="sdtLocked"/>
                      <w:richText/>
                    </w:sdtPr>
                    <w:sdtContent>
                      <w:r>
                        <w:rPr>
                          <w:b/>
                          <w:szCs w:val="24"/>
                          <w:shd w:val="clear" w:color="auto" w:fill="FFFFFF"/>
                        </w:rPr>
                        <w:t>7</w:t>
                      </w:r>
                    </w:sdtContent>
                  </w:sdt>
                  <w:r>
                    <w:rPr>
                      <w:b/>
                      <w:szCs w:val="24"/>
                      <w:shd w:val="clear" w:color="auto" w:fill="FFFFFF"/>
                    </w:rPr>
                    <w:t>. Sprendimui įgyvendinti reikalingos lėšos,</w:t>
                  </w:r>
                  <w:r>
                    <w:rPr>
                      <w:sz w:val="22"/>
                      <w:szCs w:val="22"/>
                    </w:rPr>
                    <w:t xml:space="preserve"> </w:t>
                  </w:r>
                  <w:r>
                    <w:rPr>
                      <w:b/>
                      <w:szCs w:val="24"/>
                      <w:shd w:val="clear" w:color="auto" w:fill="FFFFFF"/>
                    </w:rPr>
                    <w:t>finansavimo šaltiniai.</w:t>
                  </w:r>
                </w:p>
                <w:p>
                  <w:pPr>
                    <w:tabs>
                      <w:tab w:val="left" w:pos="0"/>
                    </w:tabs>
                    <w:spacing w:line="254" w:lineRule="auto"/>
                    <w:ind w:firstLine="709"/>
                    <w:jc w:val="both"/>
                    <w:rPr>
                      <w:bCs/>
                      <w:szCs w:val="24"/>
                      <w:shd w:val="clear" w:color="auto" w:fill="FFFFFF"/>
                    </w:rPr>
                  </w:pPr>
                  <w:r>
                    <w:rPr>
                      <w:bCs/>
                      <w:szCs w:val="24"/>
                      <w:shd w:val="clear" w:color="auto" w:fill="FFFFFF"/>
                    </w:rPr>
                    <w:t>Sprendimui įgyvendinti nebus reikalingos papildomos Savivaldybės biudžeto lėšos.</w:t>
                  </w:r>
                </w:p>
              </w:sdtContent>
            </w:sdt>
            <w:sdt>
              <w:sdtPr>
                <w:alias w:val="8 p."/>
                <w:tag w:val="part_47eb3fd28cd443f592ad12e9832a53af"/>
                <w:lock w:val="sdtLocked"/>
                <w:richText/>
              </w:sdtPr>
              <w:sdtContent>
                <w:p>
                  <w:pPr>
                    <w:tabs>
                      <w:tab w:val="left" w:pos="0"/>
                    </w:tabs>
                    <w:spacing w:line="254" w:lineRule="auto"/>
                    <w:ind w:firstLine="709"/>
                    <w:jc w:val="both"/>
                    <w:rPr>
                      <w:b/>
                      <w:szCs w:val="24"/>
                      <w:shd w:val="clear" w:color="auto" w:fill="FFFFFF"/>
                    </w:rPr>
                  </w:pPr>
                  <w:sdt>
                    <w:sdtPr>
                      <w:alias w:val="Numeris"/>
                      <w:tag w:val="nr_47eb3fd28cd443f592ad12e9832a53af"/>
                      <w:lock w:val="sdtLocked"/>
                      <w:richText/>
                    </w:sdtPr>
                    <w:sdtContent>
                      <w:r>
                        <w:rPr>
                          <w:b/>
                          <w:szCs w:val="24"/>
                          <w:shd w:val="clear" w:color="auto" w:fill="FFFFFF"/>
                        </w:rPr>
                        <w:t>8</w:t>
                      </w:r>
                    </w:sdtContent>
                  </w:sdt>
                  <w:r>
                    <w:rPr>
                      <w:b/>
                      <w:szCs w:val="24"/>
                      <w:shd w:val="clear" w:color="auto" w:fill="FFFFFF"/>
                    </w:rPr>
                    <w:t xml:space="preserve">. Sprendimo projekto rengimo metu gauti specialistų vertinimai ir išvados.     </w:t>
                  </w:r>
                </w:p>
                <w:p>
                  <w:pPr>
                    <w:tabs>
                      <w:tab w:val="left" w:pos="0"/>
                    </w:tabs>
                    <w:spacing w:line="254" w:lineRule="auto"/>
                    <w:ind w:firstLine="709"/>
                    <w:jc w:val="both"/>
                    <w:rPr>
                      <w:bCs/>
                      <w:szCs w:val="24"/>
                      <w:shd w:val="clear" w:color="auto" w:fill="FFFFFF"/>
                    </w:rPr>
                  </w:pPr>
                  <w:r>
                    <w:rPr>
                      <w:bCs/>
                      <w:szCs w:val="24"/>
                      <w:shd w:val="clear" w:color="auto" w:fill="FFFFFF"/>
                    </w:rPr>
                    <w:t xml:space="preserve">Sprendimo projektas suderintas su  juristu, kalbininku,</w:t>
                  </w:r>
                  <w:r>
                    <w:rPr>
                      <w:sz w:val="22"/>
                      <w:szCs w:val="22"/>
                    </w:rPr>
                    <w:t xml:space="preserve"> </w:t>
                  </w:r>
                  <w:r>
                    <w:rPr>
                      <w:bCs/>
                      <w:szCs w:val="24"/>
                      <w:shd w:val="clear" w:color="auto" w:fill="FFFFFF"/>
                    </w:rPr>
                    <w:t>administracijos direktoriumi, vicemerais ir meru.</w:t>
                  </w:r>
                </w:p>
              </w:sdtContent>
            </w:sdt>
            <w:sdt>
              <w:sdtPr>
                <w:alias w:val="9 p."/>
                <w:tag w:val="part_c8069287ad6647db92cdb334b9b17e9d"/>
                <w:lock w:val="sdtLocked"/>
                <w:richText/>
              </w:sdtPr>
              <w:sdtContent>
                <w:p>
                  <w:pPr>
                    <w:tabs>
                      <w:tab w:val="left" w:pos="0"/>
                    </w:tabs>
                    <w:spacing w:line="254" w:lineRule="auto"/>
                    <w:ind w:firstLine="709"/>
                    <w:jc w:val="both"/>
                    <w:rPr>
                      <w:b/>
                      <w:szCs w:val="24"/>
                      <w:shd w:val="clear" w:color="auto" w:fill="FFFFFF"/>
                    </w:rPr>
                  </w:pPr>
                  <w:sdt>
                    <w:sdtPr>
                      <w:alias w:val="Numeris"/>
                      <w:tag w:val="nr_c8069287ad6647db92cdb334b9b17e9d"/>
                      <w:lock w:val="sdtLocked"/>
                      <w:richText/>
                    </w:sdtPr>
                    <w:sdtContent>
                      <w:r>
                        <w:rPr>
                          <w:b/>
                          <w:szCs w:val="24"/>
                          <w:shd w:val="clear" w:color="auto" w:fill="FFFFFF"/>
                        </w:rPr>
                        <w:t>9</w:t>
                      </w:r>
                    </w:sdtContent>
                  </w:sdt>
                  <w:r>
                    <w:rPr>
                      <w:b/>
                      <w:szCs w:val="24"/>
                      <w:shd w:val="clear" w:color="auto" w:fill="FFFFFF"/>
                    </w:rPr>
                    <w:t>.</w:t>
                  </w:r>
                  <w:r>
                    <w:rPr>
                      <w:sz w:val="22"/>
                      <w:szCs w:val="22"/>
                    </w:rPr>
                    <w:t xml:space="preserve"> </w:t>
                  </w:r>
                  <w:r>
                    <w:rPr>
                      <w:b/>
                      <w:szCs w:val="24"/>
                      <w:shd w:val="clear" w:color="auto" w:fill="FFFFFF"/>
                    </w:rPr>
                    <w:t xml:space="preserve"> Numatomo teisinio reguliavimo poveikio vertinimo rezultatai. </w:t>
                  </w:r>
                </w:p>
                <w:p>
                  <w:pPr>
                    <w:spacing w:line="254" w:lineRule="auto"/>
                    <w:ind w:firstLine="798"/>
                    <w:rPr>
                      <w:szCs w:val="24"/>
                      <w:shd w:val="clear" w:color="auto" w:fill="FFFFFF"/>
                    </w:rPr>
                  </w:pPr>
                  <w:r>
                    <w:rPr>
                      <w:szCs w:val="24"/>
                      <w:shd w:val="clear" w:color="auto" w:fill="FFFFFF"/>
                    </w:rPr>
                    <w:t>Rezultatai nenumatomi.</w:t>
                  </w:r>
                </w:p>
              </w:sdtContent>
            </w:sdt>
            <w:sdt>
              <w:sdtPr>
                <w:alias w:val="10 p."/>
                <w:tag w:val="part_979693f1b13841319bfd874fdff810fd"/>
                <w:lock w:val="sdtLocked"/>
                <w:richText/>
              </w:sdtPr>
              <w:sdtContent>
                <w:p>
                  <w:pPr>
                    <w:tabs>
                      <w:tab w:val="left" w:pos="0"/>
                    </w:tabs>
                    <w:spacing w:line="254" w:lineRule="auto"/>
                    <w:ind w:firstLine="709"/>
                    <w:jc w:val="both"/>
                    <w:rPr>
                      <w:b/>
                      <w:szCs w:val="24"/>
                      <w:shd w:val="clear" w:color="auto" w:fill="FFFFFF"/>
                    </w:rPr>
                  </w:pPr>
                  <w:sdt>
                    <w:sdtPr>
                      <w:alias w:val="Numeris"/>
                      <w:tag w:val="nr_979693f1b13841319bfd874fdff810fd"/>
                      <w:lock w:val="sdtLocked"/>
                      <w:richText/>
                    </w:sdtPr>
                    <w:sdtContent>
                      <w:r>
                        <w:rPr>
                          <w:b/>
                          <w:szCs w:val="24"/>
                          <w:shd w:val="clear" w:color="auto" w:fill="FFFFFF"/>
                        </w:rPr>
                        <w:t>10</w:t>
                      </w:r>
                    </w:sdtContent>
                  </w:sdt>
                  <w:r>
                    <w:rPr>
                      <w:b/>
                      <w:szCs w:val="24"/>
                      <w:shd w:val="clear" w:color="auto" w:fill="FFFFFF"/>
                    </w:rPr>
                    <w:t>.</w:t>
                  </w:r>
                  <w:r>
                    <w:rPr>
                      <w:b/>
                      <w:sz w:val="22"/>
                      <w:szCs w:val="22"/>
                    </w:rPr>
                    <w:t xml:space="preserve"> </w:t>
                  </w:r>
                  <w:r>
                    <w:rPr>
                      <w:b/>
                      <w:szCs w:val="24"/>
                      <w:shd w:val="clear" w:color="auto" w:fill="FFFFFF"/>
                    </w:rPr>
                    <w:t>Sprendimo projekto antikorupcinis vertinimas.</w:t>
                  </w:r>
                </w:p>
                <w:p>
                  <w:pPr>
                    <w:tabs>
                      <w:tab w:val="left" w:pos="0"/>
                    </w:tabs>
                    <w:spacing w:line="254" w:lineRule="auto"/>
                    <w:ind w:firstLine="766"/>
                    <w:jc w:val="both"/>
                    <w:rPr>
                      <w:bCs/>
                      <w:szCs w:val="24"/>
                      <w:shd w:val="clear" w:color="auto" w:fill="FFFFFF"/>
                    </w:rPr>
                  </w:pPr>
                  <w:r>
                    <w:rPr>
                      <w:bCs/>
                      <w:szCs w:val="24"/>
                      <w:shd w:val="clear" w:color="auto" w:fill="FFFFFF"/>
                    </w:rPr>
                    <w:t>Teisės akto projektas antikorupciniam vertinimui neteikiamas.</w:t>
                  </w:r>
                </w:p>
              </w:sdtContent>
            </w:sdt>
            <w:sdt>
              <w:sdtPr>
                <w:alias w:val="11 p."/>
                <w:tag w:val="part_cbf78a2407034b879071cca87f81752e"/>
                <w:lock w:val="sdtLocked"/>
                <w:richText/>
              </w:sdtPr>
              <w:sdtContent>
                <w:p>
                  <w:pPr>
                    <w:tabs>
                      <w:tab w:val="left" w:pos="0"/>
                    </w:tabs>
                    <w:spacing w:line="254" w:lineRule="auto"/>
                    <w:ind w:firstLine="709"/>
                    <w:jc w:val="both"/>
                    <w:rPr>
                      <w:b/>
                      <w:szCs w:val="24"/>
                      <w:shd w:val="clear" w:color="auto" w:fill="FFFFFF"/>
                    </w:rPr>
                  </w:pPr>
                  <w:sdt>
                    <w:sdtPr>
                      <w:alias w:val="Numeris"/>
                      <w:tag w:val="nr_cbf78a2407034b879071cca87f81752e"/>
                      <w:lock w:val="sdtLocked"/>
                      <w:richText/>
                    </w:sdtPr>
                    <w:sdtContent>
                      <w:r>
                        <w:rPr>
                          <w:b/>
                          <w:szCs w:val="24"/>
                          <w:shd w:val="clear" w:color="auto" w:fill="FFFFFF"/>
                        </w:rPr>
                        <w:t>11</w:t>
                      </w:r>
                    </w:sdtContent>
                  </w:sdt>
                  <w:r>
                    <w:rPr>
                      <w:b/>
                      <w:szCs w:val="24"/>
                      <w:shd w:val="clear" w:color="auto" w:fill="FFFFFF"/>
                    </w:rPr>
                    <w:t xml:space="preserve">.  Kiti, iniciatoriaus nuomone, reikalingi pagrindimai ir paaiškinimai.    </w:t>
                  </w:r>
                </w:p>
                <w:p>
                  <w:pPr>
                    <w:tabs>
                      <w:tab w:val="left" w:pos="0"/>
                    </w:tabs>
                    <w:spacing w:line="254" w:lineRule="auto"/>
                    <w:ind w:firstLine="709"/>
                    <w:jc w:val="both"/>
                    <w:rPr>
                      <w:bCs/>
                      <w:szCs w:val="24"/>
                      <w:shd w:val="clear" w:color="auto" w:fill="FFFFFF"/>
                    </w:rPr>
                  </w:pPr>
                  <w:r>
                    <w:rPr>
                      <w:bCs/>
                      <w:szCs w:val="24"/>
                      <w:shd w:val="clear" w:color="auto" w:fill="FFFFFF"/>
                    </w:rPr>
                    <w:t>Sprendimo projektu:</w:t>
                  </w:r>
                </w:p>
              </w:sdtContent>
            </w:sdt>
            <w:sdt>
              <w:sdtPr>
                <w:alias w:val="1 p."/>
                <w:tag w:val="part_a34bebc4dbf544e68524df7d7e6b6f77"/>
                <w:lock w:val="sdtLocked"/>
                <w:richText/>
              </w:sdtPr>
              <w:sdtContent>
                <w:p>
                  <w:pPr>
                    <w:tabs>
                      <w:tab w:val="left" w:pos="0"/>
                    </w:tabs>
                    <w:spacing w:line="254" w:lineRule="auto"/>
                    <w:ind w:firstLine="771"/>
                    <w:jc w:val="both"/>
                    <w:rPr>
                      <w:b/>
                      <w:szCs w:val="24"/>
                      <w:shd w:val="clear" w:color="auto" w:fill="FFFFFF"/>
                    </w:rPr>
                  </w:pPr>
                  <w:sdt>
                    <w:sdtPr>
                      <w:alias w:val="Numeris"/>
                      <w:tag w:val="nr_a34bebc4dbf544e68524df7d7e6b6f77"/>
                      <w:lock w:val="sdtLocked"/>
                      <w:richText/>
                    </w:sdtPr>
                    <w:sdtContent>
                      <w:r>
                        <w:rPr>
                          <w:b/>
                          <w:szCs w:val="24"/>
                          <w:shd w:val="clear" w:color="auto" w:fill="FFFFFF"/>
                        </w:rPr>
                        <w:t>1</w:t>
                      </w:r>
                    </w:sdtContent>
                  </w:sdt>
                  <w:r>
                    <w:rPr>
                      <w:b/>
                      <w:szCs w:val="24"/>
                      <w:shd w:val="clear" w:color="auto" w:fill="FFFFFF"/>
                    </w:rPr>
                    <w:t xml:space="preserve">. Didinamos  Radviliškio rajono savivaldybės 2025 metų biudžeto pajamos 475 278,45 Eur, iš jų:</w:t>
                  </w:r>
                </w:p>
                <w:sdt>
                  <w:sdtPr>
                    <w:alias w:val="1.1 pp."/>
                    <w:tag w:val="part_fd9b11cb406f4515814b7adc558cb9eb"/>
                    <w:lock w:val="sdtLocked"/>
                    <w:richText/>
                  </w:sdtPr>
                  <w:sdtContent>
                    <w:p>
                      <w:pPr>
                        <w:spacing w:line="254" w:lineRule="auto"/>
                        <w:ind w:firstLine="709"/>
                        <w:jc w:val="both"/>
                        <w:rPr>
                          <w:szCs w:val="24"/>
                        </w:rPr>
                      </w:pPr>
                      <w:sdt>
                        <w:sdtPr>
                          <w:alias w:val="Numeris"/>
                          <w:tag w:val="nr_fd9b11cb406f4515814b7adc558cb9eb"/>
                          <w:lock w:val="sdtLocked"/>
                          <w:richText/>
                        </w:sdtPr>
                        <w:sdtContent>
                          <w:r>
                            <w:rPr>
                              <w:szCs w:val="24"/>
                            </w:rPr>
                            <w:t>1.1</w:t>
                          </w:r>
                        </w:sdtContent>
                      </w:sdt>
                      <w:r>
                        <w:rPr>
                          <w:szCs w:val="24"/>
                        </w:rPr>
                        <w:t>. Valstybės biudžeto lėšos, skirtos</w:t>
                      </w:r>
                      <w:r>
                        <w:rPr>
                          <w:sz w:val="22"/>
                          <w:szCs w:val="22"/>
                        </w:rPr>
                        <w:t xml:space="preserve"> </w:t>
                      </w:r>
                      <w:r>
                        <w:rPr>
                          <w:szCs w:val="24"/>
                        </w:rPr>
                        <w:t xml:space="preserve"> socialinės globos teikimui asmenims su sunkia negalia užtikrinimui (Ukraina) – 600 Eur (VB);</w:t>
                      </w:r>
                    </w:p>
                  </w:sdtContent>
                </w:sdt>
                <w:sdt>
                  <w:sdtPr>
                    <w:alias w:val="1.2 pp."/>
                    <w:tag w:val="part_fc07dbea2b6441ed92540f088ac0aec0"/>
                    <w:lock w:val="sdtLocked"/>
                    <w:richText/>
                  </w:sdtPr>
                  <w:sdtContent>
                    <w:p>
                      <w:pPr>
                        <w:spacing w:line="254" w:lineRule="auto"/>
                        <w:ind w:firstLine="709"/>
                        <w:jc w:val="both"/>
                        <w:rPr>
                          <w:szCs w:val="24"/>
                        </w:rPr>
                      </w:pPr>
                      <w:sdt>
                        <w:sdtPr>
                          <w:alias w:val="Numeris"/>
                          <w:tag w:val="nr_fc07dbea2b6441ed92540f088ac0aec0"/>
                          <w:lock w:val="sdtLocked"/>
                          <w:richText/>
                        </w:sdtPr>
                        <w:sdtContent>
                          <w:r>
                            <w:rPr>
                              <w:szCs w:val="24"/>
                            </w:rPr>
                            <w:t>1.2</w:t>
                          </w:r>
                        </w:sdtContent>
                      </w:sdt>
                      <w:r>
                        <w:rPr>
                          <w:szCs w:val="24"/>
                        </w:rPr>
                        <w:t>.</w:t>
                      </w:r>
                      <w:r>
                        <w:rPr>
                          <w:sz w:val="22"/>
                          <w:szCs w:val="22"/>
                        </w:rPr>
                        <w:t xml:space="preserve"> </w:t>
                      </w:r>
                      <w:r>
                        <w:rPr>
                          <w:szCs w:val="24"/>
                        </w:rPr>
                        <w:t>Valstybės biudžeto lėšos, skirtos</w:t>
                      </w:r>
                      <w:r>
                        <w:rPr>
                          <w:sz w:val="22"/>
                          <w:szCs w:val="22"/>
                        </w:rPr>
                        <w:t xml:space="preserve"> </w:t>
                      </w:r>
                      <w:r>
                        <w:rPr>
                          <w:szCs w:val="24"/>
                        </w:rPr>
                        <w:t>socialinei paramai teikti, kuri skiriama vadovaujantis Lietuvos Respublikos piniginės socialinės paramos nepasiturintiems gyventojams įstatymu (Ukraina) – 21 506 ,00 Eur (VB);</w:t>
                      </w:r>
                    </w:p>
                  </w:sdtContent>
                </w:sdt>
                <w:sdt>
                  <w:sdtPr>
                    <w:alias w:val="1.3 pp."/>
                    <w:tag w:val="part_627cf3c4d3144eafb5331882cd76faad"/>
                    <w:lock w:val="sdtLocked"/>
                    <w:richText/>
                  </w:sdtPr>
                  <w:sdtContent>
                    <w:p>
                      <w:pPr>
                        <w:spacing w:line="254" w:lineRule="auto"/>
                        <w:ind w:firstLine="709"/>
                        <w:jc w:val="both"/>
                        <w:rPr>
                          <w:szCs w:val="24"/>
                        </w:rPr>
                      </w:pPr>
                      <w:sdt>
                        <w:sdtPr>
                          <w:alias w:val="Numeris"/>
                          <w:tag w:val="nr_627cf3c4d3144eafb5331882cd76faad"/>
                          <w:lock w:val="sdtLocked"/>
                          <w:richText/>
                        </w:sdtPr>
                        <w:sdtContent>
                          <w:r>
                            <w:rPr>
                              <w:szCs w:val="24"/>
                            </w:rPr>
                            <w:t>1.3</w:t>
                          </w:r>
                        </w:sdtContent>
                      </w:sdt>
                      <w:r>
                        <w:rPr>
                          <w:szCs w:val="24"/>
                        </w:rPr>
                        <w:t xml:space="preserve">. Valstybės biudžeto lėšos, skirtos teikti socialinę paramą mokiniams pagal Lietuvos Respublikos socialinės paramos mokiniams įstatymą (Ukraina) – 1 561,00 Eur (VB); </w:t>
                      </w:r>
                    </w:p>
                  </w:sdtContent>
                </w:sdt>
                <w:sdt>
                  <w:sdtPr>
                    <w:alias w:val="1.4 pp."/>
                    <w:tag w:val="part_7a4fc2b5b62442cd87b3ece9a9e70ff7"/>
                    <w:lock w:val="sdtLocked"/>
                    <w:richText/>
                  </w:sdtPr>
                  <w:sdtContent>
                    <w:p>
                      <w:pPr>
                        <w:spacing w:line="254" w:lineRule="auto"/>
                        <w:ind w:firstLine="709"/>
                        <w:jc w:val="both"/>
                        <w:rPr>
                          <w:szCs w:val="24"/>
                        </w:rPr>
                      </w:pPr>
                      <w:sdt>
                        <w:sdtPr>
                          <w:alias w:val="Numeris"/>
                          <w:tag w:val="nr_7a4fc2b5b62442cd87b3ece9a9e70ff7"/>
                          <w:lock w:val="sdtLocked"/>
                          <w:richText/>
                        </w:sdtPr>
                        <w:sdtContent>
                          <w:r>
                            <w:rPr>
                              <w:szCs w:val="24"/>
                            </w:rPr>
                            <w:t>1.4</w:t>
                          </w:r>
                        </w:sdtContent>
                      </w:sdt>
                      <w:r>
                        <w:rPr>
                          <w:szCs w:val="24"/>
                        </w:rPr>
                        <w:t>. Projekto „Tūkstantmečio mokyklos II“ finansavimas iš Europos socialinio fondo agentūros – 334 220,94 Eur (ES-284 106,70</w:t>
                      </w:r>
                      <w:r>
                        <w:rPr>
                          <w:sz w:val="22"/>
                          <w:szCs w:val="22"/>
                        </w:rPr>
                        <w:t xml:space="preserve"> </w:t>
                      </w:r>
                      <w:r>
                        <w:rPr>
                          <w:szCs w:val="24"/>
                        </w:rPr>
                        <w:t>Eur; VB-50 114,24</w:t>
                      </w:r>
                      <w:r>
                        <w:rPr>
                          <w:sz w:val="22"/>
                          <w:szCs w:val="22"/>
                        </w:rPr>
                        <w:t xml:space="preserve"> </w:t>
                      </w:r>
                      <w:r>
                        <w:rPr>
                          <w:szCs w:val="24"/>
                        </w:rPr>
                        <w:t>Eur);</w:t>
                      </w:r>
                    </w:p>
                  </w:sdtContent>
                </w:sdt>
                <w:sdt>
                  <w:sdtPr>
                    <w:alias w:val="1.5 pp."/>
                    <w:tag w:val="part_b32c3f3658004e8e8022fa100e0586e8"/>
                    <w:lock w:val="sdtLocked"/>
                    <w:richText/>
                  </w:sdtPr>
                  <w:sdtContent>
                    <w:p>
                      <w:pPr>
                        <w:spacing w:line="254" w:lineRule="auto"/>
                        <w:ind w:firstLine="709"/>
                        <w:jc w:val="both"/>
                        <w:rPr>
                          <w:szCs w:val="24"/>
                        </w:rPr>
                      </w:pPr>
                      <w:sdt>
                        <w:sdtPr>
                          <w:alias w:val="Numeris"/>
                          <w:tag w:val="nr_b32c3f3658004e8e8022fa100e0586e8"/>
                          <w:lock w:val="sdtLocked"/>
                          <w:richText/>
                        </w:sdtPr>
                        <w:sdtContent>
                          <w:r>
                            <w:rPr>
                              <w:szCs w:val="24"/>
                            </w:rPr>
                            <w:t>1.5</w:t>
                          </w:r>
                        </w:sdtContent>
                      </w:sdt>
                      <w:r>
                        <w:rPr>
                          <w:szCs w:val="24"/>
                        </w:rPr>
                        <w:t>.</w:t>
                      </w:r>
                      <w:r>
                        <w:rPr>
                          <w:sz w:val="22"/>
                          <w:szCs w:val="22"/>
                        </w:rPr>
                        <w:t xml:space="preserve"> </w:t>
                      </w:r>
                      <w:r>
                        <w:rPr>
                          <w:szCs w:val="24"/>
                        </w:rPr>
                        <w:t xml:space="preserve">Projekto „Atviros ekosistemos atsiskaitymams negrynaisiais pinigais bendrojo ugdymo įstaigų valgyklose kūrimas“ finansavimas iš  Europos fondų lėšų – 17 390,51 Eur (ES-14 372,33</w:t>
                      </w:r>
                      <w:r>
                        <w:rPr>
                          <w:sz w:val="22"/>
                          <w:szCs w:val="22"/>
                        </w:rPr>
                        <w:t xml:space="preserve"> </w:t>
                      </w:r>
                      <w:r>
                        <w:rPr>
                          <w:szCs w:val="24"/>
                        </w:rPr>
                        <w:t>Eur; VB-3018,18</w:t>
                      </w:r>
                      <w:r>
                        <w:rPr>
                          <w:sz w:val="22"/>
                          <w:szCs w:val="22"/>
                        </w:rPr>
                        <w:t xml:space="preserve"> </w:t>
                      </w:r>
                      <w:r>
                        <w:rPr>
                          <w:szCs w:val="24"/>
                        </w:rPr>
                        <w:t>Eur);</w:t>
                      </w:r>
                    </w:p>
                  </w:sdtContent>
                </w:sdt>
                <w:sdt>
                  <w:sdtPr>
                    <w:alias w:val="1.6 pp."/>
                    <w:tag w:val="part_e7a5a5af9acd438eb649fc180700deea"/>
                    <w:lock w:val="sdtLocked"/>
                    <w:richText/>
                  </w:sdtPr>
                  <w:sdtContent>
                    <w:p>
                      <w:pPr>
                        <w:spacing w:line="254" w:lineRule="auto"/>
                        <w:ind w:firstLine="709"/>
                        <w:jc w:val="both"/>
                        <w:rPr>
                          <w:szCs w:val="24"/>
                        </w:rPr>
                      </w:pPr>
                      <w:sdt>
                        <w:sdtPr>
                          <w:alias w:val="Numeris"/>
                          <w:tag w:val="nr_e7a5a5af9acd438eb649fc180700deea"/>
                          <w:lock w:val="sdtLocked"/>
                          <w:richText/>
                        </w:sdtPr>
                        <w:sdtContent>
                          <w:r>
                            <w:rPr>
                              <w:szCs w:val="24"/>
                            </w:rPr>
                            <w:t>1.6</w:t>
                          </w:r>
                        </w:sdtContent>
                      </w:sdt>
                      <w:r>
                        <w:rPr>
                          <w:szCs w:val="24"/>
                        </w:rPr>
                        <w:t xml:space="preserve">. Pajamos biudžetinių įstaigų už  teikiamas paslaugas – 50 000,00 Eur (SB SP);</w:t>
                      </w:r>
                    </w:p>
                  </w:sdtContent>
                </w:sdt>
                <w:sdt>
                  <w:sdtPr>
                    <w:alias w:val="1.7 pp."/>
                    <w:tag w:val="part_a3f75f36ae64448092c73b801b4977cd"/>
                    <w:lock w:val="sdtLocked"/>
                    <w:richText/>
                  </w:sdtPr>
                  <w:sdtContent>
                    <w:p>
                      <w:pPr>
                        <w:spacing w:line="254" w:lineRule="auto"/>
                        <w:ind w:firstLine="709"/>
                        <w:jc w:val="both"/>
                        <w:rPr>
                          <w:szCs w:val="24"/>
                        </w:rPr>
                      </w:pPr>
                      <w:sdt>
                        <w:sdtPr>
                          <w:alias w:val="Numeris"/>
                          <w:tag w:val="nr_a3f75f36ae64448092c73b801b4977cd"/>
                          <w:lock w:val="sdtLocked"/>
                          <w:richText/>
                        </w:sdtPr>
                        <w:sdtContent>
                          <w:r>
                            <w:rPr>
                              <w:szCs w:val="24"/>
                            </w:rPr>
                            <w:t>1.7</w:t>
                          </w:r>
                        </w:sdtContent>
                      </w:sdt>
                      <w:r>
                        <w:rPr>
                          <w:szCs w:val="24"/>
                        </w:rPr>
                        <w:t>.</w:t>
                      </w:r>
                      <w:r>
                        <w:rPr>
                          <w:sz w:val="22"/>
                          <w:szCs w:val="22"/>
                        </w:rPr>
                        <w:t xml:space="preserve"> </w:t>
                      </w:r>
                      <w:r>
                        <w:rPr>
                          <w:szCs w:val="24"/>
                        </w:rPr>
                        <w:t>Pajamos dėl gautų viršplaninių pajamų (pagal pajamų rūšis) – 50 000,00 Eur (SB):</w:t>
                      </w:r>
                    </w:p>
                    <w:sdt>
                      <w:sdtPr>
                        <w:alias w:val="1.7.1 pp."/>
                        <w:tag w:val="part_485261bcd8ea48f38943ae5425abe1c5"/>
                        <w:lock w:val="sdtLocked"/>
                        <w:richText/>
                      </w:sdtPr>
                      <w:sdtContent>
                        <w:p>
                          <w:pPr>
                            <w:spacing w:line="254" w:lineRule="auto"/>
                            <w:ind w:firstLine="709"/>
                            <w:jc w:val="both"/>
                            <w:rPr>
                              <w:szCs w:val="24"/>
                            </w:rPr>
                          </w:pPr>
                          <w:sdt>
                            <w:sdtPr>
                              <w:alias w:val="Numeris"/>
                              <w:tag w:val="nr_485261bcd8ea48f38943ae5425abe1c5"/>
                              <w:lock w:val="sdtLocked"/>
                              <w:richText/>
                            </w:sdtPr>
                            <w:sdtContent>
                              <w:r>
                                <w:rPr>
                                  <w:szCs w:val="24"/>
                                </w:rPr>
                                <w:t>1.7.1</w:t>
                              </w:r>
                            </w:sdtContent>
                          </w:sdt>
                          <w:r>
                            <w:rPr>
                              <w:szCs w:val="24"/>
                            </w:rPr>
                            <w:t>.</w:t>
                          </w:r>
                          <w:r>
                            <w:rPr>
                              <w:sz w:val="22"/>
                              <w:szCs w:val="22"/>
                            </w:rPr>
                            <w:t xml:space="preserve"> </w:t>
                          </w:r>
                          <w:r>
                            <w:rPr>
                              <w:szCs w:val="24"/>
                            </w:rPr>
                            <w:t>Valstybės rinkliavos – 20 000,00 Eur;</w:t>
                          </w:r>
                        </w:p>
                      </w:sdtContent>
                    </w:sdt>
                    <w:sdt>
                      <w:sdtPr>
                        <w:alias w:val="1.7.2 pp."/>
                        <w:tag w:val="part_a3382d2bf121480bbfc17d5506f6337e"/>
                        <w:lock w:val="sdtLocked"/>
                        <w:richText/>
                      </w:sdtPr>
                      <w:sdtContent>
                        <w:p>
                          <w:pPr>
                            <w:spacing w:line="254" w:lineRule="auto"/>
                            <w:ind w:firstLine="709"/>
                            <w:jc w:val="both"/>
                            <w:rPr>
                              <w:szCs w:val="24"/>
                            </w:rPr>
                          </w:pPr>
                          <w:sdt>
                            <w:sdtPr>
                              <w:alias w:val="Numeris"/>
                              <w:tag w:val="nr_a3382d2bf121480bbfc17d5506f6337e"/>
                              <w:lock w:val="sdtLocked"/>
                              <w:richText/>
                            </w:sdtPr>
                            <w:sdtContent>
                              <w:r>
                                <w:rPr>
                                  <w:szCs w:val="24"/>
                                </w:rPr>
                                <w:t>1.7.2</w:t>
                              </w:r>
                            </w:sdtContent>
                          </w:sdt>
                          <w:r>
                            <w:rPr>
                              <w:szCs w:val="24"/>
                            </w:rPr>
                            <w:t>.</w:t>
                          </w:r>
                          <w:r>
                            <w:rPr>
                              <w:sz w:val="22"/>
                              <w:szCs w:val="22"/>
                            </w:rPr>
                            <w:t xml:space="preserve"> </w:t>
                          </w:r>
                          <w:r>
                            <w:rPr>
                              <w:szCs w:val="24"/>
                            </w:rPr>
                            <w:t>Vietinės rinkliavos – 20 000,00 Eur;</w:t>
                          </w:r>
                        </w:p>
                      </w:sdtContent>
                    </w:sdt>
                    <w:sdt>
                      <w:sdtPr>
                        <w:alias w:val="1.7.3 pp."/>
                        <w:tag w:val="part_5d332c8a7f924be98985675e4538bcd2"/>
                        <w:lock w:val="sdtLocked"/>
                        <w:richText/>
                      </w:sdtPr>
                      <w:sdtContent>
                        <w:p>
                          <w:pPr>
                            <w:spacing w:line="254" w:lineRule="auto"/>
                            <w:ind w:firstLine="709"/>
                            <w:jc w:val="both"/>
                            <w:rPr>
                              <w:szCs w:val="24"/>
                            </w:rPr>
                          </w:pPr>
                          <w:sdt>
                            <w:sdtPr>
                              <w:alias w:val="Numeris"/>
                              <w:tag w:val="nr_5d332c8a7f924be98985675e4538bcd2"/>
                              <w:lock w:val="sdtLocked"/>
                              <w:richText/>
                            </w:sdtPr>
                            <w:sdtContent>
                              <w:r>
                                <w:rPr>
                                  <w:szCs w:val="24"/>
                                </w:rPr>
                                <w:t>1.7.3</w:t>
                              </w:r>
                            </w:sdtContent>
                          </w:sdt>
                          <w:r>
                            <w:rPr>
                              <w:szCs w:val="24"/>
                            </w:rPr>
                            <w:t>. Mokesčiai už valstybinius gamtos išteklius – 10 000,00 Eur.</w:t>
                          </w:r>
                        </w:p>
                        <w:p>
                          <w:pPr>
                            <w:spacing w:line="254" w:lineRule="auto"/>
                            <w:ind w:firstLine="709"/>
                            <w:jc w:val="both"/>
                            <w:rPr>
                              <w:szCs w:val="24"/>
                            </w:rPr>
                          </w:pPr>
                        </w:p>
                      </w:sdtContent>
                    </w:sdt>
                  </w:sdtContent>
                </w:sdt>
              </w:sdtContent>
            </w:sdt>
            <w:sdt>
              <w:sdtPr>
                <w:alias w:val="2 p."/>
                <w:tag w:val="part_afe89e0a763842528c78985ecb043a65"/>
                <w:lock w:val="sdtLocked"/>
                <w:richText/>
              </w:sdtPr>
              <w:sdtContent>
                <w:p>
                  <w:pPr>
                    <w:spacing w:line="254" w:lineRule="auto"/>
                    <w:ind w:firstLine="709"/>
                    <w:jc w:val="both"/>
                    <w:rPr>
                      <w:b/>
                      <w:szCs w:val="24"/>
                      <w:shd w:val="clear" w:color="auto" w:fill="FFFFFF"/>
                    </w:rPr>
                  </w:pPr>
                  <w:sdt>
                    <w:sdtPr>
                      <w:alias w:val="Numeris"/>
                      <w:tag w:val="nr_afe89e0a763842528c78985ecb043a65"/>
                      <w:lock w:val="sdtLocked"/>
                      <w:richText/>
                    </w:sdtPr>
                    <w:sdtContent>
                      <w:r>
                        <w:rPr>
                          <w:b/>
                          <w:szCs w:val="24"/>
                          <w:shd w:val="clear" w:color="auto" w:fill="FFFFFF"/>
                        </w:rPr>
                        <w:t>2</w:t>
                      </w:r>
                    </w:sdtContent>
                  </w:sdt>
                  <w:r>
                    <w:rPr>
                      <w:b/>
                      <w:szCs w:val="24"/>
                      <w:shd w:val="clear" w:color="auto" w:fill="FFFFFF"/>
                    </w:rPr>
                    <w:t>.</w:t>
                  </w:r>
                  <w:r>
                    <w:rPr>
                      <w:bCs/>
                      <w:szCs w:val="24"/>
                      <w:shd w:val="clear" w:color="auto" w:fill="FFFFFF"/>
                    </w:rPr>
                    <w:t xml:space="preserve"> </w:t>
                  </w:r>
                  <w:r>
                    <w:rPr>
                      <w:b/>
                      <w:szCs w:val="24"/>
                      <w:shd w:val="clear" w:color="auto" w:fill="FFFFFF"/>
                    </w:rPr>
                    <w:t>Sumažinti</w:t>
                  </w:r>
                  <w:r>
                    <w:rPr>
                      <w:sz w:val="22"/>
                      <w:szCs w:val="22"/>
                    </w:rPr>
                    <w:t xml:space="preserve"> </w:t>
                  </w:r>
                  <w:r>
                    <w:rPr>
                      <w:b/>
                      <w:szCs w:val="24"/>
                      <w:shd w:val="clear" w:color="auto" w:fill="FFFFFF"/>
                    </w:rPr>
                    <w:t>Radviliškio rajono savivaldybės 2025 metų biudžeto pajamas 48 825,00 Eur, iš jų:</w:t>
                  </w:r>
                </w:p>
                <w:p>
                  <w:pPr>
                    <w:spacing w:line="254" w:lineRule="auto"/>
                    <w:ind w:firstLine="709"/>
                    <w:jc w:val="both"/>
                    <w:rPr>
                      <w:bCs/>
                      <w:szCs w:val="24"/>
                      <w:shd w:val="clear" w:color="auto" w:fill="FFFFFF"/>
                    </w:rPr>
                  </w:pPr>
                </w:p>
                <w:sdt>
                  <w:sdtPr>
                    <w:alias w:val="2.1 pp."/>
                    <w:tag w:val="part_3925466f4d0644d696095d27f1791434"/>
                    <w:lock w:val="sdtLocked"/>
                    <w:richText/>
                  </w:sdtPr>
                  <w:sdtContent>
                    <w:p>
                      <w:pPr>
                        <w:spacing w:line="254" w:lineRule="auto"/>
                        <w:ind w:firstLine="709"/>
                        <w:jc w:val="both"/>
                        <w:rPr>
                          <w:bCs/>
                          <w:szCs w:val="24"/>
                          <w:shd w:val="clear" w:color="auto" w:fill="FFFFFF"/>
                        </w:rPr>
                      </w:pPr>
                      <w:sdt>
                        <w:sdtPr>
                          <w:alias w:val="Numeris"/>
                          <w:tag w:val="nr_3925466f4d0644d696095d27f1791434"/>
                          <w:lock w:val="sdtLocked"/>
                          <w:richText/>
                        </w:sdtPr>
                        <w:sdtContent>
                          <w:r>
                            <w:rPr>
                              <w:bCs/>
                              <w:szCs w:val="24"/>
                              <w:shd w:val="clear" w:color="auto" w:fill="FFFFFF"/>
                            </w:rPr>
                            <w:t>2.1</w:t>
                          </w:r>
                        </w:sdtContent>
                      </w:sdt>
                      <w:r>
                        <w:rPr>
                          <w:bCs/>
                          <w:szCs w:val="24"/>
                          <w:shd w:val="clear" w:color="auto" w:fill="FFFFFF"/>
                        </w:rPr>
                        <w:t>. Valstybės biudžeto lėšas, skirtas socialinėms paslaugoms finansuoti – 38 600,00 Eur (VB);</w:t>
                      </w:r>
                    </w:p>
                  </w:sdtContent>
                </w:sdt>
                <w:sdt>
                  <w:sdtPr>
                    <w:alias w:val="2.2 pp."/>
                    <w:tag w:val="part_6808638473f94d09aeecb8432a444534"/>
                    <w:lock w:val="sdtLocked"/>
                    <w:richText/>
                  </w:sdtPr>
                  <w:sdtContent>
                    <w:p>
                      <w:pPr>
                        <w:spacing w:line="254" w:lineRule="auto"/>
                        <w:ind w:firstLine="709"/>
                        <w:jc w:val="both"/>
                        <w:rPr>
                          <w:bCs/>
                          <w:szCs w:val="24"/>
                          <w:shd w:val="clear" w:color="auto" w:fill="FFFFFF"/>
                        </w:rPr>
                      </w:pPr>
                      <w:sdt>
                        <w:sdtPr>
                          <w:alias w:val="Numeris"/>
                          <w:tag w:val="nr_6808638473f94d09aeecb8432a444534"/>
                          <w:lock w:val="sdtLocked"/>
                          <w:richText/>
                        </w:sdtPr>
                        <w:sdtContent>
                          <w:r>
                            <w:rPr>
                              <w:bCs/>
                              <w:szCs w:val="24"/>
                              <w:shd w:val="clear" w:color="auto" w:fill="FFFFFF"/>
                            </w:rPr>
                            <w:t>2.2</w:t>
                          </w:r>
                        </w:sdtContent>
                      </w:sdt>
                      <w:r>
                        <w:rPr>
                          <w:bCs/>
                          <w:szCs w:val="24"/>
                          <w:shd w:val="clear" w:color="auto" w:fill="FFFFFF"/>
                        </w:rPr>
                        <w:t>.</w:t>
                      </w:r>
                      <w:r>
                        <w:rPr>
                          <w:sz w:val="22"/>
                          <w:szCs w:val="22"/>
                        </w:rPr>
                        <w:t xml:space="preserve"> </w:t>
                      </w:r>
                      <w:r>
                        <w:rPr>
                          <w:szCs w:val="24"/>
                        </w:rPr>
                        <w:t>V</w:t>
                      </w:r>
                      <w:r>
                        <w:rPr>
                          <w:bCs/>
                          <w:szCs w:val="24"/>
                          <w:shd w:val="clear" w:color="auto" w:fill="FFFFFF"/>
                        </w:rPr>
                        <w:t>alstybės biudžeto lėšas, skirtas asmenų su negalia reikalų koordinavimo funkcijai atlikti – 10 000,00 Eur (VB);</w:t>
                      </w:r>
                    </w:p>
                  </w:sdtContent>
                </w:sdt>
                <w:sdt>
                  <w:sdtPr>
                    <w:alias w:val="2.3 pp."/>
                    <w:tag w:val="part_ec8e0e942cd5481a85adfa5334240511"/>
                    <w:lock w:val="sdtLocked"/>
                    <w:richText/>
                  </w:sdtPr>
                  <w:sdtContent>
                    <w:p>
                      <w:pPr>
                        <w:spacing w:line="254" w:lineRule="auto"/>
                        <w:ind w:firstLine="709"/>
                        <w:jc w:val="both"/>
                        <w:rPr>
                          <w:bCs/>
                          <w:szCs w:val="24"/>
                          <w:shd w:val="clear" w:color="auto" w:fill="FFFFFF"/>
                        </w:rPr>
                      </w:pPr>
                      <w:sdt>
                        <w:sdtPr>
                          <w:alias w:val="Numeris"/>
                          <w:tag w:val="nr_ec8e0e942cd5481a85adfa5334240511"/>
                          <w:lock w:val="sdtLocked"/>
                          <w:richText/>
                        </w:sdtPr>
                        <w:sdtContent>
                          <w:r>
                            <w:rPr>
                              <w:bCs/>
                              <w:szCs w:val="24"/>
                              <w:shd w:val="clear" w:color="auto" w:fill="FFFFFF"/>
                            </w:rPr>
                            <w:t>2.3</w:t>
                          </w:r>
                        </w:sdtContent>
                      </w:sdt>
                      <w:r>
                        <w:rPr>
                          <w:bCs/>
                          <w:szCs w:val="24"/>
                          <w:shd w:val="clear" w:color="auto" w:fill="FFFFFF"/>
                        </w:rPr>
                        <w:t>. Valstybės biudžeto lėšas, skirtas</w:t>
                      </w:r>
                      <w:r>
                        <w:rPr>
                          <w:sz w:val="22"/>
                          <w:szCs w:val="22"/>
                        </w:rPr>
                        <w:t xml:space="preserve"> </w:t>
                      </w:r>
                      <w:r>
                        <w:rPr>
                          <w:bCs/>
                          <w:szCs w:val="24"/>
                          <w:shd w:val="clear" w:color="auto" w:fill="FFFFFF"/>
                        </w:rPr>
                        <w:t>akredituotai socialinei reabilitacijai asmenims su negalia bendruomenėje organizuoti, teikti ir administruoti</w:t>
                      </w:r>
                      <w:r>
                        <w:rPr>
                          <w:sz w:val="22"/>
                          <w:szCs w:val="22"/>
                        </w:rPr>
                        <w:t xml:space="preserve"> –  </w:t>
                      </w:r>
                      <w:r>
                        <w:rPr>
                          <w:szCs w:val="24"/>
                        </w:rPr>
                        <w:t>225,00 Eur (VB</w:t>
                      </w:r>
                      <w:r>
                        <w:rPr>
                          <w:sz w:val="22"/>
                          <w:szCs w:val="22"/>
                        </w:rPr>
                        <w:t>).</w:t>
                      </w:r>
                    </w:p>
                    <w:p>
                      <w:pPr>
                        <w:spacing w:line="254" w:lineRule="auto"/>
                        <w:ind w:firstLine="709"/>
                        <w:jc w:val="both"/>
                        <w:rPr>
                          <w:bCs/>
                          <w:szCs w:val="24"/>
                          <w:shd w:val="clear" w:color="auto" w:fill="FFFFFF"/>
                        </w:rPr>
                      </w:pPr>
                    </w:p>
                  </w:sdtContent>
                </w:sdt>
              </w:sdtContent>
            </w:sdt>
            <w:sdt>
              <w:sdtPr>
                <w:alias w:val="3 p."/>
                <w:tag w:val="part_d43bae5463884536abe366c5d973d9c0"/>
                <w:lock w:val="sdtLocked"/>
                <w:richText/>
              </w:sdtPr>
              <w:sdtContent>
                <w:p>
                  <w:pPr>
                    <w:spacing w:line="254" w:lineRule="auto"/>
                    <w:ind w:firstLine="709"/>
                    <w:jc w:val="both"/>
                    <w:rPr>
                      <w:b/>
                      <w:szCs w:val="24"/>
                      <w:lang w:eastAsia="lt-LT"/>
                    </w:rPr>
                  </w:pPr>
                  <w:sdt>
                    <w:sdtPr>
                      <w:alias w:val="Numeris"/>
                      <w:tag w:val="nr_d43bae5463884536abe366c5d973d9c0"/>
                      <w:lock w:val="sdtLocked"/>
                      <w:richText/>
                    </w:sdtPr>
                    <w:sdtContent>
                      <w:r>
                        <w:rPr>
                          <w:b/>
                          <w:szCs w:val="24"/>
                          <w:shd w:val="clear" w:color="auto" w:fill="FFFFFF"/>
                        </w:rPr>
                        <w:t>3</w:t>
                      </w:r>
                    </w:sdtContent>
                  </w:sdt>
                  <w:r>
                    <w:rPr>
                      <w:b/>
                      <w:szCs w:val="24"/>
                      <w:shd w:val="clear" w:color="auto" w:fill="FFFFFF"/>
                    </w:rPr>
                    <w:t>.</w:t>
                  </w:r>
                  <w:r>
                    <w:rPr>
                      <w:b/>
                      <w:szCs w:val="24"/>
                      <w:lang w:eastAsia="lt-LT"/>
                    </w:rPr>
                    <w:t xml:space="preserve"> Didinami Radviliškio rajono savivaldybės 2025 metų biudžeto asignavimai  pagal programas  475 278,45 Eur, iš jų:</w:t>
                  </w:r>
                </w:p>
                <w:p>
                  <w:pPr>
                    <w:spacing w:line="254" w:lineRule="auto"/>
                    <w:ind w:firstLine="709"/>
                    <w:jc w:val="both"/>
                    <w:rPr>
                      <w:b/>
                      <w:szCs w:val="24"/>
                      <w:lang w:eastAsia="lt-LT"/>
                    </w:rPr>
                  </w:pPr>
                </w:p>
                <w:sdt>
                  <w:sdtPr>
                    <w:alias w:val="3.1 pp."/>
                    <w:tag w:val="part_455a620fac0b46e8b444f2eb31737cd1"/>
                    <w:lock w:val="sdtLocked"/>
                    <w:richText/>
                  </w:sdtPr>
                  <w:sdtContent>
                    <w:p>
                      <w:pPr>
                        <w:spacing w:line="254" w:lineRule="auto"/>
                        <w:ind w:firstLine="709"/>
                        <w:jc w:val="both"/>
                        <w:rPr>
                          <w:szCs w:val="24"/>
                        </w:rPr>
                      </w:pPr>
                      <w:sdt>
                        <w:sdtPr>
                          <w:alias w:val="Numeris"/>
                          <w:tag w:val="nr_455a620fac0b46e8b444f2eb31737cd1"/>
                          <w:lock w:val="sdtLocked"/>
                          <w:richText/>
                        </w:sdtPr>
                        <w:sdtContent>
                          <w:r>
                            <w:rPr>
                              <w:bCs/>
                              <w:szCs w:val="24"/>
                              <w:lang w:eastAsia="lt-LT"/>
                            </w:rPr>
                            <w:t>3.1</w:t>
                          </w:r>
                        </w:sdtContent>
                      </w:sdt>
                      <w:r>
                        <w:rPr>
                          <w:bCs/>
                          <w:szCs w:val="24"/>
                          <w:lang w:eastAsia="lt-LT"/>
                        </w:rPr>
                        <w:t>.</w:t>
                      </w:r>
                      <w:r>
                        <w:rPr>
                          <w:szCs w:val="24"/>
                        </w:rPr>
                        <w:t xml:space="preserve"> Radviliškio rajono savivaldybės administracijos Socialinės paramos skyriui:</w:t>
                      </w:r>
                    </w:p>
                    <w:sdt>
                      <w:sdtPr>
                        <w:alias w:val="3.1.1 pp."/>
                        <w:tag w:val="part_41ca7dd8a6184c1b810ad3ca9bb2392e"/>
                        <w:lock w:val="sdtLocked"/>
                        <w:richText/>
                      </w:sdtPr>
                      <w:sdtContent>
                        <w:p>
                          <w:pPr>
                            <w:spacing w:line="254" w:lineRule="auto"/>
                            <w:ind w:firstLine="709"/>
                            <w:jc w:val="both"/>
                            <w:rPr>
                              <w:szCs w:val="24"/>
                            </w:rPr>
                          </w:pPr>
                          <w:sdt>
                            <w:sdtPr>
                              <w:alias w:val="Numeris"/>
                              <w:tag w:val="nr_41ca7dd8a6184c1b810ad3ca9bb2392e"/>
                              <w:lock w:val="sdtLocked"/>
                              <w:richText/>
                            </w:sdtPr>
                            <w:sdtContent>
                              <w:r>
                                <w:rPr>
                                  <w:szCs w:val="24"/>
                                </w:rPr>
                                <w:t>3.1.1</w:t>
                              </w:r>
                            </w:sdtContent>
                          </w:sdt>
                          <w:r>
                            <w:rPr>
                              <w:szCs w:val="24"/>
                            </w:rPr>
                            <w:t>. Valstybės biudžeto lėšos, skirtos socialinės globos teikimui asmenims su sunkia negalia užtikrinimui (Ukraina) – 600 Eur (VB, 03 programa);</w:t>
                          </w:r>
                        </w:p>
                      </w:sdtContent>
                    </w:sdt>
                    <w:sdt>
                      <w:sdtPr>
                        <w:alias w:val="3.1.2 pp."/>
                        <w:tag w:val="part_a859af9ec1524d078af4027a04f8a683"/>
                        <w:lock w:val="sdtLocked"/>
                        <w:richText/>
                      </w:sdtPr>
                      <w:sdtContent>
                        <w:p>
                          <w:pPr>
                            <w:spacing w:line="254" w:lineRule="auto"/>
                            <w:ind w:firstLine="709"/>
                            <w:jc w:val="both"/>
                            <w:rPr>
                              <w:szCs w:val="24"/>
                            </w:rPr>
                          </w:pPr>
                          <w:sdt>
                            <w:sdtPr>
                              <w:alias w:val="Numeris"/>
                              <w:tag w:val="nr_a859af9ec1524d078af4027a04f8a683"/>
                              <w:lock w:val="sdtLocked"/>
                              <w:richText/>
                            </w:sdtPr>
                            <w:sdtContent>
                              <w:r>
                                <w:rPr>
                                  <w:szCs w:val="24"/>
                                </w:rPr>
                                <w:t>3.1.2</w:t>
                              </w:r>
                            </w:sdtContent>
                          </w:sdt>
                          <w:r>
                            <w:rPr>
                              <w:szCs w:val="24"/>
                            </w:rPr>
                            <w:t>.</w:t>
                          </w:r>
                          <w:r>
                            <w:rPr>
                              <w:sz w:val="22"/>
                              <w:szCs w:val="22"/>
                            </w:rPr>
                            <w:t xml:space="preserve"> </w:t>
                          </w:r>
                          <w:r>
                            <w:rPr>
                              <w:szCs w:val="24"/>
                            </w:rPr>
                            <w:t>Valstybės biudžeto lėšos, skirtos socialinei paramai teikti, kuri skiriama vadovaujantis Lietuvos Respublikos piniginės socialinės paramos nepasiturintiems gyventojams įstatymu (Ukraina) – 21 506,00 Eur (VB, 03 programa);</w:t>
                          </w:r>
                        </w:p>
                      </w:sdtContent>
                    </w:sdt>
                  </w:sdtContent>
                </w:sdt>
                <w:sdt>
                  <w:sdtPr>
                    <w:alias w:val="3.2 pp."/>
                    <w:tag w:val="part_5878079bc4f3477b89b125e26bab8795"/>
                    <w:lock w:val="sdtLocked"/>
                    <w:richText/>
                  </w:sdtPr>
                  <w:sdtContent>
                    <w:p>
                      <w:pPr>
                        <w:spacing w:line="254" w:lineRule="auto"/>
                        <w:ind w:firstLine="709"/>
                        <w:jc w:val="both"/>
                        <w:rPr>
                          <w:szCs w:val="24"/>
                        </w:rPr>
                      </w:pPr>
                      <w:sdt>
                        <w:sdtPr>
                          <w:alias w:val="Numeris"/>
                          <w:tag w:val="nr_5878079bc4f3477b89b125e26bab8795"/>
                          <w:lock w:val="sdtLocked"/>
                          <w:richText/>
                        </w:sdtPr>
                        <w:sdtContent>
                          <w:r>
                            <w:rPr>
                              <w:szCs w:val="24"/>
                            </w:rPr>
                            <w:t>3.2</w:t>
                          </w:r>
                        </w:sdtContent>
                      </w:sdt>
                      <w:r>
                        <w:rPr>
                          <w:szCs w:val="24"/>
                        </w:rPr>
                        <w:t>. Valstybės biudžeto lėšos, skirtos teikti socialinę paramą mokiniams pagal Lietuvos Respublikos socialinės paramos mokiniams įstatymą (Ukraina) – 1 561,00 Eur (VB,03 programa):</w:t>
                      </w:r>
                    </w:p>
                    <w:p>
                      <w:pPr>
                        <w:spacing w:line="254" w:lineRule="auto"/>
                        <w:ind w:firstLine="709"/>
                        <w:jc w:val="both"/>
                        <w:rPr>
                          <w:szCs w:val="24"/>
                        </w:rPr>
                      </w:pPr>
                    </w:p>
                    <w:tbl>
                      <w:tblPr>
                        <w:tblW w:w="9101" w:type="dxa"/>
                        <w:jc w:val="center"/>
                        <w:tblLook w:val="04A0" w:firstRow="1" w:lastRow="0" w:firstColumn="1" w:lastColumn="0" w:noHBand="0" w:noVBand="1"/>
                      </w:tblPr>
                      <w:tblGrid>
                        <w:gridCol w:w="5857"/>
                        <w:gridCol w:w="3244"/>
                      </w:tblGrid>
                      <w:tr>
                        <w:trPr>
                          <w:trHeight w:val="300"/>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 xml:space="preserve">Radviliškio lopšelis-darželis  „Kregždutė“</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70,60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662,90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97,20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88,20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130,10</w:t>
                            </w:r>
                          </w:p>
                        </w:tc>
                      </w:tr>
                      <w:tr>
                        <w:trPr>
                          <w:trHeight w:val="315"/>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mokykla-darželis</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298,85</w:t>
                            </w:r>
                          </w:p>
                        </w:tc>
                      </w:tr>
                      <w:tr>
                        <w:trPr>
                          <w:trHeight w:val="315"/>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213,15</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1 561,00</w:t>
                            </w:r>
                          </w:p>
                        </w:tc>
                      </w:tr>
                    </w:tbl>
                    <w:p>
                      <w:pPr>
                        <w:spacing w:line="254" w:lineRule="auto"/>
                        <w:ind w:firstLine="709"/>
                        <w:jc w:val="both"/>
                        <w:rPr>
                          <w:szCs w:val="24"/>
                        </w:rPr>
                      </w:pPr>
                    </w:p>
                  </w:sdtContent>
                </w:sdt>
                <w:sdt>
                  <w:sdtPr>
                    <w:alias w:val="3.3 pp."/>
                    <w:tag w:val="part_94eaff7236f6442eb3c30bc54189ce40"/>
                    <w:lock w:val="sdtLocked"/>
                    <w:richText/>
                  </w:sdtPr>
                  <w:sdtContent>
                    <w:p>
                      <w:pPr>
                        <w:spacing w:line="254" w:lineRule="auto"/>
                        <w:ind w:firstLine="709"/>
                        <w:jc w:val="both"/>
                        <w:rPr>
                          <w:bCs/>
                          <w:szCs w:val="24"/>
                        </w:rPr>
                      </w:pPr>
                      <w:sdt>
                        <w:sdtPr>
                          <w:alias w:val="Numeris"/>
                          <w:tag w:val="nr_94eaff7236f6442eb3c30bc54189ce40"/>
                          <w:lock w:val="sdtLocked"/>
                          <w:richText/>
                        </w:sdtPr>
                        <w:sdtContent>
                          <w:r>
                            <w:rPr>
                              <w:bCs/>
                              <w:szCs w:val="24"/>
                            </w:rPr>
                            <w:t>3.3</w:t>
                          </w:r>
                        </w:sdtContent>
                      </w:sdt>
                      <w:r>
                        <w:rPr>
                          <w:bCs/>
                          <w:szCs w:val="24"/>
                        </w:rPr>
                        <w:t>. Projekto „Tūkstantmečio mokyklos II“ finansavimas iš Europos socialinio fondo agentūros – 284 106,70 Eur (ES, 02 programa):</w:t>
                      </w:r>
                    </w:p>
                    <w:p>
                      <w:pPr>
                        <w:rPr>
                          <w:sz w:val="14"/>
                          <w:szCs w:val="14"/>
                        </w:rPr>
                      </w:pPr>
                    </w:p>
                    <w:tbl>
                      <w:tblPr>
                        <w:tblW w:w="9207" w:type="dxa"/>
                        <w:jc w:val="center"/>
                        <w:tblLook w:val="04A0" w:firstRow="1" w:lastRow="0" w:firstColumn="1" w:lastColumn="0" w:noHBand="0" w:noVBand="1"/>
                      </w:tblPr>
                      <w:tblGrid>
                        <w:gridCol w:w="5738"/>
                        <w:gridCol w:w="3469"/>
                      </w:tblGrid>
                      <w:tr>
                        <w:trPr>
                          <w:trHeight w:val="300"/>
                          <w:jc w:val="center"/>
                        </w:trPr>
                        <w:tc>
                          <w:tcPr>
                            <w:tcW w:w="573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469"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73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469"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40 000,00</w:t>
                            </w:r>
                          </w:p>
                        </w:tc>
                      </w:tr>
                      <w:tr>
                        <w:trPr>
                          <w:trHeight w:val="315"/>
                          <w:jc w:val="center"/>
                        </w:trPr>
                        <w:tc>
                          <w:tcPr>
                            <w:tcW w:w="5738"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469"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23 000,00</w:t>
                            </w:r>
                          </w:p>
                        </w:tc>
                      </w:tr>
                      <w:tr>
                        <w:trPr>
                          <w:trHeight w:val="315"/>
                          <w:jc w:val="center"/>
                        </w:trPr>
                        <w:tc>
                          <w:tcPr>
                            <w:tcW w:w="573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3469"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67 000,00</w:t>
                            </w:r>
                          </w:p>
                        </w:tc>
                      </w:tr>
                      <w:tr>
                        <w:trPr>
                          <w:trHeight w:val="315"/>
                          <w:jc w:val="center"/>
                        </w:trPr>
                        <w:tc>
                          <w:tcPr>
                            <w:tcW w:w="573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469"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30 000,00</w:t>
                            </w:r>
                          </w:p>
                        </w:tc>
                      </w:tr>
                      <w:tr>
                        <w:trPr>
                          <w:trHeight w:val="315"/>
                          <w:jc w:val="center"/>
                        </w:trPr>
                        <w:tc>
                          <w:tcPr>
                            <w:tcW w:w="573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 Kudirkos progimnazija</w:t>
                            </w:r>
                          </w:p>
                        </w:tc>
                        <w:tc>
                          <w:tcPr>
                            <w:tcW w:w="3469"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124 106,70</w:t>
                            </w:r>
                          </w:p>
                        </w:tc>
                      </w:tr>
                      <w:tr>
                        <w:trPr>
                          <w:trHeight w:val="315"/>
                          <w:jc w:val="center"/>
                        </w:trPr>
                        <w:tc>
                          <w:tcPr>
                            <w:tcW w:w="5738"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3469"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284 106,70</w:t>
                            </w:r>
                          </w:p>
                        </w:tc>
                      </w:tr>
                    </w:tbl>
                    <w:p>
                      <w:pPr>
                        <w:spacing w:line="254" w:lineRule="auto"/>
                        <w:rPr>
                          <w:bCs/>
                          <w:szCs w:val="24"/>
                        </w:rPr>
                      </w:pPr>
                    </w:p>
                    <w:p>
                      <w:pPr>
                        <w:rPr>
                          <w:sz w:val="14"/>
                          <w:szCs w:val="14"/>
                        </w:rPr>
                      </w:pPr>
                    </w:p>
                  </w:sdtContent>
                </w:sdt>
                <w:sdt>
                  <w:sdtPr>
                    <w:alias w:val="3.4 pp."/>
                    <w:tag w:val="part_7a7555bdfed24463a03cd26f61b36505"/>
                    <w:lock w:val="sdtLocked"/>
                    <w:richText/>
                  </w:sdtPr>
                  <w:sdtContent>
                    <w:p>
                      <w:pPr>
                        <w:spacing w:line="254" w:lineRule="auto"/>
                        <w:ind w:firstLine="709"/>
                        <w:jc w:val="both"/>
                        <w:rPr>
                          <w:bCs/>
                          <w:szCs w:val="24"/>
                        </w:rPr>
                      </w:pPr>
                      <w:sdt>
                        <w:sdtPr>
                          <w:alias w:val="Numeris"/>
                          <w:tag w:val="nr_7a7555bdfed24463a03cd26f61b36505"/>
                          <w:lock w:val="sdtLocked"/>
                          <w:richText/>
                        </w:sdtPr>
                        <w:sdtContent>
                          <w:r>
                            <w:rPr>
                              <w:bCs/>
                              <w:szCs w:val="24"/>
                            </w:rPr>
                            <w:t>3.4</w:t>
                          </w:r>
                        </w:sdtContent>
                      </w:sdt>
                      <w:r>
                        <w:rPr>
                          <w:bCs/>
                          <w:szCs w:val="24"/>
                        </w:rPr>
                        <w:t>. Projekto „Tūkstantmečio mokyklos II“ finansavimas iš Europos socialinio fondo agentūros – 50 114,24 Eur (VB, 02 programa):</w:t>
                      </w:r>
                    </w:p>
                    <w:p>
                      <w:pPr>
                        <w:rPr>
                          <w:sz w:val="14"/>
                          <w:szCs w:val="14"/>
                        </w:rPr>
                      </w:pPr>
                    </w:p>
                    <w:tbl>
                      <w:tblPr>
                        <w:tblW w:w="9325" w:type="dxa"/>
                        <w:jc w:val="center"/>
                        <w:tblLook w:val="04A0" w:firstRow="1" w:lastRow="0" w:firstColumn="1" w:lastColumn="0" w:noHBand="0" w:noVBand="1"/>
                      </w:tblPr>
                      <w:tblGrid>
                        <w:gridCol w:w="5856"/>
                        <w:gridCol w:w="3469"/>
                      </w:tblGrid>
                      <w:tr>
                        <w:trPr>
                          <w:trHeight w:val="300"/>
                          <w:jc w:val="center"/>
                        </w:trPr>
                        <w:tc>
                          <w:tcPr>
                            <w:tcW w:w="585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469"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85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469"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50 114,24</w:t>
                            </w:r>
                          </w:p>
                        </w:tc>
                      </w:tr>
                      <w:tr>
                        <w:trPr>
                          <w:trHeight w:val="315"/>
                          <w:jc w:val="center"/>
                        </w:trPr>
                        <w:tc>
                          <w:tcPr>
                            <w:tcW w:w="585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3469"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50 114,24</w:t>
                            </w:r>
                          </w:p>
                        </w:tc>
                      </w:tr>
                    </w:tbl>
                    <w:p>
                      <w:pPr>
                        <w:spacing w:line="254" w:lineRule="auto"/>
                        <w:rPr>
                          <w:bCs/>
                          <w:szCs w:val="24"/>
                        </w:rPr>
                      </w:pPr>
                    </w:p>
                    <w:p>
                      <w:pPr>
                        <w:rPr>
                          <w:sz w:val="14"/>
                          <w:szCs w:val="14"/>
                        </w:rPr>
                      </w:pPr>
                    </w:p>
                  </w:sdtContent>
                </w:sdt>
                <w:sdt>
                  <w:sdtPr>
                    <w:alias w:val="3.5 pp."/>
                    <w:tag w:val="part_fd6b59eb67594efcbdcb18c68cf7fc50"/>
                    <w:lock w:val="sdtLocked"/>
                    <w:richText/>
                  </w:sdtPr>
                  <w:sdtContent>
                    <w:p>
                      <w:pPr>
                        <w:spacing w:line="254" w:lineRule="auto"/>
                        <w:ind w:firstLine="709"/>
                        <w:rPr>
                          <w:bCs/>
                          <w:szCs w:val="24"/>
                        </w:rPr>
                      </w:pPr>
                      <w:sdt>
                        <w:sdtPr>
                          <w:alias w:val="Numeris"/>
                          <w:tag w:val="nr_fd6b59eb67594efcbdcb18c68cf7fc50"/>
                          <w:lock w:val="sdtLocked"/>
                          <w:richText/>
                        </w:sdtPr>
                        <w:sdtContent>
                          <w:r>
                            <w:rPr>
                              <w:bCs/>
                              <w:szCs w:val="24"/>
                            </w:rPr>
                            <w:t>3.5</w:t>
                          </w:r>
                        </w:sdtContent>
                      </w:sdt>
                      <w:r>
                        <w:rPr>
                          <w:bCs/>
                          <w:szCs w:val="24"/>
                        </w:rPr>
                        <w:t>. Projekto „Atviros ekosistemos atsiskaitymams negrynaisiais pinigais bendrojo ugdymo įstaigų valgyklose kūrimas“ finansavimas iš Europos fondų lėšų – 14 372,33 Eur (ES, 02 programa):</w:t>
                      </w:r>
                    </w:p>
                    <w:p>
                      <w:pPr>
                        <w:rPr>
                          <w:sz w:val="14"/>
                          <w:szCs w:val="14"/>
                        </w:rPr>
                      </w:pPr>
                    </w:p>
                    <w:tbl>
                      <w:tblPr>
                        <w:tblW w:w="9368" w:type="dxa"/>
                        <w:jc w:val="center"/>
                        <w:tblLook w:val="04A0" w:firstRow="1" w:lastRow="0" w:firstColumn="1" w:lastColumn="0" w:noHBand="0" w:noVBand="1"/>
                      </w:tblPr>
                      <w:tblGrid>
                        <w:gridCol w:w="6096"/>
                        <w:gridCol w:w="3272"/>
                      </w:tblGrid>
                      <w:tr>
                        <w:trPr>
                          <w:trHeight w:val="300"/>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7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 Kudirkos progimnazija</w:t>
                            </w:r>
                          </w:p>
                        </w:tc>
                        <w:tc>
                          <w:tcPr>
                            <w:tcW w:w="327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892,56</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7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11 880,32</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1 035,40</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564,05</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14 372,33</w:t>
                            </w:r>
                          </w:p>
                        </w:tc>
                      </w:tr>
                    </w:tbl>
                    <w:p>
                      <w:pPr>
                        <w:spacing w:line="254" w:lineRule="auto"/>
                        <w:rPr>
                          <w:bCs/>
                          <w:szCs w:val="24"/>
                        </w:rPr>
                      </w:pPr>
                    </w:p>
                    <w:p>
                      <w:pPr>
                        <w:rPr>
                          <w:sz w:val="14"/>
                          <w:szCs w:val="14"/>
                        </w:rPr>
                      </w:pPr>
                    </w:p>
                  </w:sdtContent>
                </w:sdt>
                <w:sdt>
                  <w:sdtPr>
                    <w:alias w:val="3.6 pp."/>
                    <w:tag w:val="part_354d62298a83437099e87c2f71220cf7"/>
                    <w:lock w:val="sdtLocked"/>
                    <w:richText/>
                  </w:sdtPr>
                  <w:sdtContent>
                    <w:p>
                      <w:pPr>
                        <w:spacing w:line="254" w:lineRule="auto"/>
                        <w:ind w:firstLine="709"/>
                        <w:rPr>
                          <w:bCs/>
                          <w:szCs w:val="24"/>
                        </w:rPr>
                      </w:pPr>
                      <w:sdt>
                        <w:sdtPr>
                          <w:alias w:val="Numeris"/>
                          <w:tag w:val="nr_354d62298a83437099e87c2f71220cf7"/>
                          <w:lock w:val="sdtLocked"/>
                          <w:richText/>
                        </w:sdtPr>
                        <w:sdtContent>
                          <w:r>
                            <w:rPr>
                              <w:bCs/>
                              <w:szCs w:val="24"/>
                            </w:rPr>
                            <w:t>3.6</w:t>
                          </w:r>
                        </w:sdtContent>
                      </w:sdt>
                      <w:r>
                        <w:rPr>
                          <w:bCs/>
                          <w:szCs w:val="24"/>
                        </w:rPr>
                        <w:t>. Projekto „Atviros ekosistemos atsiskaitymams negrynaisiais pinigais bendrojo ugdymo įstaigų valgyklose kūrimas“ finansavimas iš Europos fondų lėšų – 3 018,18 Eur (VB, 02 programa):</w:t>
                      </w:r>
                    </w:p>
                    <w:p>
                      <w:pPr>
                        <w:rPr>
                          <w:sz w:val="14"/>
                          <w:szCs w:val="14"/>
                        </w:rPr>
                      </w:pPr>
                    </w:p>
                    <w:tbl>
                      <w:tblPr>
                        <w:tblW w:w="9368" w:type="dxa"/>
                        <w:jc w:val="center"/>
                        <w:tblLook w:val="04A0" w:firstRow="1" w:lastRow="0" w:firstColumn="1" w:lastColumn="0" w:noHBand="0" w:noVBand="1"/>
                      </w:tblPr>
                      <w:tblGrid>
                        <w:gridCol w:w="6096"/>
                        <w:gridCol w:w="3272"/>
                      </w:tblGrid>
                      <w:tr>
                        <w:trPr>
                          <w:trHeight w:val="300"/>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72"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6096"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72"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2 494,87</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Šeduvos gimnazija</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217,43</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V. Kudirkos progimnazija</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187,43</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118,45</w:t>
                            </w:r>
                          </w:p>
                        </w:tc>
                      </w:tr>
                      <w:tr>
                        <w:trPr>
                          <w:trHeight w:val="315"/>
                          <w:jc w:val="center"/>
                        </w:trPr>
                        <w:tc>
                          <w:tcPr>
                            <w:tcW w:w="6096" w:type="dxa"/>
                            <w:tcBorders>
                              <w:top w:val="single" w:sz="4" w:space="0" w:color="auto"/>
                              <w:left w:val="single" w:sz="4" w:space="0" w:color="auto"/>
                              <w:bottom w:val="single" w:sz="4" w:space="0" w:color="auto"/>
                              <w:right w:val="single" w:sz="4" w:space="0" w:color="auto"/>
                            </w:tcBorders>
                            <w:shd w:val="clear" w:color="000000" w:fill="FFFFFF"/>
                            <w:noWrap/>
                            <w:vAlign w:val="center"/>
                          </w:tcPr>
                          <w:p>
                            <w:pPr>
                              <w:rPr>
                                <w:b/>
                                <w:bCs/>
                                <w:color w:val="000000"/>
                                <w:szCs w:val="24"/>
                                <w:lang w:eastAsia="lt-LT"/>
                              </w:rPr>
                            </w:pPr>
                            <w:r>
                              <w:rPr>
                                <w:b/>
                                <w:bCs/>
                                <w:color w:val="000000"/>
                                <w:szCs w:val="24"/>
                                <w:lang w:eastAsia="lt-LT"/>
                              </w:rPr>
                              <w:t>Iš viso:</w:t>
                            </w:r>
                          </w:p>
                        </w:tc>
                        <w:tc>
                          <w:tcPr>
                            <w:tcW w:w="3272" w:type="dxa"/>
                            <w:tcBorders>
                              <w:top w:val="single" w:sz="4" w:space="0" w:color="auto"/>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3 018,18</w:t>
                            </w:r>
                          </w:p>
                        </w:tc>
                      </w:tr>
                    </w:tbl>
                    <w:p>
                      <w:pPr>
                        <w:spacing w:line="254" w:lineRule="auto"/>
                        <w:rPr>
                          <w:bCs/>
                          <w:szCs w:val="24"/>
                        </w:rPr>
                      </w:pPr>
                    </w:p>
                    <w:p>
                      <w:pPr>
                        <w:rPr>
                          <w:sz w:val="14"/>
                          <w:szCs w:val="14"/>
                        </w:rPr>
                      </w:pPr>
                    </w:p>
                  </w:sdtContent>
                </w:sdt>
                <w:sdt>
                  <w:sdtPr>
                    <w:alias w:val="3.7 pp."/>
                    <w:tag w:val="part_47d1a38639714a559c3971424194760c"/>
                    <w:lock w:val="sdtLocked"/>
                    <w:richText/>
                  </w:sdtPr>
                  <w:sdtContent>
                    <w:p>
                      <w:pPr>
                        <w:spacing w:line="254" w:lineRule="auto"/>
                        <w:ind w:firstLine="709"/>
                        <w:rPr>
                          <w:bCs/>
                          <w:szCs w:val="24"/>
                        </w:rPr>
                      </w:pPr>
                      <w:sdt>
                        <w:sdtPr>
                          <w:alias w:val="Numeris"/>
                          <w:tag w:val="nr_47d1a38639714a559c3971424194760c"/>
                          <w:lock w:val="sdtLocked"/>
                          <w:richText/>
                        </w:sdtPr>
                        <w:sdtContent>
                          <w:r>
                            <w:rPr>
                              <w:bCs/>
                              <w:szCs w:val="24"/>
                            </w:rPr>
                            <w:t>3.7</w:t>
                          </w:r>
                        </w:sdtContent>
                      </w:sdt>
                      <w:r>
                        <w:rPr>
                          <w:bCs/>
                          <w:szCs w:val="24"/>
                        </w:rPr>
                        <w:t>. Daugyvenės kultūros istorijos muziejui-draustiniui teikiamų paslaugų pajamos – 50 000,00 Eur (SB SP, 05 programa);</w:t>
                      </w:r>
                    </w:p>
                    <w:p>
                      <w:pPr>
                        <w:rPr>
                          <w:sz w:val="14"/>
                          <w:szCs w:val="14"/>
                        </w:rPr>
                      </w:pPr>
                    </w:p>
                  </w:sdtContent>
                </w:sdt>
                <w:sdt>
                  <w:sdtPr>
                    <w:alias w:val="3.8 pp."/>
                    <w:tag w:val="part_8a92058514134122bbc6bbd01f87365f"/>
                    <w:lock w:val="sdtLocked"/>
                    <w:richText/>
                  </w:sdtPr>
                  <w:sdtContent>
                    <w:p>
                      <w:pPr>
                        <w:spacing w:line="254" w:lineRule="auto"/>
                        <w:ind w:firstLine="709"/>
                        <w:rPr>
                          <w:bCs/>
                          <w:szCs w:val="24"/>
                        </w:rPr>
                      </w:pPr>
                      <w:sdt>
                        <w:sdtPr>
                          <w:alias w:val="Numeris"/>
                          <w:tag w:val="nr_8a92058514134122bbc6bbd01f87365f"/>
                          <w:lock w:val="sdtLocked"/>
                          <w:richText/>
                        </w:sdtPr>
                        <w:sdtContent>
                          <w:r>
                            <w:rPr>
                              <w:bCs/>
                              <w:szCs w:val="24"/>
                            </w:rPr>
                            <w:t>3.8</w:t>
                          </w:r>
                        </w:sdtContent>
                      </w:sdt>
                      <w:r>
                        <w:rPr>
                          <w:bCs/>
                          <w:szCs w:val="24"/>
                        </w:rPr>
                        <w:t>. Radviliškio rajono savivaldybės administracijai aplinkos apsaugos specialiosios programos lėšos – 10 000,00 Eur (SB AA, 06 programa);</w:t>
                      </w:r>
                    </w:p>
                    <w:p>
                      <w:pPr>
                        <w:rPr>
                          <w:sz w:val="14"/>
                          <w:szCs w:val="14"/>
                        </w:rPr>
                      </w:pPr>
                    </w:p>
                  </w:sdtContent>
                </w:sdt>
                <w:sdt>
                  <w:sdtPr>
                    <w:alias w:val="3.9 pp."/>
                    <w:tag w:val="part_7c87a48869304d39a2be189e4a603fad"/>
                    <w:lock w:val="sdtLocked"/>
                    <w:richText/>
                  </w:sdtPr>
                  <w:sdtContent>
                    <w:p>
                      <w:pPr>
                        <w:spacing w:line="254" w:lineRule="auto"/>
                        <w:ind w:firstLine="709"/>
                        <w:rPr>
                          <w:bCs/>
                          <w:szCs w:val="24"/>
                        </w:rPr>
                      </w:pPr>
                      <w:sdt>
                        <w:sdtPr>
                          <w:alias w:val="Numeris"/>
                          <w:tag w:val="nr_7c87a48869304d39a2be189e4a603fad"/>
                          <w:lock w:val="sdtLocked"/>
                          <w:richText/>
                        </w:sdtPr>
                        <w:sdtContent>
                          <w:r>
                            <w:rPr>
                              <w:bCs/>
                              <w:szCs w:val="24"/>
                            </w:rPr>
                            <w:t>3.9</w:t>
                          </w:r>
                        </w:sdtContent>
                      </w:sdt>
                      <w:r>
                        <w:rPr>
                          <w:bCs/>
                          <w:szCs w:val="24"/>
                        </w:rPr>
                        <w:t>. Savivaldybės biudžeto lėšos, skirtos Radviliškio rajono savivaldybės švietimo įstaigoms mokymo priemonių (vadovėlių) įsigijimui – 40 000,00 Eur (SB, 02 programa):</w:t>
                      </w:r>
                    </w:p>
                    <w:p>
                      <w:pPr>
                        <w:rPr>
                          <w:sz w:val="14"/>
                          <w:szCs w:val="14"/>
                        </w:rPr>
                      </w:pPr>
                    </w:p>
                    <w:tbl>
                      <w:tblPr>
                        <w:tblW w:w="9101" w:type="dxa"/>
                        <w:jc w:val="center"/>
                        <w:tblLook w:val="04A0" w:firstRow="1" w:lastRow="0" w:firstColumn="1" w:lastColumn="0" w:noHBand="0" w:noVBand="1"/>
                      </w:tblPr>
                      <w:tblGrid>
                        <w:gridCol w:w="5857"/>
                        <w:gridCol w:w="3244"/>
                      </w:tblGrid>
                      <w:tr>
                        <w:trPr>
                          <w:trHeight w:val="300"/>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jc w:val="center"/>
                              <w:rPr>
                                <w:b/>
                                <w:bCs/>
                                <w:color w:val="000000"/>
                                <w:szCs w:val="24"/>
                                <w:lang w:eastAsia="lt-LT"/>
                              </w:rPr>
                            </w:pPr>
                            <w:r>
                              <w:rPr>
                                <w:b/>
                                <w:bCs/>
                                <w:color w:val="000000"/>
                                <w:szCs w:val="24"/>
                                <w:lang w:eastAsia="lt-LT"/>
                              </w:rPr>
                              <w:t>Asignavimų valdytojas</w:t>
                            </w:r>
                          </w:p>
                        </w:tc>
                        <w:tc>
                          <w:tcPr>
                            <w:tcW w:w="3244" w:type="dxa"/>
                            <w:tcBorders>
                              <w:top w:val="single" w:sz="4" w:space="0" w:color="auto"/>
                              <w:left w:val="nil"/>
                              <w:bottom w:val="single" w:sz="4" w:space="0" w:color="auto"/>
                              <w:right w:val="single" w:sz="4" w:space="0" w:color="auto"/>
                            </w:tcBorders>
                            <w:shd w:val="clear" w:color="000000" w:fill="FFFFFF"/>
                            <w:noWrap/>
                            <w:vAlign w:val="bottom"/>
                            <w:hideMark/>
                          </w:tcPr>
                          <w:p>
                            <w:pPr>
                              <w:jc w:val="center"/>
                              <w:rPr>
                                <w:b/>
                                <w:bCs/>
                                <w:color w:val="000000"/>
                                <w:szCs w:val="24"/>
                                <w:lang w:eastAsia="lt-LT"/>
                              </w:rPr>
                            </w:pPr>
                            <w:r>
                              <w:rPr>
                                <w:b/>
                                <w:bCs/>
                                <w:color w:val="000000"/>
                                <w:szCs w:val="24"/>
                                <w:lang w:eastAsia="lt-LT"/>
                              </w:rPr>
                              <w:t>Suma ( Eur)</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Šeduvos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10 670,00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Šiaulėnų Marcelino Šikšnio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3 290,00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Alksniupių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3 100,00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tcPr>
                          <w:p>
                            <w:pPr>
                              <w:rPr>
                                <w:color w:val="000000"/>
                                <w:szCs w:val="24"/>
                                <w:lang w:eastAsia="lt-LT"/>
                              </w:rPr>
                            </w:pPr>
                            <w:r>
                              <w:rPr>
                                <w:color w:val="000000"/>
                                <w:szCs w:val="24"/>
                                <w:lang w:eastAsia="lt-LT"/>
                              </w:rPr>
                              <w:t>Radviliškio r. Sidabravo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2 680,00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Gražinos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6 480,00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 Kudirkos progimnazija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2 100,00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Lizdeikos gimnazija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4 970,00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Grinkiškio Jono Poderio pagrindinė mokykla</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1 880,00</w:t>
                            </w:r>
                          </w:p>
                        </w:tc>
                      </w:tr>
                      <w:tr>
                        <w:trPr>
                          <w:trHeight w:val="315"/>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r. Baisogalos 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2 720,00</w:t>
                            </w:r>
                          </w:p>
                        </w:tc>
                      </w:tr>
                      <w:tr>
                        <w:trPr>
                          <w:trHeight w:val="315"/>
                          <w:jc w:val="center"/>
                        </w:trPr>
                        <w:tc>
                          <w:tcPr>
                            <w:tcW w:w="5857"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pPr>
                              <w:rPr>
                                <w:color w:val="000000"/>
                                <w:szCs w:val="24"/>
                                <w:lang w:eastAsia="lt-LT"/>
                              </w:rPr>
                            </w:pPr>
                            <w:r>
                              <w:rPr>
                                <w:color w:val="000000"/>
                                <w:szCs w:val="24"/>
                                <w:lang w:eastAsia="lt-LT"/>
                              </w:rPr>
                              <w:t>Radviliškio Vaižganto progimnazija</w:t>
                            </w:r>
                          </w:p>
                        </w:tc>
                        <w:tc>
                          <w:tcPr>
                            <w:tcW w:w="3244" w:type="dxa"/>
                            <w:tcBorders>
                              <w:top w:val="single" w:sz="4" w:space="0" w:color="auto"/>
                              <w:left w:val="nil"/>
                              <w:bottom w:val="single" w:sz="4" w:space="0" w:color="auto"/>
                              <w:right w:val="single" w:sz="4" w:space="0" w:color="auto"/>
                            </w:tcBorders>
                            <w:shd w:val="clear" w:color="000000" w:fill="FFFFFF"/>
                            <w:noWrap/>
                            <w:vAlign w:val="center"/>
                          </w:tcPr>
                          <w:p>
                            <w:pPr>
                              <w:jc w:val="center"/>
                              <w:rPr>
                                <w:color w:val="000000"/>
                                <w:szCs w:val="24"/>
                                <w:lang w:eastAsia="lt-LT"/>
                              </w:rPr>
                            </w:pPr>
                            <w:r>
                              <w:rPr>
                                <w:color w:val="000000"/>
                                <w:szCs w:val="24"/>
                                <w:lang w:eastAsia="lt-LT"/>
                              </w:rPr>
                              <w:t>2 110,00</w:t>
                            </w:r>
                          </w:p>
                        </w:tc>
                      </w:tr>
                      <w:tr>
                        <w:trPr>
                          <w:trHeight w:val="315"/>
                          <w:jc w:val="center"/>
                        </w:trPr>
                        <w:tc>
                          <w:tcPr>
                            <w:tcW w:w="5857" w:type="dxa"/>
                            <w:tcBorders>
                              <w:top w:val="nil"/>
                              <w:left w:val="single" w:sz="4" w:space="0" w:color="auto"/>
                              <w:bottom w:val="single" w:sz="4" w:space="0" w:color="auto"/>
                              <w:right w:val="single" w:sz="4" w:space="0" w:color="auto"/>
                            </w:tcBorders>
                            <w:shd w:val="clear" w:color="000000" w:fill="FFFFFF"/>
                            <w:noWrap/>
                            <w:vAlign w:val="center"/>
                            <w:hideMark/>
                          </w:tcPr>
                          <w:p>
                            <w:pPr>
                              <w:rPr>
                                <w:b/>
                                <w:bCs/>
                                <w:color w:val="000000"/>
                                <w:szCs w:val="24"/>
                                <w:lang w:eastAsia="lt-LT"/>
                              </w:rPr>
                            </w:pPr>
                            <w:r>
                              <w:rPr>
                                <w:b/>
                                <w:bCs/>
                                <w:color w:val="000000"/>
                                <w:szCs w:val="24"/>
                                <w:lang w:eastAsia="lt-LT"/>
                              </w:rPr>
                              <w:t>Iš viso:</w:t>
                            </w:r>
                          </w:p>
                        </w:tc>
                        <w:tc>
                          <w:tcPr>
                            <w:tcW w:w="3244" w:type="dxa"/>
                            <w:tcBorders>
                              <w:top w:val="nil"/>
                              <w:left w:val="nil"/>
                              <w:bottom w:val="single" w:sz="4" w:space="0" w:color="auto"/>
                              <w:right w:val="single" w:sz="4" w:space="0" w:color="auto"/>
                            </w:tcBorders>
                            <w:shd w:val="clear" w:color="000000" w:fill="FFFFFF"/>
                            <w:noWrap/>
                            <w:vAlign w:val="center"/>
                          </w:tcPr>
                          <w:p>
                            <w:pPr>
                              <w:jc w:val="center"/>
                              <w:rPr>
                                <w:b/>
                                <w:bCs/>
                                <w:color w:val="000000"/>
                                <w:szCs w:val="24"/>
                                <w:lang w:eastAsia="lt-LT"/>
                              </w:rPr>
                            </w:pPr>
                            <w:r>
                              <w:rPr>
                                <w:b/>
                                <w:bCs/>
                                <w:color w:val="000000"/>
                                <w:szCs w:val="24"/>
                                <w:lang w:eastAsia="lt-LT"/>
                              </w:rPr>
                              <w:t>40 000,00</w:t>
                            </w:r>
                          </w:p>
                        </w:tc>
                      </w:tr>
                    </w:tbl>
                    <w:p>
                      <w:pPr>
                        <w:spacing w:line="254" w:lineRule="auto"/>
                        <w:rPr>
                          <w:bCs/>
                          <w:szCs w:val="24"/>
                        </w:rPr>
                      </w:pPr>
                    </w:p>
                    <w:p>
                      <w:pPr>
                        <w:rPr>
                          <w:sz w:val="14"/>
                          <w:szCs w:val="14"/>
                        </w:rPr>
                      </w:pPr>
                    </w:p>
                  </w:sdtContent>
                </w:sdt>
              </w:sdtContent>
            </w:sdt>
            <w:sdt>
              <w:sdtPr>
                <w:alias w:val="4 p."/>
                <w:tag w:val="part_671a1dc6ffa2486fbf37041335da7cbf"/>
                <w:lock w:val="sdtLocked"/>
                <w:richText/>
              </w:sdtPr>
              <w:sdtContent>
                <w:p>
                  <w:pPr>
                    <w:spacing w:line="254" w:lineRule="auto"/>
                    <w:ind w:firstLine="709"/>
                    <w:rPr>
                      <w:bCs/>
                      <w:szCs w:val="24"/>
                    </w:rPr>
                  </w:pPr>
                  <w:sdt>
                    <w:sdtPr>
                      <w:alias w:val="Numeris"/>
                      <w:tag w:val="nr_671a1dc6ffa2486fbf37041335da7cbf"/>
                      <w:lock w:val="sdtLocked"/>
                      <w:richText/>
                    </w:sdtPr>
                    <w:sdtContent>
                      <w:r>
                        <w:rPr>
                          <w:bCs/>
                          <w:szCs w:val="24"/>
                        </w:rPr>
                        <w:t>4</w:t>
                      </w:r>
                    </w:sdtContent>
                  </w:sdt>
                  <w:r>
                    <w:rPr>
                      <w:bCs/>
                      <w:szCs w:val="24"/>
                    </w:rPr>
                    <w:t>. Radviliškio rajono savivaldybės administracijos Socialinės paramos skyriui:</w:t>
                  </w:r>
                </w:p>
                <w:p>
                  <w:pPr>
                    <w:rPr>
                      <w:sz w:val="14"/>
                      <w:szCs w:val="14"/>
                    </w:rPr>
                  </w:pPr>
                </w:p>
                <w:sdt>
                  <w:sdtPr>
                    <w:alias w:val="4.1 pp."/>
                    <w:tag w:val="part_9a29adae3b624848b8869f494f5341a7"/>
                    <w:lock w:val="sdtLocked"/>
                    <w:richText/>
                  </w:sdtPr>
                  <w:sdtContent>
                    <w:p>
                      <w:pPr>
                        <w:spacing w:line="254" w:lineRule="auto"/>
                        <w:ind w:firstLine="709"/>
                        <w:rPr>
                          <w:bCs/>
                          <w:szCs w:val="24"/>
                        </w:rPr>
                      </w:pPr>
                      <w:sdt>
                        <w:sdtPr>
                          <w:alias w:val="Numeris"/>
                          <w:tag w:val="nr_9a29adae3b624848b8869f494f5341a7"/>
                          <w:lock w:val="sdtLocked"/>
                          <w:richText/>
                        </w:sdtPr>
                        <w:sdtContent>
                          <w:r>
                            <w:rPr>
                              <w:bCs/>
                              <w:szCs w:val="24"/>
                            </w:rPr>
                            <w:t>4.1</w:t>
                          </w:r>
                        </w:sdtContent>
                      </w:sdt>
                      <w:r>
                        <w:rPr>
                          <w:bCs/>
                          <w:szCs w:val="24"/>
                        </w:rPr>
                        <w:t>. Sumažinti dotaciją asmenų su negalia reikalų koordinavimo funkcijai atlikti – 10 000,00 Eur (VB, 03 programa);</w:t>
                      </w:r>
                    </w:p>
                    <w:p>
                      <w:pPr>
                        <w:rPr>
                          <w:sz w:val="14"/>
                          <w:szCs w:val="14"/>
                        </w:rPr>
                      </w:pPr>
                    </w:p>
                  </w:sdtContent>
                </w:sdt>
                <w:sdt>
                  <w:sdtPr>
                    <w:alias w:val="4.2 pp."/>
                    <w:tag w:val="part_e741ace01dca45428e9ed71d6b168da7"/>
                    <w:lock w:val="sdtLocked"/>
                    <w:richText/>
                  </w:sdtPr>
                  <w:sdtContent>
                    <w:p>
                      <w:pPr>
                        <w:spacing w:line="254" w:lineRule="auto"/>
                        <w:ind w:firstLine="709"/>
                        <w:jc w:val="both"/>
                        <w:rPr>
                          <w:bCs/>
                          <w:szCs w:val="24"/>
                        </w:rPr>
                      </w:pPr>
                      <w:sdt>
                        <w:sdtPr>
                          <w:alias w:val="Numeris"/>
                          <w:tag w:val="nr_e741ace01dca45428e9ed71d6b168da7"/>
                          <w:lock w:val="sdtLocked"/>
                          <w:richText/>
                        </w:sdtPr>
                        <w:sdtContent>
                          <w:r>
                            <w:rPr>
                              <w:bCs/>
                              <w:szCs w:val="24"/>
                            </w:rPr>
                            <w:t>4.2</w:t>
                          </w:r>
                        </w:sdtContent>
                      </w:sdt>
                      <w:r>
                        <w:rPr>
                          <w:bCs/>
                          <w:szCs w:val="24"/>
                        </w:rPr>
                        <w:t>. Sumažinti dotaciją</w:t>
                      </w:r>
                      <w:r>
                        <w:rPr>
                          <w:sz w:val="22"/>
                          <w:szCs w:val="22"/>
                        </w:rPr>
                        <w:t xml:space="preserve"> </w:t>
                      </w:r>
                      <w:r>
                        <w:rPr>
                          <w:bCs/>
                          <w:szCs w:val="24"/>
                        </w:rPr>
                        <w:t>akredituotai socialinei reabilitacijai asmenims su negalia bendruomenėje organizuoti, teikti ir administruoti – 218,00 Eur (VB, 03 programa), administravimas – 7,00 Eur (VB, 01 programa).</w:t>
                      </w:r>
                    </w:p>
                    <w:p>
                      <w:pPr>
                        <w:rPr>
                          <w:sz w:val="14"/>
                          <w:szCs w:val="14"/>
                        </w:rPr>
                      </w:pPr>
                    </w:p>
                  </w:sdtContent>
                </w:sdt>
              </w:sdtContent>
            </w:sdt>
            <w:sdt>
              <w:sdtPr>
                <w:alias w:val="5 p."/>
                <w:tag w:val="part_e4e5d92b91414188858fd09d3b4598ef"/>
                <w:lock w:val="sdtLocked"/>
                <w:richText/>
              </w:sdtPr>
              <w:sdtContent>
                <w:p>
                  <w:pPr>
                    <w:spacing w:line="254" w:lineRule="auto"/>
                    <w:ind w:firstLine="709"/>
                    <w:jc w:val="both"/>
                    <w:rPr>
                      <w:bCs/>
                      <w:szCs w:val="24"/>
                    </w:rPr>
                  </w:pPr>
                  <w:sdt>
                    <w:sdtPr>
                      <w:alias w:val="Numeris"/>
                      <w:tag w:val="nr_e4e5d92b91414188858fd09d3b4598ef"/>
                      <w:lock w:val="sdtLocked"/>
                      <w:richText/>
                    </w:sdtPr>
                    <w:sdtContent>
                      <w:r>
                        <w:rPr>
                          <w:bCs/>
                          <w:szCs w:val="24"/>
                        </w:rPr>
                        <w:t>5</w:t>
                      </w:r>
                    </w:sdtContent>
                  </w:sdt>
                  <w:r>
                    <w:rPr>
                      <w:bCs/>
                      <w:szCs w:val="24"/>
                    </w:rPr>
                    <w:t xml:space="preserve">.  Sumažinti  Radviliškio socialinių paslaugų centro  asignavimus,</w:t>
                  </w:r>
                  <w:r>
                    <w:rPr>
                      <w:sz w:val="22"/>
                      <w:szCs w:val="22"/>
                    </w:rPr>
                    <w:t xml:space="preserve"> </w:t>
                  </w:r>
                  <w:r>
                    <w:rPr>
                      <w:bCs/>
                      <w:szCs w:val="24"/>
                    </w:rPr>
                    <w:t xml:space="preserve">skirtus darbo užmokesčiui socialiniams darbuotojams ir individualios priežiūros darbuotojams, teikiantiems socialinę priežiūrą šeimoms mokėti –  38 600,00 Eur (VB, 03 programa);  </w:t>
                  </w:r>
                </w:p>
                <w:p>
                  <w:pPr>
                    <w:rPr>
                      <w:sz w:val="14"/>
                      <w:szCs w:val="14"/>
                    </w:rPr>
                  </w:pPr>
                </w:p>
              </w:sdtContent>
            </w:sdt>
            <w:sdt>
              <w:sdtPr>
                <w:alias w:val="6 p."/>
                <w:tag w:val="part_c639e38078cb429db0ab30de9e2761b7"/>
                <w:lock w:val="sdtLocked"/>
                <w:richText/>
              </w:sdtPr>
              <w:sdtContent>
                <w:p>
                  <w:pPr>
                    <w:spacing w:line="254" w:lineRule="auto"/>
                    <w:ind w:firstLine="709"/>
                    <w:jc w:val="both"/>
                    <w:rPr>
                      <w:bCs/>
                      <w:szCs w:val="24"/>
                    </w:rPr>
                  </w:pPr>
                  <w:sdt>
                    <w:sdtPr>
                      <w:alias w:val="Numeris"/>
                      <w:tag w:val="nr_c639e38078cb429db0ab30de9e2761b7"/>
                      <w:lock w:val="sdtLocked"/>
                      <w:richText/>
                    </w:sdtPr>
                    <w:sdtContent>
                      <w:r>
                        <w:rPr>
                          <w:bCs/>
                          <w:szCs w:val="24"/>
                          <w:shd w:val="clear" w:color="auto" w:fill="FFFFFF"/>
                        </w:rPr>
                        <w:t>6</w:t>
                      </w:r>
                    </w:sdtContent>
                  </w:sdt>
                  <w:r>
                    <w:rPr>
                      <w:bCs/>
                      <w:szCs w:val="24"/>
                      <w:shd w:val="clear" w:color="auto" w:fill="FFFFFF"/>
                    </w:rPr>
                    <w:t>. Tikslinami asignavimai pagal asignavimų valdytojus, programas, funkcinę ir ekonominę klasifikaciją, sąmatą:</w:t>
                  </w:r>
                </w:p>
                <w:p>
                  <w:pPr>
                    <w:rPr>
                      <w:sz w:val="14"/>
                      <w:szCs w:val="14"/>
                    </w:rPr>
                  </w:pPr>
                </w:p>
                <w:tbl>
                  <w:tblPr>
                    <w:tblW w:w="9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7"/>
                    <w:gridCol w:w="2689"/>
                    <w:gridCol w:w="708"/>
                    <w:gridCol w:w="993"/>
                    <w:gridCol w:w="2835"/>
                    <w:gridCol w:w="1842"/>
                  </w:tblGrid>
                  <w:tr>
                    <w:trPr>
                      <w:trHeight w:val="1063"/>
                      <w:tblHeader/>
                    </w:trPr>
                    <w:tc>
                      <w:tcPr>
                        <w:tcW w:w="567" w:type="dxa"/>
                        <w:tcBorders>
                          <w:bottom w:val="single" w:sz="4" w:space="0" w:color="auto"/>
                        </w:tcBorders>
                      </w:tcPr>
                      <w:p>
                        <w:pPr>
                          <w:spacing w:line="254" w:lineRule="auto"/>
                          <w:jc w:val="both"/>
                          <w:rPr>
                            <w:b/>
                            <w:bCs/>
                            <w:sz w:val="20"/>
                          </w:rPr>
                        </w:pPr>
                        <w:r>
                          <w:rPr>
                            <w:b/>
                            <w:bCs/>
                            <w:sz w:val="20"/>
                          </w:rPr>
                          <w:t>Eil. Nr.</w:t>
                        </w:r>
                      </w:p>
                    </w:tc>
                    <w:tc>
                      <w:tcPr>
                        <w:tcW w:w="2689" w:type="dxa"/>
                        <w:tcBorders>
                          <w:bottom w:val="single" w:sz="4" w:space="0" w:color="auto"/>
                        </w:tcBorders>
                      </w:tcPr>
                      <w:p>
                        <w:pPr>
                          <w:spacing w:line="254" w:lineRule="auto"/>
                          <w:jc w:val="both"/>
                          <w:rPr>
                            <w:b/>
                            <w:bCs/>
                            <w:sz w:val="20"/>
                          </w:rPr>
                        </w:pPr>
                        <w:r>
                          <w:rPr>
                            <w:b/>
                            <w:bCs/>
                            <w:sz w:val="20"/>
                          </w:rPr>
                          <w:t>Asignavimų valdytojas/ finansavimo šaltinis</w:t>
                        </w:r>
                      </w:p>
                    </w:tc>
                    <w:tc>
                      <w:tcPr>
                        <w:tcW w:w="708" w:type="dxa"/>
                        <w:tcBorders>
                          <w:bottom w:val="single" w:sz="4" w:space="0" w:color="auto"/>
                        </w:tcBorders>
                      </w:tcPr>
                      <w:p>
                        <w:pPr>
                          <w:spacing w:line="254" w:lineRule="auto"/>
                          <w:jc w:val="both"/>
                          <w:rPr>
                            <w:b/>
                            <w:bCs/>
                            <w:sz w:val="20"/>
                          </w:rPr>
                        </w:pPr>
                        <w:r>
                          <w:rPr>
                            <w:b/>
                            <w:bCs/>
                            <w:sz w:val="20"/>
                          </w:rPr>
                          <w:t>Programa</w:t>
                        </w:r>
                      </w:p>
                    </w:tc>
                    <w:tc>
                      <w:tcPr>
                        <w:tcW w:w="993" w:type="dxa"/>
                      </w:tcPr>
                      <w:p>
                        <w:pPr>
                          <w:spacing w:line="254" w:lineRule="auto"/>
                          <w:jc w:val="both"/>
                          <w:rPr>
                            <w:b/>
                            <w:bCs/>
                            <w:sz w:val="20"/>
                          </w:rPr>
                        </w:pPr>
                        <w:r>
                          <w:rPr>
                            <w:b/>
                            <w:bCs/>
                            <w:sz w:val="20"/>
                          </w:rPr>
                          <w:t>Fun-kcinė klasi-fikacija</w:t>
                        </w:r>
                      </w:p>
                    </w:tc>
                    <w:tc>
                      <w:tcPr>
                        <w:tcW w:w="2835" w:type="dxa"/>
                      </w:tcPr>
                      <w:p>
                        <w:pPr>
                          <w:spacing w:line="254" w:lineRule="auto"/>
                          <w:jc w:val="center"/>
                          <w:rPr>
                            <w:b/>
                            <w:bCs/>
                            <w:sz w:val="20"/>
                          </w:rPr>
                        </w:pPr>
                        <w:r>
                          <w:rPr>
                            <w:b/>
                            <w:bCs/>
                            <w:sz w:val="20"/>
                          </w:rPr>
                          <w:t>Ekonominė klasifikacija/sąmata</w:t>
                        </w:r>
                      </w:p>
                    </w:tc>
                    <w:tc>
                      <w:tcPr>
                        <w:tcW w:w="1842" w:type="dxa"/>
                      </w:tcPr>
                      <w:p>
                        <w:pPr>
                          <w:spacing w:line="254" w:lineRule="auto"/>
                          <w:ind w:right="315"/>
                          <w:jc w:val="both"/>
                          <w:rPr>
                            <w:b/>
                            <w:bCs/>
                            <w:sz w:val="20"/>
                          </w:rPr>
                        </w:pPr>
                        <w:r>
                          <w:rPr>
                            <w:b/>
                            <w:bCs/>
                            <w:sz w:val="20"/>
                          </w:rPr>
                          <w:t>Tikslinama suma (+,-)</w:t>
                        </w:r>
                      </w:p>
                    </w:tc>
                  </w:tr>
                  <w:tr>
                    <w:trPr>
                      <w:trHeight w:val="615"/>
                    </w:trPr>
                    <w:tc>
                      <w:tcPr>
                        <w:tcW w:w="567" w:type="dxa"/>
                        <w:tcBorders>
                          <w:top w:val="single" w:sz="4" w:space="0" w:color="auto"/>
                          <w:bottom w:val="nil"/>
                        </w:tcBorders>
                      </w:tcPr>
                      <w:p>
                        <w:pPr>
                          <w:spacing w:line="254" w:lineRule="auto"/>
                          <w:jc w:val="both"/>
                          <w:rPr>
                            <w:sz w:val="22"/>
                            <w:szCs w:val="22"/>
                          </w:rPr>
                        </w:pPr>
                        <w:r>
                          <w:rPr>
                            <w:sz w:val="22"/>
                            <w:szCs w:val="22"/>
                          </w:rPr>
                          <w:t>1.</w:t>
                        </w: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administracija (SB)</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06</w:t>
                        </w:r>
                      </w:p>
                    </w:tc>
                    <w:tc>
                      <w:tcPr>
                        <w:tcW w:w="2835" w:type="dxa"/>
                      </w:tcPr>
                      <w:p>
                        <w:pPr>
                          <w:spacing w:line="254" w:lineRule="auto"/>
                          <w:rPr>
                            <w:sz w:val="22"/>
                            <w:szCs w:val="22"/>
                          </w:rPr>
                        </w:pPr>
                        <w:r>
                          <w:rPr>
                            <w:sz w:val="22"/>
                            <w:szCs w:val="22"/>
                          </w:rPr>
                          <w:t>Daugiabučių namų kiemų, susisiekimo komunikacijų ir jų inžinerinių tinklų statybos, rekonstravimo ir kapitalinio remonto, dalyvaujant fiziniams ir juridiniams asmenims Savivaldybės prisidėjimo dalis</w:t>
                        </w:r>
                      </w:p>
                    </w:tc>
                    <w:tc>
                      <w:tcPr>
                        <w:tcW w:w="1842" w:type="dxa"/>
                      </w:tcPr>
                      <w:p>
                        <w:pPr>
                          <w:spacing w:line="254" w:lineRule="auto"/>
                          <w:ind w:right="315"/>
                          <w:jc w:val="center"/>
                          <w:rPr>
                            <w:sz w:val="22"/>
                            <w:szCs w:val="22"/>
                          </w:rPr>
                        </w:pPr>
                        <w:r>
                          <w:rPr>
                            <w:sz w:val="22"/>
                            <w:szCs w:val="22"/>
                          </w:rPr>
                          <w:t>-150 000,00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 xml:space="preserve">Vietinės reikšmės kelių, gatvių, jų priklausinių infrastruktūros  pagerinimas, eismo saugumo priemonių diegimas</w:t>
                        </w:r>
                      </w:p>
                    </w:tc>
                    <w:tc>
                      <w:tcPr>
                        <w:tcW w:w="1842" w:type="dxa"/>
                      </w:tcPr>
                      <w:p>
                        <w:pPr>
                          <w:spacing w:line="254" w:lineRule="auto"/>
                          <w:ind w:right="315"/>
                          <w:jc w:val="center"/>
                          <w:rPr>
                            <w:sz w:val="22"/>
                            <w:szCs w:val="22"/>
                          </w:rPr>
                        </w:pPr>
                        <w:r>
                          <w:rPr>
                            <w:sz w:val="22"/>
                            <w:szCs w:val="22"/>
                          </w:rPr>
                          <w:t>150 000,00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05</w:t>
                        </w:r>
                      </w:p>
                    </w:tc>
                    <w:tc>
                      <w:tcPr>
                        <w:tcW w:w="2835" w:type="dxa"/>
                      </w:tcPr>
                      <w:p>
                        <w:pPr>
                          <w:spacing w:line="254" w:lineRule="auto"/>
                          <w:rPr>
                            <w:sz w:val="22"/>
                            <w:szCs w:val="22"/>
                          </w:rPr>
                        </w:pPr>
                        <w:r>
                          <w:rPr>
                            <w:sz w:val="22"/>
                            <w:szCs w:val="22"/>
                          </w:rPr>
                          <w:t>Tekstilės atliekų surinkimo konteinerių plėtra Radviliškio rajone</w:t>
                        </w:r>
                      </w:p>
                    </w:tc>
                    <w:tc>
                      <w:tcPr>
                        <w:tcW w:w="1842" w:type="dxa"/>
                      </w:tcPr>
                      <w:p>
                        <w:pPr>
                          <w:spacing w:line="254" w:lineRule="auto"/>
                          <w:ind w:right="315"/>
                          <w:jc w:val="center"/>
                          <w:rPr>
                            <w:sz w:val="22"/>
                            <w:szCs w:val="22"/>
                          </w:rPr>
                        </w:pPr>
                        <w:r>
                          <w:rPr>
                            <w:sz w:val="22"/>
                            <w:szCs w:val="22"/>
                          </w:rPr>
                          <w:t>-8 351,05</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01</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Kadastriniai matavimai ir kito turto valdymas (ARCHITEKTŪRA)</w:t>
                        </w:r>
                      </w:p>
                    </w:tc>
                    <w:tc>
                      <w:tcPr>
                        <w:tcW w:w="1842" w:type="dxa"/>
                      </w:tcPr>
                      <w:p>
                        <w:pPr>
                          <w:spacing w:line="254" w:lineRule="auto"/>
                          <w:ind w:right="315"/>
                          <w:jc w:val="center"/>
                          <w:rPr>
                            <w:sz w:val="22"/>
                            <w:szCs w:val="22"/>
                          </w:rPr>
                        </w:pPr>
                        <w:r>
                          <w:rPr>
                            <w:sz w:val="22"/>
                            <w:szCs w:val="22"/>
                          </w:rPr>
                          <w:t>-28 011,18</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Kultūros renginiai</w:t>
                        </w:r>
                      </w:p>
                    </w:tc>
                    <w:tc>
                      <w:tcPr>
                        <w:tcW w:w="1842" w:type="dxa"/>
                      </w:tcPr>
                      <w:p>
                        <w:pPr>
                          <w:spacing w:line="254" w:lineRule="auto"/>
                          <w:ind w:right="315"/>
                          <w:jc w:val="center"/>
                          <w:rPr>
                            <w:sz w:val="22"/>
                            <w:szCs w:val="22"/>
                          </w:rPr>
                        </w:pPr>
                        <w:r>
                          <w:rPr>
                            <w:sz w:val="22"/>
                            <w:szCs w:val="22"/>
                          </w:rPr>
                          <w:t>-7 000,00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Pr>
                      <w:p>
                        <w:pPr>
                          <w:spacing w:line="254" w:lineRule="auto"/>
                          <w:jc w:val="both"/>
                          <w:rPr>
                            <w:sz w:val="22"/>
                            <w:szCs w:val="22"/>
                          </w:rPr>
                        </w:pPr>
                        <w:r>
                          <w:rPr>
                            <w:sz w:val="22"/>
                            <w:szCs w:val="22"/>
                          </w:rPr>
                          <w:t>05</w:t>
                        </w:r>
                      </w:p>
                    </w:tc>
                    <w:tc>
                      <w:tcPr>
                        <w:tcW w:w="993" w:type="dxa"/>
                      </w:tcPr>
                      <w:p>
                        <w:pPr>
                          <w:spacing w:line="254" w:lineRule="auto"/>
                          <w:jc w:val="both"/>
                          <w:rPr>
                            <w:sz w:val="22"/>
                            <w:szCs w:val="22"/>
                          </w:rPr>
                        </w:pPr>
                        <w:r>
                          <w:rPr>
                            <w:sz w:val="22"/>
                            <w:szCs w:val="22"/>
                          </w:rPr>
                          <w:t>08</w:t>
                        </w:r>
                      </w:p>
                    </w:tc>
                    <w:tc>
                      <w:tcPr>
                        <w:tcW w:w="2835" w:type="dxa"/>
                      </w:tcPr>
                      <w:p>
                        <w:pPr>
                          <w:spacing w:line="254" w:lineRule="auto"/>
                          <w:rPr>
                            <w:sz w:val="22"/>
                            <w:szCs w:val="22"/>
                          </w:rPr>
                        </w:pPr>
                        <w:r>
                          <w:rPr>
                            <w:sz w:val="22"/>
                            <w:szCs w:val="22"/>
                          </w:rPr>
                          <w:t>Prisidėjimas prie Radviliškio rajono kultūros įstaigų vykdomų projektų</w:t>
                        </w:r>
                      </w:p>
                    </w:tc>
                    <w:tc>
                      <w:tcPr>
                        <w:tcW w:w="1842" w:type="dxa"/>
                      </w:tcPr>
                      <w:p>
                        <w:pPr>
                          <w:spacing w:line="254" w:lineRule="auto"/>
                          <w:ind w:right="315"/>
                          <w:jc w:val="center"/>
                          <w:rPr>
                            <w:sz w:val="22"/>
                            <w:szCs w:val="22"/>
                          </w:rPr>
                        </w:pPr>
                        <w:r>
                          <w:rPr>
                            <w:sz w:val="22"/>
                            <w:szCs w:val="22"/>
                          </w:rPr>
                          <w:t>-60 000,00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nil"/>
                        </w:tcBorders>
                      </w:tcPr>
                      <w:p>
                        <w:pPr>
                          <w:spacing w:line="254" w:lineRule="auto"/>
                          <w:rPr>
                            <w:sz w:val="22"/>
                            <w:szCs w:val="22"/>
                          </w:rPr>
                        </w:pPr>
                      </w:p>
                    </w:tc>
                    <w:tc>
                      <w:tcPr>
                        <w:tcW w:w="708" w:type="dxa"/>
                        <w:tcBorders>
                          <w:bottom w:val="single" w:sz="4" w:space="0" w:color="auto"/>
                        </w:tcBorders>
                      </w:tcPr>
                      <w:p>
                        <w:pPr>
                          <w:spacing w:line="254" w:lineRule="auto"/>
                          <w:jc w:val="both"/>
                          <w:rPr>
                            <w:sz w:val="22"/>
                            <w:szCs w:val="22"/>
                          </w:rPr>
                        </w:pPr>
                        <w:r>
                          <w:rPr>
                            <w:sz w:val="22"/>
                            <w:szCs w:val="22"/>
                          </w:rPr>
                          <w:t>06</w:t>
                        </w:r>
                      </w:p>
                    </w:tc>
                    <w:tc>
                      <w:tcPr>
                        <w:tcW w:w="993" w:type="dxa"/>
                        <w:tcBorders>
                          <w:bottom w:val="single" w:sz="4" w:space="0" w:color="auto"/>
                        </w:tcBorders>
                      </w:tcPr>
                      <w:p>
                        <w:pPr>
                          <w:spacing w:line="254" w:lineRule="auto"/>
                          <w:jc w:val="both"/>
                          <w:rPr>
                            <w:sz w:val="22"/>
                            <w:szCs w:val="22"/>
                          </w:rPr>
                        </w:pPr>
                        <w:r>
                          <w:rPr>
                            <w:sz w:val="22"/>
                            <w:szCs w:val="22"/>
                          </w:rPr>
                          <w:t>05</w:t>
                        </w:r>
                      </w:p>
                    </w:tc>
                    <w:tc>
                      <w:tcPr>
                        <w:tcW w:w="2835" w:type="dxa"/>
                        <w:tcBorders>
                          <w:bottom w:val="single" w:sz="4" w:space="0" w:color="auto"/>
                        </w:tcBorders>
                      </w:tcPr>
                      <w:p>
                        <w:pPr>
                          <w:spacing w:line="254" w:lineRule="auto"/>
                          <w:rPr>
                            <w:sz w:val="22"/>
                            <w:szCs w:val="22"/>
                          </w:rPr>
                        </w:pPr>
                        <w:r>
                          <w:rPr>
                            <w:sz w:val="22"/>
                            <w:szCs w:val="22"/>
                          </w:rPr>
                          <w:t xml:space="preserve">Situacijų ir įvykių, išskyrus ekstremalių, keliamų ar sukeltų pavojų gyventojų gyvybei ar sveikatai, jų socialinėms sąlygoms, turtui ir aplinkai stabdymas </w:t>
                        </w:r>
                      </w:p>
                    </w:tc>
                    <w:tc>
                      <w:tcPr>
                        <w:tcW w:w="1842" w:type="dxa"/>
                        <w:tcBorders>
                          <w:bottom w:val="single" w:sz="4" w:space="0" w:color="auto"/>
                        </w:tcBorders>
                      </w:tcPr>
                      <w:p>
                        <w:pPr>
                          <w:spacing w:line="254" w:lineRule="auto"/>
                          <w:ind w:right="315"/>
                          <w:jc w:val="center"/>
                          <w:rPr>
                            <w:sz w:val="22"/>
                            <w:szCs w:val="22"/>
                          </w:rPr>
                        </w:pPr>
                        <w:r>
                          <w:rPr>
                            <w:sz w:val="22"/>
                            <w:szCs w:val="22"/>
                          </w:rPr>
                          <w:t>-15 000,00</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Borders>
                          <w:top w:val="single" w:sz="4" w:space="0" w:color="auto"/>
                        </w:tcBorders>
                      </w:tcPr>
                      <w:p>
                        <w:pPr>
                          <w:spacing w:line="254" w:lineRule="auto"/>
                          <w:jc w:val="both"/>
                          <w:rPr>
                            <w:sz w:val="22"/>
                            <w:szCs w:val="22"/>
                          </w:rPr>
                        </w:pPr>
                        <w:r>
                          <w:rPr>
                            <w:sz w:val="22"/>
                            <w:szCs w:val="22"/>
                          </w:rPr>
                          <w:t>03</w:t>
                        </w:r>
                      </w:p>
                    </w:tc>
                    <w:tc>
                      <w:tcPr>
                        <w:tcW w:w="993" w:type="dxa"/>
                        <w:tcBorders>
                          <w:top w:val="single" w:sz="4" w:space="0" w:color="auto"/>
                        </w:tcBorders>
                      </w:tcPr>
                      <w:p>
                        <w:pPr>
                          <w:spacing w:line="254" w:lineRule="auto"/>
                          <w:jc w:val="both"/>
                          <w:rPr>
                            <w:sz w:val="22"/>
                            <w:szCs w:val="22"/>
                          </w:rPr>
                        </w:pPr>
                        <w:r>
                          <w:rPr>
                            <w:sz w:val="22"/>
                            <w:szCs w:val="22"/>
                          </w:rPr>
                          <w:t>10</w:t>
                        </w:r>
                      </w:p>
                    </w:tc>
                    <w:tc>
                      <w:tcPr>
                        <w:tcW w:w="2835" w:type="dxa"/>
                        <w:tcBorders>
                          <w:top w:val="single" w:sz="4" w:space="0" w:color="auto"/>
                        </w:tcBorders>
                      </w:tcPr>
                      <w:p>
                        <w:pPr>
                          <w:spacing w:line="254" w:lineRule="auto"/>
                          <w:rPr>
                            <w:sz w:val="22"/>
                            <w:szCs w:val="22"/>
                          </w:rPr>
                        </w:pPr>
                        <w:r>
                          <w:rPr>
                            <w:sz w:val="22"/>
                            <w:szCs w:val="22"/>
                          </w:rPr>
                          <w:t>Visuomeninio transporto kompensavimas</w:t>
                        </w:r>
                      </w:p>
                    </w:tc>
                    <w:tc>
                      <w:tcPr>
                        <w:tcW w:w="1842" w:type="dxa"/>
                        <w:tcBorders>
                          <w:top w:val="single" w:sz="4" w:space="0" w:color="auto"/>
                        </w:tcBorders>
                      </w:tcPr>
                      <w:p>
                        <w:pPr>
                          <w:spacing w:line="254" w:lineRule="auto"/>
                          <w:ind w:right="315"/>
                          <w:jc w:val="center"/>
                          <w:rPr>
                            <w:sz w:val="22"/>
                            <w:szCs w:val="22"/>
                          </w:rPr>
                        </w:pPr>
                        <w:r>
                          <w:rPr>
                            <w:sz w:val="22"/>
                            <w:szCs w:val="22"/>
                          </w:rPr>
                          <w:t>118 362,23</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administracija (SBLIK)</w:t>
                        </w:r>
                      </w:p>
                    </w:tc>
                    <w:tc>
                      <w:tcPr>
                        <w:tcW w:w="708" w:type="dxa"/>
                      </w:tcPr>
                      <w:p>
                        <w:pPr>
                          <w:spacing w:line="254" w:lineRule="auto"/>
                          <w:jc w:val="both"/>
                          <w:rPr>
                            <w:sz w:val="22"/>
                            <w:szCs w:val="22"/>
                          </w:rPr>
                        </w:pPr>
                        <w:r>
                          <w:rPr>
                            <w:sz w:val="22"/>
                            <w:szCs w:val="22"/>
                          </w:rPr>
                          <w:t>04</w:t>
                        </w:r>
                      </w:p>
                    </w:tc>
                    <w:tc>
                      <w:tcPr>
                        <w:tcW w:w="993" w:type="dxa"/>
                      </w:tcPr>
                      <w:p>
                        <w:pPr>
                          <w:spacing w:line="254" w:lineRule="auto"/>
                          <w:jc w:val="both"/>
                          <w:rPr>
                            <w:sz w:val="22"/>
                            <w:szCs w:val="22"/>
                          </w:rPr>
                        </w:pPr>
                        <w:r>
                          <w:rPr>
                            <w:sz w:val="22"/>
                            <w:szCs w:val="22"/>
                          </w:rPr>
                          <w:t>04</w:t>
                        </w:r>
                      </w:p>
                    </w:tc>
                    <w:tc>
                      <w:tcPr>
                        <w:tcW w:w="2835" w:type="dxa"/>
                      </w:tcPr>
                      <w:p>
                        <w:pPr>
                          <w:spacing w:line="254" w:lineRule="auto"/>
                          <w:rPr>
                            <w:sz w:val="22"/>
                            <w:szCs w:val="22"/>
                          </w:rPr>
                        </w:pPr>
                        <w:r>
                          <w:rPr>
                            <w:sz w:val="22"/>
                            <w:szCs w:val="22"/>
                          </w:rPr>
                          <w:t>Inžinerinių statinių ir inžinerinių tinklų viešoje erdvėje prie Laisvės al. Radviliškio mieste, statyba</w:t>
                        </w:r>
                      </w:p>
                    </w:tc>
                    <w:tc>
                      <w:tcPr>
                        <w:tcW w:w="1842" w:type="dxa"/>
                      </w:tcPr>
                      <w:p>
                        <w:pPr>
                          <w:spacing w:line="254" w:lineRule="auto"/>
                          <w:ind w:right="315"/>
                          <w:jc w:val="center"/>
                          <w:rPr>
                            <w:sz w:val="22"/>
                            <w:szCs w:val="22"/>
                          </w:rPr>
                        </w:pPr>
                        <w:r>
                          <w:rPr>
                            <w:sz w:val="22"/>
                            <w:szCs w:val="22"/>
                          </w:rPr>
                          <w:t>-4 907,23</w:t>
                        </w:r>
                      </w:p>
                    </w:tc>
                  </w:tr>
                  <w:tr>
                    <w:trPr>
                      <w:trHeight w:val="606"/>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Visuomeninio transporto kompensavimas</w:t>
                        </w:r>
                      </w:p>
                    </w:tc>
                    <w:tc>
                      <w:tcPr>
                        <w:tcW w:w="1842" w:type="dxa"/>
                      </w:tcPr>
                      <w:p>
                        <w:pPr>
                          <w:spacing w:line="254" w:lineRule="auto"/>
                          <w:ind w:right="315"/>
                          <w:jc w:val="center"/>
                          <w:rPr>
                            <w:sz w:val="22"/>
                            <w:szCs w:val="22"/>
                          </w:rPr>
                        </w:pPr>
                        <w:r>
                          <w:rPr>
                            <w:sz w:val="22"/>
                            <w:szCs w:val="22"/>
                          </w:rPr>
                          <w:t>4 907,23</w:t>
                        </w:r>
                      </w:p>
                    </w:tc>
                  </w:tr>
                  <w:tr>
                    <w:trPr>
                      <w:trHeight w:val="606"/>
                    </w:trPr>
                    <w:tc>
                      <w:tcPr>
                        <w:tcW w:w="567" w:type="dxa"/>
                        <w:tcBorders>
                          <w:top w:val="nil"/>
                          <w:bottom w:val="single" w:sz="4" w:space="0" w:color="auto"/>
                        </w:tcBorders>
                      </w:tcPr>
                      <w:p>
                        <w:pPr>
                          <w:spacing w:line="254" w:lineRule="auto"/>
                          <w:jc w:val="both"/>
                          <w:rPr>
                            <w:sz w:val="22"/>
                            <w:szCs w:val="22"/>
                          </w:rPr>
                        </w:pPr>
                      </w:p>
                    </w:tc>
                    <w:tc>
                      <w:tcPr>
                        <w:tcW w:w="2689" w:type="dxa"/>
                        <w:tcBorders>
                          <w:top w:val="single" w:sz="4" w:space="0" w:color="auto"/>
                          <w:bottom w:val="nil"/>
                        </w:tcBorders>
                      </w:tcPr>
                      <w:p>
                        <w:pPr>
                          <w:spacing w:line="254" w:lineRule="auto"/>
                          <w:rPr>
                            <w:sz w:val="22"/>
                            <w:szCs w:val="22"/>
                          </w:rPr>
                        </w:pPr>
                        <w:r>
                          <w:rPr>
                            <w:sz w:val="22"/>
                            <w:szCs w:val="22"/>
                          </w:rPr>
                          <w:t>Radviliškio rajono savivaldybės administracija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Dotacija mokinio krepšeliui</w:t>
                        </w:r>
                      </w:p>
                    </w:tc>
                    <w:tc>
                      <w:tcPr>
                        <w:tcW w:w="1842" w:type="dxa"/>
                      </w:tcPr>
                      <w:p>
                        <w:pPr>
                          <w:spacing w:line="254" w:lineRule="auto"/>
                          <w:ind w:right="315"/>
                          <w:jc w:val="center"/>
                          <w:rPr>
                            <w:sz w:val="22"/>
                            <w:szCs w:val="22"/>
                          </w:rPr>
                        </w:pPr>
                        <w:r>
                          <w:rPr>
                            <w:sz w:val="22"/>
                            <w:szCs w:val="22"/>
                          </w:rPr>
                          <w:t>-8 472,00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2.</w:t>
                        </w:r>
                      </w:p>
                    </w:tc>
                    <w:tc>
                      <w:tcPr>
                        <w:tcW w:w="2689" w:type="dxa"/>
                        <w:tcBorders>
                          <w:top w:val="single" w:sz="4" w:space="0" w:color="auto"/>
                          <w:bottom w:val="nil"/>
                        </w:tcBorders>
                      </w:tcPr>
                      <w:p>
                        <w:pPr>
                          <w:spacing w:line="254" w:lineRule="auto"/>
                          <w:rPr>
                            <w:sz w:val="22"/>
                            <w:szCs w:val="22"/>
                          </w:rPr>
                        </w:pPr>
                        <w:r>
                          <w:rPr>
                            <w:sz w:val="22"/>
                            <w:szCs w:val="22"/>
                          </w:rPr>
                          <w:t>Radviliškio V. Kudirkos progimnazija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 xml:space="preserve">Mokymo priemonėms </w:t>
                        </w:r>
                      </w:p>
                    </w:tc>
                    <w:tc>
                      <w:tcPr>
                        <w:tcW w:w="1842" w:type="dxa"/>
                      </w:tcPr>
                      <w:p>
                        <w:pPr>
                          <w:spacing w:line="254" w:lineRule="auto"/>
                          <w:ind w:right="315"/>
                          <w:jc w:val="center"/>
                          <w:rPr>
                            <w:sz w:val="22"/>
                            <w:szCs w:val="22"/>
                          </w:rPr>
                        </w:pPr>
                        <w:r>
                          <w:rPr>
                            <w:sz w:val="22"/>
                            <w:szCs w:val="22"/>
                          </w:rPr>
                          <w:t>1 482,00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3.</w:t>
                        </w:r>
                      </w:p>
                    </w:tc>
                    <w:tc>
                      <w:tcPr>
                        <w:tcW w:w="2689" w:type="dxa"/>
                        <w:tcBorders>
                          <w:top w:val="single" w:sz="4" w:space="0" w:color="auto"/>
                          <w:bottom w:val="nil"/>
                        </w:tcBorders>
                      </w:tcPr>
                      <w:p>
                        <w:pPr>
                          <w:spacing w:line="254" w:lineRule="auto"/>
                          <w:rPr>
                            <w:sz w:val="22"/>
                            <w:szCs w:val="22"/>
                          </w:rPr>
                        </w:pPr>
                        <w:r>
                          <w:rPr>
                            <w:sz w:val="22"/>
                            <w:szCs w:val="22"/>
                          </w:rPr>
                          <w:t xml:space="preserve">Radviliškio r. Grinkiškio Jono Poderio pagrindinė mokykla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 xml:space="preserve">Mokymo priemonėms </w:t>
                        </w:r>
                      </w:p>
                    </w:tc>
                    <w:tc>
                      <w:tcPr>
                        <w:tcW w:w="1842" w:type="dxa"/>
                      </w:tcPr>
                      <w:p>
                        <w:pPr>
                          <w:spacing w:line="254" w:lineRule="auto"/>
                          <w:ind w:right="315"/>
                          <w:jc w:val="center"/>
                          <w:rPr>
                            <w:sz w:val="22"/>
                            <w:szCs w:val="22"/>
                          </w:rPr>
                        </w:pPr>
                        <w:r>
                          <w:rPr>
                            <w:sz w:val="22"/>
                            <w:szCs w:val="22"/>
                          </w:rPr>
                          <w:t>287,00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4.</w:t>
                        </w:r>
                      </w:p>
                    </w:tc>
                    <w:tc>
                      <w:tcPr>
                        <w:tcW w:w="2689" w:type="dxa"/>
                        <w:tcBorders>
                          <w:top w:val="single" w:sz="4" w:space="0" w:color="auto"/>
                          <w:bottom w:val="nil"/>
                        </w:tcBorders>
                      </w:tcPr>
                      <w:p>
                        <w:pPr>
                          <w:spacing w:line="254" w:lineRule="auto"/>
                          <w:rPr>
                            <w:sz w:val="22"/>
                            <w:szCs w:val="22"/>
                          </w:rPr>
                        </w:pPr>
                        <w:r>
                          <w:rPr>
                            <w:sz w:val="22"/>
                            <w:szCs w:val="22"/>
                          </w:rPr>
                          <w:t>Radviliškio r. Šeduvos gimnazija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1 155,00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5.</w:t>
                        </w:r>
                      </w:p>
                    </w:tc>
                    <w:tc>
                      <w:tcPr>
                        <w:tcW w:w="2689" w:type="dxa"/>
                        <w:tcBorders>
                          <w:top w:val="single" w:sz="4" w:space="0" w:color="auto"/>
                          <w:bottom w:val="nil"/>
                        </w:tcBorders>
                      </w:tcPr>
                      <w:p>
                        <w:pPr>
                          <w:spacing w:line="254" w:lineRule="auto"/>
                          <w:rPr>
                            <w:sz w:val="22"/>
                            <w:szCs w:val="22"/>
                          </w:rPr>
                        </w:pPr>
                        <w:r>
                          <w:rPr>
                            <w:sz w:val="22"/>
                            <w:szCs w:val="22"/>
                          </w:rPr>
                          <w:t>Radviliškio r. Alksniupių pagrindinė mokykla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119,00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6.</w:t>
                        </w:r>
                      </w:p>
                    </w:tc>
                    <w:tc>
                      <w:tcPr>
                        <w:tcW w:w="2689" w:type="dxa"/>
                        <w:tcBorders>
                          <w:top w:val="single" w:sz="4" w:space="0" w:color="auto"/>
                          <w:bottom w:val="nil"/>
                        </w:tcBorders>
                      </w:tcPr>
                      <w:p>
                        <w:pPr>
                          <w:spacing w:line="254" w:lineRule="auto"/>
                          <w:rPr>
                            <w:sz w:val="22"/>
                            <w:szCs w:val="22"/>
                          </w:rPr>
                        </w:pPr>
                        <w:r>
                          <w:rPr>
                            <w:sz w:val="22"/>
                            <w:szCs w:val="22"/>
                          </w:rPr>
                          <w:t>Radviliškio r. Sidabravo pagrindinė mokykla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287,00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7.</w:t>
                        </w:r>
                      </w:p>
                    </w:tc>
                    <w:tc>
                      <w:tcPr>
                        <w:tcW w:w="2689" w:type="dxa"/>
                        <w:tcBorders>
                          <w:top w:val="single" w:sz="4" w:space="0" w:color="auto"/>
                          <w:bottom w:val="nil"/>
                        </w:tcBorders>
                      </w:tcPr>
                      <w:p>
                        <w:pPr>
                          <w:spacing w:line="254" w:lineRule="auto"/>
                          <w:rPr>
                            <w:sz w:val="22"/>
                            <w:szCs w:val="22"/>
                          </w:rPr>
                        </w:pPr>
                        <w:r>
                          <w:rPr>
                            <w:sz w:val="22"/>
                            <w:szCs w:val="22"/>
                          </w:rPr>
                          <w:t>Radviliškio r. Baisogalos gimnazija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102,00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8.</w:t>
                        </w:r>
                      </w:p>
                    </w:tc>
                    <w:tc>
                      <w:tcPr>
                        <w:tcW w:w="2689" w:type="dxa"/>
                        <w:tcBorders>
                          <w:top w:val="single" w:sz="4" w:space="0" w:color="auto"/>
                          <w:bottom w:val="nil"/>
                        </w:tcBorders>
                      </w:tcPr>
                      <w:p>
                        <w:pPr>
                          <w:spacing w:line="254" w:lineRule="auto"/>
                          <w:rPr>
                            <w:sz w:val="22"/>
                            <w:szCs w:val="22"/>
                          </w:rPr>
                        </w:pPr>
                        <w:r>
                          <w:rPr>
                            <w:sz w:val="22"/>
                            <w:szCs w:val="22"/>
                          </w:rPr>
                          <w:t>Radviliškio Vaižganto progimnazija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2 604,00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9.</w:t>
                        </w:r>
                      </w:p>
                    </w:tc>
                    <w:tc>
                      <w:tcPr>
                        <w:tcW w:w="2689" w:type="dxa"/>
                        <w:tcBorders>
                          <w:top w:val="single" w:sz="4" w:space="0" w:color="auto"/>
                          <w:bottom w:val="nil"/>
                        </w:tcBorders>
                      </w:tcPr>
                      <w:p>
                        <w:pPr>
                          <w:spacing w:line="254" w:lineRule="auto"/>
                          <w:rPr>
                            <w:sz w:val="22"/>
                            <w:szCs w:val="22"/>
                          </w:rPr>
                        </w:pPr>
                        <w:r>
                          <w:rPr>
                            <w:sz w:val="22"/>
                            <w:szCs w:val="22"/>
                          </w:rPr>
                          <w:t>Radviliškio r. Šiaulėnų Marcelino Šikšnio gimnazija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280,00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10.</w:t>
                        </w:r>
                      </w:p>
                    </w:tc>
                    <w:tc>
                      <w:tcPr>
                        <w:tcW w:w="2689" w:type="dxa"/>
                        <w:tcBorders>
                          <w:top w:val="single" w:sz="4" w:space="0" w:color="auto"/>
                          <w:bottom w:val="nil"/>
                        </w:tcBorders>
                      </w:tcPr>
                      <w:p>
                        <w:pPr>
                          <w:spacing w:line="254" w:lineRule="auto"/>
                          <w:rPr>
                            <w:sz w:val="22"/>
                            <w:szCs w:val="22"/>
                          </w:rPr>
                        </w:pPr>
                        <w:r>
                          <w:rPr>
                            <w:sz w:val="22"/>
                            <w:szCs w:val="22"/>
                          </w:rPr>
                          <w:t>Radviliškio r. Baisogalos mokykla-darželis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854,00</w:t>
                        </w:r>
                      </w:p>
                    </w:tc>
                  </w:tr>
                  <w:tr>
                    <w:trPr>
                      <w:trHeight w:val="606"/>
                    </w:trPr>
                    <w:tc>
                      <w:tcPr>
                        <w:tcW w:w="567" w:type="dxa"/>
                        <w:tcBorders>
                          <w:top w:val="single" w:sz="4" w:space="0" w:color="auto"/>
                          <w:bottom w:val="nil"/>
                        </w:tcBorders>
                      </w:tcPr>
                      <w:p>
                        <w:pPr>
                          <w:spacing w:line="254" w:lineRule="auto"/>
                          <w:jc w:val="both"/>
                          <w:rPr>
                            <w:sz w:val="22"/>
                            <w:szCs w:val="22"/>
                          </w:rPr>
                        </w:pPr>
                        <w:r>
                          <w:rPr>
                            <w:sz w:val="22"/>
                            <w:szCs w:val="22"/>
                          </w:rPr>
                          <w:t>11.</w:t>
                        </w:r>
                      </w:p>
                    </w:tc>
                    <w:tc>
                      <w:tcPr>
                        <w:tcW w:w="2689" w:type="dxa"/>
                        <w:tcBorders>
                          <w:top w:val="single" w:sz="4" w:space="0" w:color="auto"/>
                          <w:bottom w:val="nil"/>
                        </w:tcBorders>
                      </w:tcPr>
                      <w:p>
                        <w:pPr>
                          <w:spacing w:line="254" w:lineRule="auto"/>
                          <w:rPr>
                            <w:sz w:val="22"/>
                            <w:szCs w:val="22"/>
                          </w:rPr>
                        </w:pPr>
                        <w:r>
                          <w:rPr>
                            <w:sz w:val="22"/>
                            <w:szCs w:val="22"/>
                          </w:rPr>
                          <w:t>Radviliškio Gražinos pagrindinė mokykla</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Mokymo priemonėms</w:t>
                        </w:r>
                      </w:p>
                    </w:tc>
                    <w:tc>
                      <w:tcPr>
                        <w:tcW w:w="1842" w:type="dxa"/>
                      </w:tcPr>
                      <w:p>
                        <w:pPr>
                          <w:spacing w:line="254" w:lineRule="auto"/>
                          <w:ind w:right="315"/>
                          <w:jc w:val="center"/>
                          <w:rPr>
                            <w:sz w:val="22"/>
                            <w:szCs w:val="22"/>
                          </w:rPr>
                        </w:pPr>
                        <w:r>
                          <w:rPr>
                            <w:sz w:val="22"/>
                            <w:szCs w:val="22"/>
                          </w:rPr>
                          <w:t>1 302,00</w:t>
                        </w:r>
                      </w:p>
                    </w:tc>
                  </w:tr>
                  <w:tr>
                    <w:trPr>
                      <w:trHeight w:val="606"/>
                    </w:trPr>
                    <w:tc>
                      <w:tcPr>
                        <w:tcW w:w="567" w:type="dxa"/>
                        <w:tcBorders>
                          <w:top w:val="single" w:sz="4" w:space="0" w:color="auto"/>
                          <w:bottom w:val="nil"/>
                        </w:tcBorders>
                      </w:tcPr>
                      <w:p>
                        <w:pPr>
                          <w:spacing w:line="254" w:lineRule="auto"/>
                          <w:jc w:val="both"/>
                          <w:rPr>
                            <w:sz w:val="22"/>
                            <w:szCs w:val="22"/>
                          </w:rPr>
                        </w:pPr>
                      </w:p>
                      <w:p>
                        <w:pPr>
                          <w:spacing w:line="254" w:lineRule="auto"/>
                          <w:jc w:val="both"/>
                          <w:rPr>
                            <w:sz w:val="22"/>
                            <w:szCs w:val="22"/>
                          </w:rPr>
                        </w:pPr>
                      </w:p>
                      <w:p>
                        <w:pPr>
                          <w:spacing w:line="254" w:lineRule="auto"/>
                          <w:jc w:val="both"/>
                          <w:rPr>
                            <w:sz w:val="22"/>
                            <w:szCs w:val="22"/>
                          </w:rPr>
                        </w:pPr>
                        <w:r>
                          <w:rPr>
                            <w:sz w:val="22"/>
                            <w:szCs w:val="22"/>
                          </w:rPr>
                          <w:t>12.</w:t>
                        </w:r>
                      </w:p>
                    </w:tc>
                    <w:tc>
                      <w:tcPr>
                        <w:tcW w:w="2689" w:type="dxa"/>
                        <w:tcBorders>
                          <w:top w:val="single" w:sz="4" w:space="0" w:color="auto"/>
                          <w:bottom w:val="nil"/>
                        </w:tcBorders>
                      </w:tcPr>
                      <w:p>
                        <w:pPr>
                          <w:spacing w:line="254" w:lineRule="auto"/>
                          <w:rPr>
                            <w:sz w:val="22"/>
                            <w:szCs w:val="22"/>
                          </w:rPr>
                        </w:pPr>
                      </w:p>
                      <w:p>
                        <w:pPr>
                          <w:spacing w:line="254" w:lineRule="auto"/>
                          <w:rPr>
                            <w:sz w:val="22"/>
                            <w:szCs w:val="22"/>
                          </w:rPr>
                        </w:pPr>
                        <w:r>
                          <w:rPr>
                            <w:sz w:val="22"/>
                            <w:szCs w:val="22"/>
                          </w:rPr>
                          <w:t>Radviliškio dailės mokykla (SB)</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 xml:space="preserve">Veiklos organizavimas </w:t>
                        </w:r>
                      </w:p>
                    </w:tc>
                    <w:tc>
                      <w:tcPr>
                        <w:tcW w:w="1842" w:type="dxa"/>
                      </w:tcPr>
                      <w:p>
                        <w:pPr>
                          <w:spacing w:line="254" w:lineRule="auto"/>
                          <w:ind w:right="315"/>
                          <w:jc w:val="center"/>
                          <w:rPr>
                            <w:sz w:val="22"/>
                            <w:szCs w:val="22"/>
                          </w:rPr>
                        </w:pPr>
                        <w:r>
                          <w:rPr>
                            <w:sz w:val="22"/>
                            <w:szCs w:val="22"/>
                          </w:rPr>
                          <w:t>-262 902,91</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Soc. paramos išmokos mokinių pavėžėjimui</w:t>
                        </w:r>
                      </w:p>
                    </w:tc>
                    <w:tc>
                      <w:tcPr>
                        <w:tcW w:w="1842" w:type="dxa"/>
                      </w:tcPr>
                      <w:p>
                        <w:pPr>
                          <w:spacing w:line="254" w:lineRule="auto"/>
                          <w:ind w:right="315"/>
                          <w:jc w:val="center"/>
                          <w:rPr>
                            <w:sz w:val="22"/>
                            <w:szCs w:val="22"/>
                          </w:rPr>
                        </w:pPr>
                        <w:r>
                          <w:rPr>
                            <w:sz w:val="22"/>
                            <w:szCs w:val="22"/>
                          </w:rPr>
                          <w:t>-638,51</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dailės mokykla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-15 362,18</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dailės mokykla (VB)</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-8 646,83</w:t>
                        </w:r>
                      </w:p>
                    </w:tc>
                  </w:tr>
                  <w:tr>
                    <w:trPr>
                      <w:trHeight w:val="615"/>
                    </w:trPr>
                    <w:tc>
                      <w:tcPr>
                        <w:tcW w:w="567" w:type="dxa"/>
                        <w:tcBorders>
                          <w:top w:val="nil"/>
                          <w:bottom w:val="single" w:sz="4" w:space="0" w:color="auto"/>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dailės mokykla (SP)</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-31 116,43</w:t>
                        </w:r>
                      </w:p>
                    </w:tc>
                  </w:tr>
                  <w:tr>
                    <w:trPr>
                      <w:trHeight w:val="686"/>
                    </w:trPr>
                    <w:tc>
                      <w:tcPr>
                        <w:tcW w:w="567" w:type="dxa"/>
                        <w:tcBorders>
                          <w:top w:val="single" w:sz="4" w:space="0" w:color="auto"/>
                          <w:bottom w:val="nil"/>
                        </w:tcBorders>
                      </w:tcPr>
                      <w:p>
                        <w:pPr>
                          <w:spacing w:line="254" w:lineRule="auto"/>
                          <w:jc w:val="both"/>
                          <w:rPr>
                            <w:sz w:val="22"/>
                            <w:szCs w:val="22"/>
                          </w:rPr>
                        </w:pPr>
                        <w:r>
                          <w:rPr>
                            <w:sz w:val="22"/>
                            <w:szCs w:val="22"/>
                          </w:rPr>
                          <w:t>13.</w:t>
                        </w:r>
                      </w:p>
                    </w:tc>
                    <w:tc>
                      <w:tcPr>
                        <w:tcW w:w="2689" w:type="dxa"/>
                        <w:tcBorders>
                          <w:top w:val="single" w:sz="4" w:space="0" w:color="auto"/>
                          <w:bottom w:val="nil"/>
                        </w:tcBorders>
                      </w:tcPr>
                      <w:p>
                        <w:pPr>
                          <w:spacing w:line="254" w:lineRule="auto"/>
                          <w:rPr>
                            <w:sz w:val="22"/>
                            <w:szCs w:val="22"/>
                          </w:rPr>
                        </w:pPr>
                        <w:r>
                          <w:rPr>
                            <w:sz w:val="22"/>
                            <w:szCs w:val="22"/>
                          </w:rPr>
                          <w:t>Radviliškio meno mokykla (SB)</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262 902,91</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nil"/>
                          <w:bottom w:val="single" w:sz="4" w:space="0" w:color="auto"/>
                        </w:tcBorders>
                      </w:tcPr>
                      <w:p>
                        <w:pPr>
                          <w:spacing w:line="254" w:lineRule="auto"/>
                          <w:rPr>
                            <w:sz w:val="22"/>
                            <w:szCs w:val="22"/>
                          </w:rPr>
                        </w:pP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Soc. paramos išmokos mokinių pavėžėjimui</w:t>
                        </w:r>
                      </w:p>
                    </w:tc>
                    <w:tc>
                      <w:tcPr>
                        <w:tcW w:w="1842" w:type="dxa"/>
                      </w:tcPr>
                      <w:p>
                        <w:pPr>
                          <w:spacing w:line="254" w:lineRule="auto"/>
                          <w:ind w:right="315"/>
                          <w:jc w:val="center"/>
                          <w:rPr>
                            <w:sz w:val="22"/>
                            <w:szCs w:val="22"/>
                          </w:rPr>
                        </w:pPr>
                        <w:r>
                          <w:rPr>
                            <w:sz w:val="22"/>
                            <w:szCs w:val="22"/>
                          </w:rPr>
                          <w:t>638,51</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meno mokykla (MK)</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15 362,18</w:t>
                        </w:r>
                      </w:p>
                    </w:tc>
                  </w:tr>
                  <w:tr>
                    <w:trPr>
                      <w:trHeight w:val="615"/>
                    </w:trPr>
                    <w:tc>
                      <w:tcPr>
                        <w:tcW w:w="567" w:type="dxa"/>
                        <w:tcBorders>
                          <w:top w:val="nil"/>
                          <w:bottom w:val="nil"/>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meno mokykla (VB)</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8 646,83</w:t>
                        </w:r>
                      </w:p>
                    </w:tc>
                  </w:tr>
                  <w:tr>
                    <w:trPr>
                      <w:trHeight w:val="615"/>
                    </w:trPr>
                    <w:tc>
                      <w:tcPr>
                        <w:tcW w:w="567" w:type="dxa"/>
                        <w:tcBorders>
                          <w:top w:val="nil"/>
                          <w:bottom w:val="single" w:sz="4" w:space="0" w:color="auto"/>
                        </w:tcBorders>
                      </w:tcPr>
                      <w:p>
                        <w:pPr>
                          <w:spacing w:line="254" w:lineRule="auto"/>
                          <w:jc w:val="both"/>
                          <w:rPr>
                            <w:sz w:val="22"/>
                            <w:szCs w:val="22"/>
                          </w:rPr>
                        </w:pP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meno mokykla (SP)</w:t>
                        </w:r>
                      </w:p>
                    </w:tc>
                    <w:tc>
                      <w:tcPr>
                        <w:tcW w:w="708" w:type="dxa"/>
                      </w:tcPr>
                      <w:p>
                        <w:pPr>
                          <w:spacing w:line="254" w:lineRule="auto"/>
                          <w:jc w:val="both"/>
                          <w:rPr>
                            <w:sz w:val="22"/>
                            <w:szCs w:val="22"/>
                          </w:rPr>
                        </w:pPr>
                        <w:r>
                          <w:rPr>
                            <w:sz w:val="22"/>
                            <w:szCs w:val="22"/>
                          </w:rPr>
                          <w:t>02</w:t>
                        </w:r>
                      </w:p>
                    </w:tc>
                    <w:tc>
                      <w:tcPr>
                        <w:tcW w:w="993" w:type="dxa"/>
                      </w:tcPr>
                      <w:p>
                        <w:pPr>
                          <w:spacing w:line="254" w:lineRule="auto"/>
                          <w:jc w:val="both"/>
                          <w:rPr>
                            <w:sz w:val="22"/>
                            <w:szCs w:val="22"/>
                          </w:rPr>
                        </w:pPr>
                        <w:r>
                          <w:rPr>
                            <w:sz w:val="22"/>
                            <w:szCs w:val="22"/>
                          </w:rPr>
                          <w:t>09</w:t>
                        </w:r>
                      </w:p>
                    </w:tc>
                    <w:tc>
                      <w:tcPr>
                        <w:tcW w:w="2835" w:type="dxa"/>
                      </w:tcPr>
                      <w:p>
                        <w:pPr>
                          <w:spacing w:line="254" w:lineRule="auto"/>
                          <w:rPr>
                            <w:sz w:val="22"/>
                            <w:szCs w:val="22"/>
                          </w:rPr>
                        </w:pPr>
                        <w:r>
                          <w:rPr>
                            <w:sz w:val="22"/>
                            <w:szCs w:val="22"/>
                          </w:rPr>
                          <w:t>Veiklos organizavimas</w:t>
                        </w:r>
                      </w:p>
                    </w:tc>
                    <w:tc>
                      <w:tcPr>
                        <w:tcW w:w="1842" w:type="dxa"/>
                      </w:tcPr>
                      <w:p>
                        <w:pPr>
                          <w:spacing w:line="254" w:lineRule="auto"/>
                          <w:ind w:right="315"/>
                          <w:jc w:val="center"/>
                          <w:rPr>
                            <w:sz w:val="22"/>
                            <w:szCs w:val="22"/>
                          </w:rPr>
                        </w:pPr>
                        <w:r>
                          <w:rPr>
                            <w:sz w:val="22"/>
                            <w:szCs w:val="22"/>
                          </w:rPr>
                          <w:t>31 116,43</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14.</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administracijos Socialinės paramos skyrius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 xml:space="preserve">Užimtumo didinimo programa </w:t>
                        </w:r>
                      </w:p>
                    </w:tc>
                    <w:tc>
                      <w:tcPr>
                        <w:tcW w:w="1842" w:type="dxa"/>
                      </w:tcPr>
                      <w:p>
                        <w:pPr>
                          <w:spacing w:line="254" w:lineRule="auto"/>
                          <w:ind w:right="315"/>
                          <w:jc w:val="center"/>
                          <w:rPr>
                            <w:sz w:val="22"/>
                            <w:szCs w:val="22"/>
                          </w:rPr>
                        </w:pPr>
                        <w:r>
                          <w:rPr>
                            <w:sz w:val="22"/>
                            <w:szCs w:val="22"/>
                          </w:rPr>
                          <w:t>-44 550,00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15.</w:t>
                        </w:r>
                      </w:p>
                    </w:tc>
                    <w:tc>
                      <w:tcPr>
                        <w:tcW w:w="2689" w:type="dxa"/>
                        <w:tcBorders>
                          <w:top w:val="single" w:sz="4" w:space="0" w:color="auto"/>
                          <w:bottom w:val="single" w:sz="4" w:space="0" w:color="auto"/>
                        </w:tcBorders>
                      </w:tcPr>
                      <w:p>
                        <w:pPr>
                          <w:spacing w:line="254" w:lineRule="auto"/>
                          <w:rPr>
                            <w:sz w:val="22"/>
                            <w:szCs w:val="22"/>
                          </w:rPr>
                        </w:pPr>
                        <w:r>
                          <w:rPr>
                            <w:sz w:val="22"/>
                            <w:szCs w:val="22"/>
                          </w:rPr>
                          <w:t>Radviliškio rajono savivaldybės administracija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Darbo rinkos politikos organizavimas seniūnijose</w:t>
                        </w:r>
                      </w:p>
                    </w:tc>
                    <w:tc>
                      <w:tcPr>
                        <w:tcW w:w="1842" w:type="dxa"/>
                      </w:tcPr>
                      <w:p>
                        <w:pPr>
                          <w:spacing w:line="254" w:lineRule="auto"/>
                          <w:ind w:right="315"/>
                          <w:jc w:val="center"/>
                          <w:rPr>
                            <w:sz w:val="22"/>
                            <w:szCs w:val="22"/>
                          </w:rPr>
                        </w:pPr>
                        <w:r>
                          <w:rPr>
                            <w:sz w:val="22"/>
                            <w:szCs w:val="22"/>
                          </w:rPr>
                          <w:t>39 900,00</w:t>
                        </w:r>
                      </w:p>
                    </w:tc>
                  </w:tr>
                  <w:tr>
                    <w:trPr>
                      <w:trHeight w:val="615"/>
                    </w:trPr>
                    <w:tc>
                      <w:tcPr>
                        <w:tcW w:w="567" w:type="dxa"/>
                        <w:tcBorders>
                          <w:top w:val="single" w:sz="4" w:space="0" w:color="auto"/>
                          <w:bottom w:val="single" w:sz="4" w:space="0" w:color="auto"/>
                        </w:tcBorders>
                      </w:tcPr>
                      <w:p>
                        <w:pPr>
                          <w:spacing w:line="254" w:lineRule="auto"/>
                          <w:jc w:val="both"/>
                          <w:rPr>
                            <w:sz w:val="22"/>
                            <w:szCs w:val="22"/>
                          </w:rPr>
                        </w:pPr>
                        <w:r>
                          <w:rPr>
                            <w:sz w:val="22"/>
                            <w:szCs w:val="22"/>
                          </w:rPr>
                          <w:t>16.</w:t>
                        </w:r>
                      </w:p>
                    </w:tc>
                    <w:tc>
                      <w:tcPr>
                        <w:tcW w:w="2689" w:type="dxa"/>
                        <w:tcBorders>
                          <w:top w:val="single" w:sz="4" w:space="0" w:color="auto"/>
                          <w:bottom w:val="single" w:sz="4" w:space="0" w:color="auto"/>
                        </w:tcBorders>
                      </w:tcPr>
                      <w:p>
                        <w:pPr>
                          <w:spacing w:line="254" w:lineRule="auto"/>
                          <w:rPr>
                            <w:sz w:val="22"/>
                            <w:szCs w:val="22"/>
                          </w:rPr>
                        </w:pPr>
                        <w:r>
                          <w:rPr>
                            <w:sz w:val="22"/>
                            <w:szCs w:val="22"/>
                          </w:rPr>
                          <w:t>Daugyvenės kultūros istorijos muziejus-draustinis (VB)</w:t>
                        </w:r>
                      </w:p>
                    </w:tc>
                    <w:tc>
                      <w:tcPr>
                        <w:tcW w:w="708" w:type="dxa"/>
                      </w:tcPr>
                      <w:p>
                        <w:pPr>
                          <w:spacing w:line="254" w:lineRule="auto"/>
                          <w:jc w:val="both"/>
                          <w:rPr>
                            <w:sz w:val="22"/>
                            <w:szCs w:val="22"/>
                          </w:rPr>
                        </w:pPr>
                        <w:r>
                          <w:rPr>
                            <w:sz w:val="22"/>
                            <w:szCs w:val="22"/>
                          </w:rPr>
                          <w:t>03</w:t>
                        </w:r>
                      </w:p>
                    </w:tc>
                    <w:tc>
                      <w:tcPr>
                        <w:tcW w:w="993" w:type="dxa"/>
                      </w:tcPr>
                      <w:p>
                        <w:pPr>
                          <w:spacing w:line="254" w:lineRule="auto"/>
                          <w:jc w:val="both"/>
                          <w:rPr>
                            <w:sz w:val="22"/>
                            <w:szCs w:val="22"/>
                          </w:rPr>
                        </w:pPr>
                        <w:r>
                          <w:rPr>
                            <w:sz w:val="22"/>
                            <w:szCs w:val="22"/>
                          </w:rPr>
                          <w:t>10</w:t>
                        </w:r>
                      </w:p>
                    </w:tc>
                    <w:tc>
                      <w:tcPr>
                        <w:tcW w:w="2835" w:type="dxa"/>
                      </w:tcPr>
                      <w:p>
                        <w:pPr>
                          <w:spacing w:line="254" w:lineRule="auto"/>
                          <w:rPr>
                            <w:sz w:val="22"/>
                            <w:szCs w:val="22"/>
                          </w:rPr>
                        </w:pPr>
                        <w:r>
                          <w:rPr>
                            <w:sz w:val="22"/>
                            <w:szCs w:val="22"/>
                          </w:rPr>
                          <w:t>Užimtumo didinimo programa</w:t>
                        </w:r>
                      </w:p>
                    </w:tc>
                    <w:tc>
                      <w:tcPr>
                        <w:tcW w:w="1842" w:type="dxa"/>
                      </w:tcPr>
                      <w:p>
                        <w:pPr>
                          <w:spacing w:line="254" w:lineRule="auto"/>
                          <w:ind w:right="315"/>
                          <w:jc w:val="center"/>
                          <w:rPr>
                            <w:sz w:val="22"/>
                            <w:szCs w:val="22"/>
                          </w:rPr>
                        </w:pPr>
                        <w:r>
                          <w:rPr>
                            <w:sz w:val="22"/>
                            <w:szCs w:val="22"/>
                          </w:rPr>
                          <w:t>4 650,00</w:t>
                        </w:r>
                      </w:p>
                    </w:tc>
                  </w:tr>
                </w:tbl>
                <w:p>
                  <w:pPr>
                    <w:tabs>
                      <w:tab w:val="left" w:pos="0"/>
                    </w:tabs>
                    <w:spacing w:line="254" w:lineRule="auto"/>
                    <w:ind w:firstLine="709"/>
                    <w:jc w:val="both"/>
                    <w:rPr>
                      <w:bCs/>
                      <w:szCs w:val="24"/>
                      <w:shd w:val="clear" w:color="auto" w:fill="FFFFFF"/>
                    </w:rPr>
                  </w:pPr>
                </w:p>
                <w:p>
                  <w:pPr>
                    <w:rPr>
                      <w:sz w:val="14"/>
                      <w:szCs w:val="14"/>
                    </w:rPr>
                  </w:pPr>
                </w:p>
              </w:sdtContent>
            </w:sdt>
            <w:sdt>
              <w:sdtPr>
                <w:alias w:val="12 p."/>
                <w:tag w:val="part_5c762a981cf84a6aa50486bf311afb12"/>
                <w:lock w:val="sdtLocked"/>
                <w:richText/>
              </w:sdtPr>
              <w:sdtContent>
                <w:p>
                  <w:pPr>
                    <w:tabs>
                      <w:tab w:val="left" w:pos="0"/>
                    </w:tabs>
                    <w:spacing w:line="254" w:lineRule="auto"/>
                    <w:ind w:firstLine="709"/>
                    <w:jc w:val="both"/>
                    <w:rPr>
                      <w:b/>
                      <w:szCs w:val="24"/>
                      <w:shd w:val="clear" w:color="auto" w:fill="FFFFFF"/>
                    </w:rPr>
                  </w:pPr>
                  <w:sdt>
                    <w:sdtPr>
                      <w:alias w:val="Numeris"/>
                      <w:tag w:val="nr_5c762a981cf84a6aa50486bf311afb12"/>
                      <w:lock w:val="sdtLocked"/>
                      <w:richText/>
                    </w:sdtPr>
                    <w:sdtContent>
                      <w:r>
                        <w:rPr>
                          <w:b/>
                          <w:szCs w:val="24"/>
                          <w:shd w:val="clear" w:color="auto" w:fill="FFFFFF"/>
                        </w:rPr>
                        <w:t>12</w:t>
                      </w:r>
                    </w:sdtContent>
                  </w:sdt>
                  <w:r>
                    <w:rPr>
                      <w:b/>
                      <w:szCs w:val="24"/>
                      <w:shd w:val="clear" w:color="auto" w:fill="FFFFFF"/>
                    </w:rPr>
                    <w:t>. Pridedami dokumentai.</w:t>
                  </w:r>
                </w:p>
                <w:p>
                  <w:pPr>
                    <w:rPr>
                      <w:sz w:val="14"/>
                      <w:szCs w:val="14"/>
                    </w:rPr>
                  </w:pPr>
                </w:p>
              </w:sdtContent>
            </w:sdt>
          </w:sdtContent>
        </w:sdt>
        <w:sdt>
          <w:sdtPr>
            <w:alias w:val="skirsnis"/>
            <w:tag w:val="part_f7caee3f34f941e8a4e383dd862e2b59"/>
            <w:lock w:val="sdtLocked"/>
            <w:richText/>
          </w:sdtPr>
          <w:sdtContent>
            <w:p>
              <w:pPr>
                <w:tabs>
                  <w:tab w:val="left" w:pos="0"/>
                </w:tabs>
                <w:spacing w:line="254" w:lineRule="auto"/>
                <w:ind w:firstLine="771"/>
                <w:jc w:val="both"/>
                <w:rPr>
                  <w:b/>
                  <w:szCs w:val="24"/>
                  <w:shd w:val="clear" w:color="auto" w:fill="FFFFFF"/>
                </w:rPr>
              </w:pPr>
              <w:sdt>
                <w:sdtPr>
                  <w:alias w:val="Pavadinimas"/>
                  <w:tag w:val="title_f7caee3f34f941e8a4e383dd862e2b59"/>
                  <w:lock w:val="sdtLocked"/>
                  <w:richText/>
                </w:sdtPr>
                <w:sdtContent>
                  <w:r>
                    <w:rPr>
                      <w:b/>
                      <w:szCs w:val="24"/>
                      <w:shd w:val="clear" w:color="auto" w:fill="FFFFFF"/>
                    </w:rPr>
                    <w:t xml:space="preserve">Lyginamasis variantas. </w:t>
                  </w:r>
                </w:sdtContent>
              </w:sdt>
            </w:p>
            <w:p>
              <w:pPr>
                <w:rPr>
                  <w:sz w:val="14"/>
                  <w:szCs w:val="14"/>
                </w:rPr>
              </w:pPr>
            </w:p>
            <w:p>
              <w:pPr>
                <w:tabs>
                  <w:tab w:val="left" w:pos="0"/>
                </w:tabs>
                <w:spacing w:line="254" w:lineRule="auto"/>
                <w:ind w:firstLine="709"/>
                <w:jc w:val="both"/>
                <w:rPr>
                  <w:b/>
                  <w:szCs w:val="24"/>
                  <w:shd w:val="clear" w:color="auto" w:fill="FFFFFF"/>
                </w:rPr>
              </w:pPr>
              <w:r>
                <w:rPr>
                  <w:bCs/>
                  <w:szCs w:val="24"/>
                  <w:shd w:val="clear" w:color="auto" w:fill="FFFFFF"/>
                </w:rPr>
                <w:t>Pajamų pokytis</w:t>
              </w:r>
              <w:r>
                <w:rPr>
                  <w:b/>
                  <w:szCs w:val="24"/>
                  <w:shd w:val="clear" w:color="auto" w:fill="FFFFFF"/>
                </w:rPr>
                <w:t>:</w:t>
              </w:r>
            </w:p>
            <w:p>
              <w:pPr>
                <w:rPr>
                  <w:sz w:val="14"/>
                  <w:szCs w:val="14"/>
                </w:rPr>
              </w:pPr>
            </w:p>
            <w:tbl>
              <w:tblPr>
                <w:tblW w:w="9776" w:type="dxa"/>
                <w:tblLayout w:type="fixed"/>
                <w:tblLook w:val="04A0" w:firstRow="1" w:lastRow="0" w:firstColumn="1" w:lastColumn="0" w:noHBand="0" w:noVBand="1"/>
              </w:tblPr>
              <w:tblGrid>
                <w:gridCol w:w="704"/>
                <w:gridCol w:w="4330"/>
                <w:gridCol w:w="1481"/>
                <w:gridCol w:w="1480"/>
                <w:gridCol w:w="1781"/>
              </w:tblGrid>
              <w:tr>
                <w:trPr>
                  <w:cantSplit/>
                  <w:trHeight w:val="928"/>
                  <w:tblHeader/>
                </w:trPr>
                <w:tc>
                  <w:tcPr>
                    <w:tcW w:w="704"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Eil. Nr.</w:t>
                    </w:r>
                  </w:p>
                </w:tc>
                <w:tc>
                  <w:tcPr>
                    <w:tcW w:w="4330"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Pajamos</w:t>
                    </w:r>
                  </w:p>
                </w:tc>
                <w:tc>
                  <w:tcPr>
                    <w:tcW w:w="14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patvirtinta </w:t>
                    </w:r>
                  </w:p>
                </w:tc>
                <w:tc>
                  <w:tcPr>
                    <w:tcW w:w="1480"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 Didinama     (-) Mažinama    </w:t>
                    </w:r>
                  </w:p>
                </w:tc>
                <w:tc>
                  <w:tcPr>
                    <w:tcW w:w="1781"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Tvirtinama</w:t>
                    </w:r>
                  </w:p>
                  <w:p>
                    <w:pPr>
                      <w:jc w:val="center"/>
                      <w:rPr>
                        <w:b/>
                        <w:bCs/>
                        <w:color w:val="000000"/>
                        <w:sz w:val="18"/>
                        <w:szCs w:val="18"/>
                      </w:rPr>
                    </w:pPr>
                    <w:r>
                      <w:rPr>
                        <w:b/>
                        <w:bCs/>
                        <w:color w:val="000000"/>
                        <w:sz w:val="18"/>
                        <w:szCs w:val="18"/>
                      </w:rPr>
                      <w:t>naujai</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10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rinkliavos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40 000,00 €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60 000,00 €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21</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Socialinėms paslaugoms teikti</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2 907 000,00 €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-38 600,00 €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2 868 400,00 €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44</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Akredituotai socialinei reabilitacijai neįgaliesiems bendruomenėje</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76 421,00 €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-225,00 €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76 196,00 €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Asmenų su negalia reikalų koordinavimo funkcija</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24 419,00 €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14 419,00 €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Projektas „Tūkstantmečio mokyklos II“ iš ES ir VB lėšų</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616 544,40 €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334 220,94 €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950 765,00 €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Valstybės biudžeto lėšos susijusios su užsieniečiais, pasitraukusiais iš Ukrainos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29 087,00 €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23 667,00 €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52 754,00 €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62</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Projekto „Atviros ekosistemos atsiskaitymams negrynaisiais pinigais bendrojo ugdymo įstaigų valgyklose kūrimas“ finansavimas</w:t>
                    </w:r>
                    <w:r>
                      <w:rPr>
                        <w:sz w:val="22"/>
                        <w:szCs w:val="22"/>
                      </w:rPr>
                      <w:t xml:space="preserve"> </w:t>
                    </w:r>
                    <w:r>
                      <w:rPr>
                        <w:sz w:val="18"/>
                        <w:szCs w:val="18"/>
                      </w:rPr>
                      <w:t>iš ES ir VB lėšų</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17 390,51 €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17 390,51 €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70</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Mokesčiai už valstybinius gamtos išteklius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60 000,00 €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10 000,00 €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70 000,00 €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75</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Pajamos už teikiamas paslaugas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1 228 131,00 €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50 000,00 €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1 278 131,00 €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r>
                      <w:rPr>
                        <w:sz w:val="20"/>
                      </w:rPr>
                      <w:t>78</w:t>
                    </w:r>
                  </w:p>
                </w:tc>
                <w:tc>
                  <w:tcPr>
                    <w:tcW w:w="4330" w:type="dxa"/>
                    <w:tcBorders>
                      <w:top w:val="single" w:sz="4" w:space="0" w:color="auto"/>
                      <w:left w:val="nil"/>
                      <w:bottom w:val="single" w:sz="4" w:space="0" w:color="auto"/>
                      <w:right w:val="single" w:sz="4" w:space="0" w:color="auto"/>
                    </w:tcBorders>
                  </w:tcPr>
                  <w:p>
                    <w:pPr>
                      <w:rPr>
                        <w:sz w:val="18"/>
                        <w:szCs w:val="18"/>
                      </w:rPr>
                    </w:pPr>
                    <w:r>
                      <w:rPr>
                        <w:sz w:val="18"/>
                        <w:szCs w:val="18"/>
                      </w:rPr>
                      <w:t>Vietinės rinkliavos</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15 000,00 €</w:t>
                    </w: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20 000,00 €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r>
                      <w:rPr>
                        <w:sz w:val="18"/>
                        <w:szCs w:val="18"/>
                      </w:rPr>
                      <w:t>35 000,00 €</w:t>
                    </w:r>
                  </w:p>
                </w:tc>
              </w:tr>
              <w:tr>
                <w:trPr>
                  <w:trHeight w:val="492"/>
                </w:trPr>
                <w:tc>
                  <w:tcPr>
                    <w:tcW w:w="704" w:type="dxa"/>
                    <w:tcBorders>
                      <w:top w:val="single" w:sz="4" w:space="0" w:color="auto"/>
                      <w:left w:val="single" w:sz="4" w:space="0" w:color="auto"/>
                      <w:bottom w:val="single" w:sz="4" w:space="0" w:color="auto"/>
                      <w:right w:val="single" w:sz="4" w:space="0" w:color="auto"/>
                    </w:tcBorders>
                  </w:tcPr>
                  <w:p>
                    <w:pPr>
                      <w:jc w:val="center"/>
                      <w:rPr>
                        <w:sz w:val="20"/>
                      </w:rPr>
                    </w:pPr>
                  </w:p>
                </w:tc>
                <w:tc>
                  <w:tcPr>
                    <w:tcW w:w="4330" w:type="dxa"/>
                    <w:tcBorders>
                      <w:top w:val="single" w:sz="4" w:space="0" w:color="auto"/>
                      <w:left w:val="nil"/>
                      <w:bottom w:val="single" w:sz="4" w:space="0" w:color="auto"/>
                      <w:right w:val="single" w:sz="4" w:space="0" w:color="auto"/>
                    </w:tcBorders>
                  </w:tcPr>
                  <w:p>
                    <w:pPr>
                      <w:ind w:firstLine="3792"/>
                      <w:rPr>
                        <w:sz w:val="18"/>
                        <w:szCs w:val="18"/>
                      </w:rPr>
                    </w:pPr>
                    <w:r>
                      <w:rPr>
                        <w:sz w:val="18"/>
                        <w:szCs w:val="18"/>
                      </w:rPr>
                      <w:t>Iš viso:</w:t>
                    </w:r>
                  </w:p>
                </w:tc>
                <w:tc>
                  <w:tcPr>
                    <w:tcW w:w="1481" w:type="dxa"/>
                    <w:tcBorders>
                      <w:top w:val="single" w:sz="4" w:space="0" w:color="auto"/>
                      <w:left w:val="nil"/>
                      <w:bottom w:val="single" w:sz="4" w:space="0" w:color="auto"/>
                      <w:right w:val="single" w:sz="4" w:space="0" w:color="auto"/>
                    </w:tcBorders>
                    <w:noWrap/>
                  </w:tcPr>
                  <w:p>
                    <w:pPr>
                      <w:jc w:val="center"/>
                      <w:rPr>
                        <w:sz w:val="18"/>
                        <w:szCs w:val="18"/>
                      </w:rPr>
                    </w:pPr>
                  </w:p>
                </w:tc>
                <w:tc>
                  <w:tcPr>
                    <w:tcW w:w="1480" w:type="dxa"/>
                    <w:tcBorders>
                      <w:top w:val="single" w:sz="4" w:space="0" w:color="auto"/>
                      <w:left w:val="nil"/>
                      <w:bottom w:val="single" w:sz="4" w:space="0" w:color="auto"/>
                      <w:right w:val="nil"/>
                    </w:tcBorders>
                    <w:noWrap/>
                  </w:tcPr>
                  <w:p>
                    <w:pPr>
                      <w:jc w:val="center"/>
                      <w:rPr>
                        <w:sz w:val="18"/>
                        <w:szCs w:val="18"/>
                      </w:rPr>
                    </w:pPr>
                    <w:r>
                      <w:rPr>
                        <w:sz w:val="18"/>
                        <w:szCs w:val="18"/>
                      </w:rPr>
                      <w:t>426 453,45 €</w:t>
                    </w:r>
                  </w:p>
                </w:tc>
                <w:tc>
                  <w:tcPr>
                    <w:tcW w:w="1781" w:type="dxa"/>
                    <w:tcBorders>
                      <w:top w:val="single" w:sz="4" w:space="0" w:color="auto"/>
                      <w:left w:val="single" w:sz="4" w:space="0" w:color="auto"/>
                      <w:bottom w:val="single" w:sz="4" w:space="0" w:color="auto"/>
                      <w:right w:val="single" w:sz="4" w:space="0" w:color="auto"/>
                    </w:tcBorders>
                    <w:noWrap/>
                  </w:tcPr>
                  <w:p>
                    <w:pPr>
                      <w:jc w:val="center"/>
                      <w:rPr>
                        <w:sz w:val="18"/>
                        <w:szCs w:val="18"/>
                      </w:rPr>
                    </w:pPr>
                  </w:p>
                </w:tc>
              </w:tr>
            </w:tbl>
            <w:p>
              <w:pPr>
                <w:tabs>
                  <w:tab w:val="left" w:pos="0"/>
                </w:tabs>
                <w:spacing w:line="254" w:lineRule="auto"/>
                <w:ind w:firstLine="709"/>
                <w:jc w:val="both"/>
                <w:rPr>
                  <w:b/>
                  <w:szCs w:val="24"/>
                  <w:shd w:val="clear" w:color="auto" w:fill="FFFFFF"/>
                </w:rPr>
              </w:pPr>
            </w:p>
            <w:p>
              <w:pPr>
                <w:rPr>
                  <w:sz w:val="14"/>
                  <w:szCs w:val="14"/>
                </w:rPr>
              </w:pPr>
            </w:p>
            <w:p>
              <w:pPr>
                <w:tabs>
                  <w:tab w:val="left" w:pos="0"/>
                </w:tabs>
                <w:spacing w:line="254" w:lineRule="auto"/>
                <w:ind w:firstLine="709"/>
                <w:jc w:val="both"/>
                <w:rPr>
                  <w:szCs w:val="24"/>
                  <w:shd w:val="clear" w:color="auto" w:fill="FFFFFF"/>
                </w:rPr>
              </w:pPr>
              <w:r>
                <w:rPr>
                  <w:szCs w:val="24"/>
                  <w:shd w:val="clear" w:color="auto" w:fill="FFFFFF"/>
                </w:rPr>
                <w:t>Asignavimų pokytis:</w:t>
              </w:r>
            </w:p>
            <w:p>
              <w:pPr>
                <w:rPr>
                  <w:sz w:val="14"/>
                  <w:szCs w:val="14"/>
                </w:rPr>
              </w:pPr>
            </w:p>
            <w:tbl>
              <w:tblPr>
                <w:tblW w:w="9747" w:type="dxa"/>
                <w:tblLayout w:type="fixed"/>
                <w:tblLook w:val="04A0" w:firstRow="1" w:lastRow="0" w:firstColumn="1" w:lastColumn="0" w:noHBand="0" w:noVBand="1"/>
              </w:tblPr>
              <w:tblGrid>
                <w:gridCol w:w="421"/>
                <w:gridCol w:w="2381"/>
                <w:gridCol w:w="2438"/>
                <w:gridCol w:w="567"/>
                <w:gridCol w:w="1418"/>
                <w:gridCol w:w="1275"/>
                <w:gridCol w:w="1247"/>
              </w:tblGrid>
              <w:tr>
                <w:trPr>
                  <w:cantSplit/>
                  <w:trHeight w:val="1512"/>
                  <w:tblHeader/>
                </w:trPr>
                <w:tc>
                  <w:tcPr>
                    <w:tcW w:w="421" w:type="dxa"/>
                    <w:tcBorders>
                      <w:top w:val="single" w:sz="4" w:space="0" w:color="auto"/>
                      <w:left w:val="single" w:sz="4" w:space="0" w:color="auto"/>
                      <w:bottom w:val="single" w:sz="4" w:space="0" w:color="auto"/>
                      <w:right w:val="single" w:sz="4" w:space="0" w:color="auto"/>
                    </w:tcBorders>
                    <w:textDirection w:val="btLr"/>
                    <w:vAlign w:val="center"/>
                    <w:hideMark/>
                  </w:tcPr>
                  <w:p>
                    <w:pPr>
                      <w:ind w:left="113" w:right="113"/>
                      <w:jc w:val="center"/>
                      <w:rPr>
                        <w:b/>
                        <w:bCs/>
                        <w:color w:val="000000"/>
                        <w:sz w:val="18"/>
                        <w:szCs w:val="18"/>
                        <w:lang w:eastAsia="lt-LT"/>
                      </w:rPr>
                    </w:pPr>
                    <w:r>
                      <w:rPr>
                        <w:b/>
                        <w:bCs/>
                        <w:color w:val="000000"/>
                        <w:sz w:val="18"/>
                        <w:szCs w:val="18"/>
                      </w:rPr>
                      <w:t>Programos Nr.</w:t>
                    </w:r>
                  </w:p>
                </w:tc>
                <w:tc>
                  <w:tcPr>
                    <w:tcW w:w="2381"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Programos pavadinimas</w:t>
                    </w:r>
                  </w:p>
                </w:tc>
                <w:tc>
                  <w:tcPr>
                    <w:tcW w:w="243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Vykdytojas</w:t>
                    </w:r>
                  </w:p>
                </w:tc>
                <w:tc>
                  <w:tcPr>
                    <w:tcW w:w="567" w:type="dxa"/>
                    <w:tcBorders>
                      <w:top w:val="single" w:sz="4" w:space="0" w:color="auto"/>
                      <w:left w:val="nil"/>
                      <w:bottom w:val="single" w:sz="4" w:space="0" w:color="auto"/>
                      <w:right w:val="single" w:sz="4" w:space="0" w:color="auto"/>
                    </w:tcBorders>
                    <w:textDirection w:val="btLr"/>
                    <w:vAlign w:val="center"/>
                    <w:hideMark/>
                  </w:tcPr>
                  <w:p>
                    <w:pPr>
                      <w:ind w:left="113" w:right="113"/>
                      <w:jc w:val="center"/>
                      <w:rPr>
                        <w:b/>
                        <w:bCs/>
                        <w:color w:val="000000"/>
                        <w:sz w:val="18"/>
                        <w:szCs w:val="18"/>
                      </w:rPr>
                    </w:pPr>
                    <w:r>
                      <w:rPr>
                        <w:b/>
                        <w:bCs/>
                        <w:color w:val="000000"/>
                        <w:sz w:val="18"/>
                        <w:szCs w:val="18"/>
                      </w:rPr>
                      <w:t>Finansavimo šaltinis</w:t>
                    </w:r>
                  </w:p>
                </w:tc>
                <w:tc>
                  <w:tcPr>
                    <w:tcW w:w="1418" w:type="dxa"/>
                    <w:tcBorders>
                      <w:top w:val="single" w:sz="4" w:space="0" w:color="auto"/>
                      <w:left w:val="nil"/>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Buvo patvirtinti </w:t>
                    </w:r>
                  </w:p>
                </w:tc>
                <w:tc>
                  <w:tcPr>
                    <w:tcW w:w="1275" w:type="dxa"/>
                    <w:tcBorders>
                      <w:top w:val="single" w:sz="4" w:space="0" w:color="auto"/>
                      <w:left w:val="nil"/>
                      <w:bottom w:val="single" w:sz="4" w:space="0" w:color="auto"/>
                      <w:right w:val="nil"/>
                    </w:tcBorders>
                    <w:vAlign w:val="center"/>
                    <w:hideMark/>
                  </w:tcPr>
                  <w:p>
                    <w:pPr>
                      <w:jc w:val="center"/>
                      <w:rPr>
                        <w:b/>
                        <w:bCs/>
                        <w:color w:val="000000"/>
                        <w:sz w:val="18"/>
                        <w:szCs w:val="18"/>
                      </w:rPr>
                    </w:pPr>
                    <w:r>
                      <w:rPr>
                        <w:b/>
                        <w:bCs/>
                        <w:color w:val="000000"/>
                        <w:sz w:val="18"/>
                        <w:szCs w:val="18"/>
                      </w:rPr>
                      <w:t xml:space="preserve">Nauji  asignavimai</w:t>
                    </w:r>
                  </w:p>
                  <w:p>
                    <w:pPr>
                      <w:jc w:val="center"/>
                      <w:rPr>
                        <w:b/>
                        <w:bCs/>
                        <w:color w:val="000000"/>
                        <w:sz w:val="18"/>
                        <w:szCs w:val="18"/>
                      </w:rPr>
                    </w:pPr>
                  </w:p>
                </w:tc>
                <w:tc>
                  <w:tcPr>
                    <w:tcW w:w="1247" w:type="dxa"/>
                    <w:tcBorders>
                      <w:top w:val="single" w:sz="4" w:space="0" w:color="auto"/>
                      <w:left w:val="single" w:sz="4" w:space="0" w:color="auto"/>
                      <w:bottom w:val="single" w:sz="4" w:space="0" w:color="auto"/>
                      <w:right w:val="single" w:sz="4" w:space="0" w:color="auto"/>
                    </w:tcBorders>
                    <w:vAlign w:val="center"/>
                    <w:hideMark/>
                  </w:tcPr>
                  <w:p>
                    <w:pPr>
                      <w:jc w:val="center"/>
                      <w:rPr>
                        <w:b/>
                        <w:bCs/>
                        <w:color w:val="000000"/>
                        <w:sz w:val="18"/>
                        <w:szCs w:val="18"/>
                      </w:rPr>
                    </w:pPr>
                    <w:r>
                      <w:rPr>
                        <w:b/>
                        <w:bCs/>
                        <w:color w:val="000000"/>
                        <w:sz w:val="18"/>
                        <w:szCs w:val="18"/>
                      </w:rPr>
                      <w:t xml:space="preserve">(+) Didinama     (-) Mažinama</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rajono savivaldybės administracijos socialinės paramos skyrius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73 545,77  €</w:t>
                    </w:r>
                  </w:p>
                </w:tc>
                <w:tc>
                  <w:tcPr>
                    <w:tcW w:w="1275" w:type="dxa"/>
                    <w:tcBorders>
                      <w:top w:val="nil"/>
                      <w:left w:val="nil"/>
                      <w:bottom w:val="single" w:sz="4" w:space="0" w:color="auto"/>
                      <w:right w:val="nil"/>
                    </w:tcBorders>
                    <w:noWrap/>
                  </w:tcPr>
                  <w:p>
                    <w:pPr>
                      <w:rPr>
                        <w:sz w:val="18"/>
                        <w:szCs w:val="18"/>
                      </w:rPr>
                    </w:pPr>
                    <w:r>
                      <w:rPr>
                        <w:sz w:val="18"/>
                        <w:szCs w:val="18"/>
                      </w:rPr>
                      <w:t>73 538,77 €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-7,00 €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01</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5 763 257,00  €</w:t>
                    </w:r>
                  </w:p>
                </w:tc>
                <w:tc>
                  <w:tcPr>
                    <w:tcW w:w="1275" w:type="dxa"/>
                    <w:tcBorders>
                      <w:top w:val="nil"/>
                      <w:left w:val="nil"/>
                      <w:bottom w:val="single" w:sz="4" w:space="0" w:color="auto"/>
                      <w:right w:val="nil"/>
                    </w:tcBorders>
                    <w:noWrap/>
                  </w:tcPr>
                  <w:p>
                    <w:pPr>
                      <w:jc w:val="both"/>
                      <w:rPr>
                        <w:sz w:val="18"/>
                        <w:szCs w:val="18"/>
                      </w:rPr>
                    </w:pPr>
                    <w:r>
                      <w:rPr>
                        <w:sz w:val="18"/>
                        <w:szCs w:val="18"/>
                      </w:rPr>
                      <w:t>5 735 245,82 €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-28 011,18 €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Savivaldybės valdymo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rajono savivaldybės administracija </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270 744,00 €</w:t>
                    </w:r>
                  </w:p>
                </w:tc>
                <w:tc>
                  <w:tcPr>
                    <w:tcW w:w="1275" w:type="dxa"/>
                    <w:tcBorders>
                      <w:top w:val="nil"/>
                      <w:left w:val="nil"/>
                      <w:bottom w:val="single" w:sz="4" w:space="0" w:color="auto"/>
                      <w:right w:val="nil"/>
                    </w:tcBorders>
                    <w:noWrap/>
                  </w:tcPr>
                  <w:p>
                    <w:pPr>
                      <w:jc w:val="both"/>
                      <w:rPr>
                        <w:sz w:val="18"/>
                        <w:szCs w:val="18"/>
                      </w:rPr>
                    </w:pPr>
                    <w:r>
                      <w:rPr>
                        <w:sz w:val="18"/>
                        <w:szCs w:val="18"/>
                      </w:rPr>
                      <w:t>262 272,00 €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-8 472,00 €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536 500,00  €</w:t>
                    </w:r>
                  </w:p>
                </w:tc>
                <w:tc>
                  <w:tcPr>
                    <w:tcW w:w="1275" w:type="dxa"/>
                    <w:tcBorders>
                      <w:top w:val="nil"/>
                      <w:left w:val="nil"/>
                      <w:bottom w:val="single" w:sz="4" w:space="0" w:color="auto"/>
                      <w:right w:val="nil"/>
                    </w:tcBorders>
                    <w:noWrap/>
                  </w:tcPr>
                  <w:p>
                    <w:pPr>
                      <w:jc w:val="both"/>
                      <w:rPr>
                        <w:sz w:val="18"/>
                        <w:szCs w:val="18"/>
                      </w:rPr>
                    </w:pPr>
                    <w:r>
                      <w:rPr>
                        <w:sz w:val="18"/>
                        <w:szCs w:val="18"/>
                      </w:rPr>
                      <w:t>273 597,09 €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-262 902,91 €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26 059,00  €</w:t>
                    </w:r>
                  </w:p>
                </w:tc>
                <w:tc>
                  <w:tcPr>
                    <w:tcW w:w="1275" w:type="dxa"/>
                    <w:tcBorders>
                      <w:top w:val="nil"/>
                      <w:left w:val="nil"/>
                      <w:bottom w:val="single" w:sz="4" w:space="0" w:color="auto"/>
                      <w:right w:val="nil"/>
                    </w:tcBorders>
                    <w:noWrap/>
                  </w:tcPr>
                  <w:p>
                    <w:pPr>
                      <w:jc w:val="center"/>
                      <w:rPr>
                        <w:sz w:val="18"/>
                        <w:szCs w:val="18"/>
                      </w:rPr>
                    </w:pPr>
                    <w:r>
                      <w:rPr>
                        <w:sz w:val="18"/>
                        <w:szCs w:val="18"/>
                      </w:rPr>
                      <w:t>10 696,82 €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-15 362,18 €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24 398,00  €</w:t>
                    </w:r>
                  </w:p>
                </w:tc>
                <w:tc>
                  <w:tcPr>
                    <w:tcW w:w="1275" w:type="dxa"/>
                    <w:tcBorders>
                      <w:top w:val="nil"/>
                      <w:left w:val="nil"/>
                      <w:bottom w:val="single" w:sz="4" w:space="0" w:color="auto"/>
                      <w:right w:val="nil"/>
                    </w:tcBorders>
                    <w:noWrap/>
                  </w:tcPr>
                  <w:p>
                    <w:pPr>
                      <w:jc w:val="right"/>
                      <w:rPr>
                        <w:sz w:val="18"/>
                        <w:szCs w:val="18"/>
                      </w:rPr>
                    </w:pPr>
                    <w:r>
                      <w:rPr>
                        <w:sz w:val="18"/>
                        <w:szCs w:val="18"/>
                      </w:rPr>
                      <w:t>15 751,17 €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-8 646,83 €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37 000,00  €</w:t>
                    </w:r>
                  </w:p>
                </w:tc>
                <w:tc>
                  <w:tcPr>
                    <w:tcW w:w="1275" w:type="dxa"/>
                    <w:tcBorders>
                      <w:top w:val="nil"/>
                      <w:left w:val="nil"/>
                      <w:bottom w:val="single" w:sz="4" w:space="0" w:color="auto"/>
                      <w:right w:val="nil"/>
                    </w:tcBorders>
                    <w:noWrap/>
                  </w:tcPr>
                  <w:p>
                    <w:pPr>
                      <w:jc w:val="right"/>
                      <w:rPr>
                        <w:sz w:val="18"/>
                        <w:szCs w:val="18"/>
                      </w:rPr>
                    </w:pPr>
                    <w:r>
                      <w:rPr>
                        <w:sz w:val="18"/>
                        <w:szCs w:val="18"/>
                      </w:rPr>
                      <w:t>5 883,57 €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-31 116,43 €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927 000,00  €</w:t>
                    </w:r>
                  </w:p>
                </w:tc>
                <w:tc>
                  <w:tcPr>
                    <w:tcW w:w="1275" w:type="dxa"/>
                    <w:tcBorders>
                      <w:top w:val="nil"/>
                      <w:left w:val="nil"/>
                      <w:bottom w:val="single" w:sz="4" w:space="0" w:color="auto"/>
                      <w:right w:val="nil"/>
                    </w:tcBorders>
                    <w:noWrap/>
                  </w:tcPr>
                  <w:p>
                    <w:pPr>
                      <w:jc w:val="right"/>
                      <w:rPr>
                        <w:sz w:val="18"/>
                        <w:szCs w:val="18"/>
                      </w:rPr>
                    </w:pPr>
                    <w:r>
                      <w:rPr>
                        <w:sz w:val="18"/>
                        <w:szCs w:val="18"/>
                      </w:rPr>
                      <w:t>1 189902,91 €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262 902,91 €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29 960,00  €</w:t>
                    </w:r>
                  </w:p>
                </w:tc>
                <w:tc>
                  <w:tcPr>
                    <w:tcW w:w="1275" w:type="dxa"/>
                    <w:tcBorders>
                      <w:top w:val="nil"/>
                      <w:left w:val="nil"/>
                      <w:bottom w:val="single" w:sz="4" w:space="0" w:color="auto"/>
                      <w:right w:val="nil"/>
                    </w:tcBorders>
                    <w:noWrap/>
                  </w:tcPr>
                  <w:p>
                    <w:pPr>
                      <w:jc w:val="right"/>
                      <w:rPr>
                        <w:sz w:val="18"/>
                        <w:szCs w:val="18"/>
                      </w:rPr>
                    </w:pPr>
                    <w:r>
                      <w:rPr>
                        <w:sz w:val="18"/>
                        <w:szCs w:val="18"/>
                      </w:rPr>
                      <w:t>45 322,18 €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15 362,18 €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28 465,00  €</w:t>
                    </w:r>
                  </w:p>
                </w:tc>
                <w:tc>
                  <w:tcPr>
                    <w:tcW w:w="1275" w:type="dxa"/>
                    <w:tcBorders>
                      <w:top w:val="nil"/>
                      <w:left w:val="nil"/>
                      <w:bottom w:val="single" w:sz="4" w:space="0" w:color="auto"/>
                      <w:right w:val="nil"/>
                    </w:tcBorders>
                    <w:noWrap/>
                  </w:tcPr>
                  <w:p>
                    <w:pPr>
                      <w:jc w:val="right"/>
                      <w:rPr>
                        <w:sz w:val="18"/>
                        <w:szCs w:val="18"/>
                      </w:rPr>
                    </w:pPr>
                    <w:r>
                      <w:rPr>
                        <w:sz w:val="18"/>
                        <w:szCs w:val="18"/>
                      </w:rPr>
                      <w:t>37 111,83 €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8 646,83 €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46 500,00  €</w:t>
                    </w:r>
                  </w:p>
                </w:tc>
                <w:tc>
                  <w:tcPr>
                    <w:tcW w:w="1275" w:type="dxa"/>
                    <w:tcBorders>
                      <w:top w:val="nil"/>
                      <w:left w:val="nil"/>
                      <w:bottom w:val="single" w:sz="4" w:space="0" w:color="auto"/>
                      <w:right w:val="nil"/>
                    </w:tcBorders>
                    <w:noWrap/>
                  </w:tcPr>
                  <w:p>
                    <w:pPr>
                      <w:jc w:val="right"/>
                      <w:rPr>
                        <w:sz w:val="18"/>
                        <w:szCs w:val="18"/>
                      </w:rPr>
                    </w:pPr>
                    <w:r>
                      <w:rPr>
                        <w:sz w:val="18"/>
                        <w:szCs w:val="18"/>
                      </w:rPr>
                      <w:t>77 616,43 €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31 116,43 €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70 000,00  €</w:t>
                    </w:r>
                  </w:p>
                </w:tc>
                <w:tc>
                  <w:tcPr>
                    <w:tcW w:w="1275" w:type="dxa"/>
                    <w:tcBorders>
                      <w:top w:val="nil"/>
                      <w:left w:val="nil"/>
                      <w:bottom w:val="single" w:sz="4" w:space="0" w:color="auto"/>
                      <w:right w:val="nil"/>
                    </w:tcBorders>
                    <w:noWrap/>
                  </w:tcPr>
                  <w:p>
                    <w:pPr>
                      <w:jc w:val="right"/>
                      <w:rPr>
                        <w:sz w:val="18"/>
                        <w:szCs w:val="18"/>
                      </w:rPr>
                    </w:pPr>
                    <w:r>
                      <w:rPr>
                        <w:sz w:val="18"/>
                        <w:szCs w:val="18"/>
                      </w:rPr>
                      <w:t>110 000,00 €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40 000,00 €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535 800,00  €</w:t>
                    </w:r>
                  </w:p>
                </w:tc>
                <w:tc>
                  <w:tcPr>
                    <w:tcW w:w="1275" w:type="dxa"/>
                    <w:tcBorders>
                      <w:top w:val="nil"/>
                      <w:left w:val="nil"/>
                      <w:bottom w:val="single" w:sz="4" w:space="0" w:color="auto"/>
                      <w:right w:val="nil"/>
                    </w:tcBorders>
                    <w:noWrap/>
                  </w:tcPr>
                  <w:p>
                    <w:pPr>
                      <w:jc w:val="right"/>
                      <w:rPr>
                        <w:sz w:val="18"/>
                        <w:szCs w:val="18"/>
                      </w:rPr>
                    </w:pPr>
                    <w:r>
                      <w:rPr>
                        <w:sz w:val="18"/>
                        <w:szCs w:val="18"/>
                      </w:rPr>
                      <w:t>540 770,00 €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4 970,00 €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932 943,00  €</w:t>
                    </w:r>
                  </w:p>
                </w:tc>
                <w:tc>
                  <w:tcPr>
                    <w:tcW w:w="1275" w:type="dxa"/>
                    <w:tcBorders>
                      <w:top w:val="nil"/>
                      <w:left w:val="nil"/>
                      <w:bottom w:val="single" w:sz="4" w:space="0" w:color="auto"/>
                      <w:right w:val="nil"/>
                    </w:tcBorders>
                    <w:noWrap/>
                  </w:tcPr>
                  <w:p>
                    <w:pPr>
                      <w:jc w:val="right"/>
                      <w:rPr>
                        <w:sz w:val="18"/>
                        <w:szCs w:val="18"/>
                      </w:rPr>
                    </w:pPr>
                    <w:r>
                      <w:rPr>
                        <w:sz w:val="18"/>
                        <w:szCs w:val="18"/>
                      </w:rPr>
                      <w:t>933 223,00 €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Šiaulėnų M. Šikšnio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666 850,00  €</w:t>
                    </w:r>
                  </w:p>
                </w:tc>
                <w:tc>
                  <w:tcPr>
                    <w:tcW w:w="1275" w:type="dxa"/>
                    <w:tcBorders>
                      <w:top w:val="nil"/>
                      <w:left w:val="nil"/>
                      <w:bottom w:val="single" w:sz="4" w:space="0" w:color="auto"/>
                      <w:right w:val="nil"/>
                    </w:tcBorders>
                    <w:noWrap/>
                  </w:tcPr>
                  <w:p>
                    <w:pPr>
                      <w:jc w:val="right"/>
                      <w:rPr>
                        <w:sz w:val="18"/>
                        <w:szCs w:val="18"/>
                      </w:rPr>
                    </w:pPr>
                    <w:r>
                      <w:rPr>
                        <w:sz w:val="18"/>
                        <w:szCs w:val="18"/>
                      </w:rPr>
                      <w:t>670 140,00 €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3 290,00 €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60 000,00  €</w:t>
                    </w:r>
                  </w:p>
                </w:tc>
                <w:tc>
                  <w:tcPr>
                    <w:tcW w:w="1275" w:type="dxa"/>
                    <w:tcBorders>
                      <w:top w:val="nil"/>
                      <w:left w:val="nil"/>
                      <w:bottom w:val="single" w:sz="4" w:space="0" w:color="auto"/>
                      <w:right w:val="nil"/>
                    </w:tcBorders>
                    <w:noWrap/>
                  </w:tcPr>
                  <w:p>
                    <w:pPr>
                      <w:jc w:val="right"/>
                      <w:rPr>
                        <w:sz w:val="18"/>
                        <w:szCs w:val="18"/>
                      </w:rPr>
                    </w:pPr>
                    <w:r>
                      <w:rPr>
                        <w:sz w:val="18"/>
                        <w:szCs w:val="18"/>
                      </w:rPr>
                      <w:t>128 035,40 €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68 035,40 €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10 800,00  €</w:t>
                    </w:r>
                  </w:p>
                </w:tc>
                <w:tc>
                  <w:tcPr>
                    <w:tcW w:w="1275" w:type="dxa"/>
                    <w:tcBorders>
                      <w:top w:val="nil"/>
                      <w:left w:val="nil"/>
                      <w:bottom w:val="single" w:sz="4" w:space="0" w:color="auto"/>
                      <w:right w:val="nil"/>
                    </w:tcBorders>
                    <w:noWrap/>
                  </w:tcPr>
                  <w:p>
                    <w:pPr>
                      <w:jc w:val="right"/>
                      <w:rPr>
                        <w:sz w:val="18"/>
                        <w:szCs w:val="18"/>
                      </w:rPr>
                    </w:pPr>
                    <w:r>
                      <w:rPr>
                        <w:sz w:val="18"/>
                        <w:szCs w:val="18"/>
                      </w:rPr>
                      <w:t>11 017,43 €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217,43 €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2 471 146,00  €</w:t>
                    </w:r>
                  </w:p>
                </w:tc>
                <w:tc>
                  <w:tcPr>
                    <w:tcW w:w="1275" w:type="dxa"/>
                    <w:tcBorders>
                      <w:top w:val="nil"/>
                      <w:left w:val="nil"/>
                      <w:bottom w:val="single" w:sz="4" w:space="0" w:color="auto"/>
                      <w:right w:val="nil"/>
                    </w:tcBorders>
                    <w:noWrap/>
                  </w:tcPr>
                  <w:p>
                    <w:pPr>
                      <w:jc w:val="right"/>
                      <w:rPr>
                        <w:sz w:val="18"/>
                        <w:szCs w:val="18"/>
                      </w:rPr>
                    </w:pPr>
                    <w:r>
                      <w:rPr>
                        <w:sz w:val="18"/>
                        <w:szCs w:val="18"/>
                      </w:rPr>
                      <w:t>2 472301,00 €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1 155,00 €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Šeduvos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1 091 100,00  €</w:t>
                    </w:r>
                  </w:p>
                </w:tc>
                <w:tc>
                  <w:tcPr>
                    <w:tcW w:w="1275" w:type="dxa"/>
                    <w:tcBorders>
                      <w:top w:val="nil"/>
                      <w:left w:val="nil"/>
                      <w:bottom w:val="single" w:sz="4" w:space="0" w:color="auto"/>
                      <w:right w:val="nil"/>
                    </w:tcBorders>
                    <w:noWrap/>
                  </w:tcPr>
                  <w:p>
                    <w:pPr>
                      <w:jc w:val="right"/>
                      <w:rPr>
                        <w:sz w:val="18"/>
                        <w:szCs w:val="18"/>
                      </w:rPr>
                    </w:pPr>
                    <w:r>
                      <w:rPr>
                        <w:sz w:val="18"/>
                        <w:szCs w:val="18"/>
                      </w:rPr>
                      <w:t>1 101770,00 €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10 670,00 €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31 895,58  €</w:t>
                    </w:r>
                  </w:p>
                </w:tc>
                <w:tc>
                  <w:tcPr>
                    <w:tcW w:w="1275" w:type="dxa"/>
                    <w:tcBorders>
                      <w:top w:val="nil"/>
                      <w:left w:val="nil"/>
                      <w:bottom w:val="single" w:sz="4" w:space="0" w:color="auto"/>
                      <w:right w:val="nil"/>
                    </w:tcBorders>
                    <w:noWrap/>
                  </w:tcPr>
                  <w:p>
                    <w:pPr>
                      <w:jc w:val="right"/>
                      <w:rPr>
                        <w:sz w:val="18"/>
                        <w:szCs w:val="18"/>
                      </w:rPr>
                    </w:pPr>
                    <w:r>
                      <w:rPr>
                        <w:sz w:val="18"/>
                        <w:szCs w:val="18"/>
                      </w:rPr>
                      <w:t>62 459,63 €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30 564,05 €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15 680,00  €</w:t>
                    </w:r>
                  </w:p>
                </w:tc>
                <w:tc>
                  <w:tcPr>
                    <w:tcW w:w="1275" w:type="dxa"/>
                    <w:tcBorders>
                      <w:top w:val="nil"/>
                      <w:left w:val="nil"/>
                      <w:bottom w:val="single" w:sz="4" w:space="0" w:color="auto"/>
                      <w:right w:val="nil"/>
                    </w:tcBorders>
                    <w:noWrap/>
                  </w:tcPr>
                  <w:p>
                    <w:pPr>
                      <w:jc w:val="right"/>
                      <w:rPr>
                        <w:sz w:val="18"/>
                        <w:szCs w:val="18"/>
                      </w:rPr>
                    </w:pPr>
                    <w:r>
                      <w:rPr>
                        <w:sz w:val="18"/>
                        <w:szCs w:val="18"/>
                      </w:rPr>
                      <w:t>15 798,45 €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118,45 €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1 400 761,00  €</w:t>
                    </w:r>
                  </w:p>
                </w:tc>
                <w:tc>
                  <w:tcPr>
                    <w:tcW w:w="1275" w:type="dxa"/>
                    <w:tcBorders>
                      <w:top w:val="nil"/>
                      <w:left w:val="nil"/>
                      <w:bottom w:val="single" w:sz="4" w:space="0" w:color="auto"/>
                      <w:right w:val="nil"/>
                    </w:tcBorders>
                    <w:noWrap/>
                  </w:tcPr>
                  <w:p>
                    <w:pPr>
                      <w:jc w:val="right"/>
                      <w:rPr>
                        <w:sz w:val="18"/>
                        <w:szCs w:val="18"/>
                      </w:rPr>
                    </w:pPr>
                    <w:r>
                      <w:rPr>
                        <w:sz w:val="18"/>
                        <w:szCs w:val="18"/>
                      </w:rPr>
                      <w:t>1 403365,00 €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2 604,00 €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692 400,00  €</w:t>
                    </w:r>
                  </w:p>
                </w:tc>
                <w:tc>
                  <w:tcPr>
                    <w:tcW w:w="1275" w:type="dxa"/>
                    <w:tcBorders>
                      <w:top w:val="nil"/>
                      <w:left w:val="nil"/>
                      <w:bottom w:val="single" w:sz="4" w:space="0" w:color="auto"/>
                      <w:right w:val="nil"/>
                    </w:tcBorders>
                    <w:noWrap/>
                  </w:tcPr>
                  <w:p>
                    <w:pPr>
                      <w:jc w:val="right"/>
                      <w:rPr>
                        <w:sz w:val="18"/>
                        <w:szCs w:val="18"/>
                      </w:rPr>
                    </w:pPr>
                    <w:r>
                      <w:rPr>
                        <w:sz w:val="18"/>
                        <w:szCs w:val="18"/>
                      </w:rPr>
                      <w:t>694 510,00 €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2 110,00 €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113 912,87  €</w:t>
                    </w:r>
                  </w:p>
                </w:tc>
                <w:tc>
                  <w:tcPr>
                    <w:tcW w:w="1275" w:type="dxa"/>
                    <w:tcBorders>
                      <w:top w:val="nil"/>
                      <w:left w:val="nil"/>
                      <w:bottom w:val="single" w:sz="4" w:space="0" w:color="auto"/>
                      <w:right w:val="nil"/>
                    </w:tcBorders>
                    <w:noWrap/>
                  </w:tcPr>
                  <w:p>
                    <w:pPr>
                      <w:jc w:val="right"/>
                      <w:rPr>
                        <w:sz w:val="18"/>
                        <w:szCs w:val="18"/>
                      </w:rPr>
                    </w:pPr>
                    <w:r>
                      <w:rPr>
                        <w:sz w:val="18"/>
                        <w:szCs w:val="18"/>
                      </w:rPr>
                      <w:t>148 793,19 €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34 880,32 €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15 578,00  €</w:t>
                    </w:r>
                  </w:p>
                </w:tc>
                <w:tc>
                  <w:tcPr>
                    <w:tcW w:w="1275" w:type="dxa"/>
                    <w:tcBorders>
                      <w:top w:val="nil"/>
                      <w:left w:val="nil"/>
                      <w:bottom w:val="single" w:sz="4" w:space="0" w:color="auto"/>
                      <w:right w:val="nil"/>
                    </w:tcBorders>
                    <w:noWrap/>
                  </w:tcPr>
                  <w:p>
                    <w:pPr>
                      <w:jc w:val="right"/>
                      <w:rPr>
                        <w:sz w:val="18"/>
                        <w:szCs w:val="18"/>
                      </w:rPr>
                    </w:pPr>
                    <w:r>
                      <w:rPr>
                        <w:sz w:val="18"/>
                        <w:szCs w:val="18"/>
                      </w:rPr>
                      <w:t>18 072,87 €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2 494,87 €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2 172 341,00  €</w:t>
                    </w:r>
                  </w:p>
                </w:tc>
                <w:tc>
                  <w:tcPr>
                    <w:tcW w:w="1275" w:type="dxa"/>
                    <w:tcBorders>
                      <w:top w:val="nil"/>
                      <w:left w:val="nil"/>
                      <w:bottom w:val="single" w:sz="4" w:space="0" w:color="auto"/>
                      <w:right w:val="nil"/>
                    </w:tcBorders>
                    <w:noWrap/>
                  </w:tcPr>
                  <w:p>
                    <w:pPr>
                      <w:jc w:val="right"/>
                      <w:rPr>
                        <w:sz w:val="18"/>
                        <w:szCs w:val="18"/>
                      </w:rPr>
                    </w:pPr>
                    <w:r>
                      <w:rPr>
                        <w:sz w:val="18"/>
                        <w:szCs w:val="18"/>
                      </w:rPr>
                      <w:t>2 17364,00 €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1 302,00 €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771 200,00  €</w:t>
                    </w:r>
                  </w:p>
                </w:tc>
                <w:tc>
                  <w:tcPr>
                    <w:tcW w:w="1275" w:type="dxa"/>
                    <w:tcBorders>
                      <w:top w:val="nil"/>
                      <w:left w:val="nil"/>
                      <w:bottom w:val="single" w:sz="4" w:space="0" w:color="auto"/>
                      <w:right w:val="nil"/>
                    </w:tcBorders>
                    <w:noWrap/>
                  </w:tcPr>
                  <w:p>
                    <w:pPr>
                      <w:jc w:val="right"/>
                      <w:rPr>
                        <w:sz w:val="18"/>
                        <w:szCs w:val="18"/>
                      </w:rPr>
                    </w:pPr>
                    <w:r>
                      <w:rPr>
                        <w:sz w:val="18"/>
                        <w:szCs w:val="18"/>
                      </w:rPr>
                      <w:t>777 680,00 €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6 480,00 €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ES</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96  533,07  €</w:t>
                    </w:r>
                  </w:p>
                </w:tc>
                <w:tc>
                  <w:tcPr>
                    <w:tcW w:w="1275" w:type="dxa"/>
                    <w:tcBorders>
                      <w:top w:val="nil"/>
                      <w:left w:val="nil"/>
                      <w:bottom w:val="single" w:sz="4" w:space="0" w:color="auto"/>
                      <w:right w:val="nil"/>
                    </w:tcBorders>
                    <w:noWrap/>
                  </w:tcPr>
                  <w:p>
                    <w:pPr>
                      <w:jc w:val="right"/>
                      <w:rPr>
                        <w:sz w:val="18"/>
                        <w:szCs w:val="18"/>
                      </w:rPr>
                    </w:pPr>
                    <w:r>
                      <w:rPr>
                        <w:sz w:val="18"/>
                        <w:szCs w:val="18"/>
                      </w:rPr>
                      <w:t>221 532,33 €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124 999,26 €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37 122,85  €</w:t>
                    </w:r>
                  </w:p>
                </w:tc>
                <w:tc>
                  <w:tcPr>
                    <w:tcW w:w="1275" w:type="dxa"/>
                    <w:tcBorders>
                      <w:top w:val="nil"/>
                      <w:left w:val="nil"/>
                      <w:bottom w:val="single" w:sz="4" w:space="0" w:color="auto"/>
                      <w:right w:val="nil"/>
                    </w:tcBorders>
                    <w:noWrap/>
                  </w:tcPr>
                  <w:p>
                    <w:pPr>
                      <w:jc w:val="right"/>
                      <w:rPr>
                        <w:sz w:val="18"/>
                        <w:szCs w:val="18"/>
                      </w:rPr>
                    </w:pPr>
                    <w:r>
                      <w:rPr>
                        <w:sz w:val="18"/>
                        <w:szCs w:val="18"/>
                      </w:rPr>
                      <w:t>87 424,52 €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50 301,67 €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1 875 919,00  €</w:t>
                    </w:r>
                  </w:p>
                </w:tc>
                <w:tc>
                  <w:tcPr>
                    <w:tcW w:w="1275" w:type="dxa"/>
                    <w:tcBorders>
                      <w:top w:val="nil"/>
                      <w:left w:val="nil"/>
                      <w:bottom w:val="single" w:sz="4" w:space="0" w:color="auto"/>
                      <w:right w:val="nil"/>
                    </w:tcBorders>
                    <w:noWrap/>
                  </w:tcPr>
                  <w:p>
                    <w:pPr>
                      <w:jc w:val="right"/>
                      <w:rPr>
                        <w:sz w:val="18"/>
                        <w:szCs w:val="18"/>
                      </w:rPr>
                    </w:pPr>
                    <w:r>
                      <w:rPr>
                        <w:sz w:val="18"/>
                        <w:szCs w:val="18"/>
                      </w:rPr>
                      <w:t>1 877401,00 €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1 482,00 €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737 400,00  €</w:t>
                    </w:r>
                  </w:p>
                </w:tc>
                <w:tc>
                  <w:tcPr>
                    <w:tcW w:w="1275" w:type="dxa"/>
                    <w:tcBorders>
                      <w:top w:val="nil"/>
                      <w:left w:val="nil"/>
                      <w:bottom w:val="single" w:sz="4" w:space="0" w:color="auto"/>
                      <w:right w:val="nil"/>
                    </w:tcBorders>
                    <w:noWrap/>
                  </w:tcPr>
                  <w:p>
                    <w:pPr>
                      <w:jc w:val="right"/>
                      <w:rPr>
                        <w:sz w:val="18"/>
                        <w:szCs w:val="18"/>
                      </w:rPr>
                    </w:pPr>
                    <w:r>
                      <w:rPr>
                        <w:sz w:val="18"/>
                        <w:szCs w:val="18"/>
                      </w:rPr>
                      <w:t>739 500,00 €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2 100,00 €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Jono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716 190,00  €</w:t>
                    </w:r>
                  </w:p>
                </w:tc>
                <w:tc>
                  <w:tcPr>
                    <w:tcW w:w="1275" w:type="dxa"/>
                    <w:tcBorders>
                      <w:top w:val="nil"/>
                      <w:left w:val="nil"/>
                      <w:bottom w:val="single" w:sz="4" w:space="0" w:color="auto"/>
                      <w:right w:val="nil"/>
                    </w:tcBorders>
                    <w:noWrap/>
                  </w:tcPr>
                  <w:p>
                    <w:pPr>
                      <w:jc w:val="right"/>
                      <w:rPr>
                        <w:sz w:val="18"/>
                        <w:szCs w:val="18"/>
                      </w:rPr>
                    </w:pPr>
                    <w:r>
                      <w:rPr>
                        <w:sz w:val="18"/>
                        <w:szCs w:val="18"/>
                      </w:rPr>
                      <w:t>716 477,00 €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287,00 €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Grinkiškio Jono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672 000,00  €</w:t>
                    </w:r>
                  </w:p>
                </w:tc>
                <w:tc>
                  <w:tcPr>
                    <w:tcW w:w="1275" w:type="dxa"/>
                    <w:tcBorders>
                      <w:top w:val="nil"/>
                      <w:left w:val="nil"/>
                      <w:bottom w:val="single" w:sz="4" w:space="0" w:color="auto"/>
                      <w:right w:val="nil"/>
                    </w:tcBorders>
                    <w:noWrap/>
                  </w:tcPr>
                  <w:p>
                    <w:pPr>
                      <w:jc w:val="right"/>
                      <w:rPr>
                        <w:sz w:val="18"/>
                        <w:szCs w:val="18"/>
                      </w:rPr>
                    </w:pPr>
                    <w:r>
                      <w:rPr>
                        <w:sz w:val="18"/>
                        <w:szCs w:val="18"/>
                      </w:rPr>
                      <w:t>673 880,00 €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1 880,00 €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554 234,00  €</w:t>
                    </w:r>
                  </w:p>
                </w:tc>
                <w:tc>
                  <w:tcPr>
                    <w:tcW w:w="1275" w:type="dxa"/>
                    <w:tcBorders>
                      <w:top w:val="nil"/>
                      <w:left w:val="nil"/>
                      <w:bottom w:val="single" w:sz="4" w:space="0" w:color="auto"/>
                      <w:right w:val="nil"/>
                    </w:tcBorders>
                    <w:noWrap/>
                  </w:tcPr>
                  <w:p>
                    <w:pPr>
                      <w:jc w:val="right"/>
                      <w:rPr>
                        <w:sz w:val="18"/>
                        <w:szCs w:val="18"/>
                      </w:rPr>
                    </w:pPr>
                    <w:r>
                      <w:rPr>
                        <w:sz w:val="18"/>
                        <w:szCs w:val="18"/>
                      </w:rPr>
                      <w:t>554 353,00 €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119,00 €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Alksniupių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410 270,00  €</w:t>
                    </w:r>
                  </w:p>
                </w:tc>
                <w:tc>
                  <w:tcPr>
                    <w:tcW w:w="1275" w:type="dxa"/>
                    <w:tcBorders>
                      <w:top w:val="nil"/>
                      <w:left w:val="nil"/>
                      <w:bottom w:val="single" w:sz="4" w:space="0" w:color="auto"/>
                      <w:right w:val="nil"/>
                    </w:tcBorders>
                    <w:noWrap/>
                  </w:tcPr>
                  <w:p>
                    <w:pPr>
                      <w:jc w:val="right"/>
                      <w:rPr>
                        <w:sz w:val="18"/>
                        <w:szCs w:val="18"/>
                      </w:rPr>
                    </w:pPr>
                    <w:r>
                      <w:rPr>
                        <w:sz w:val="18"/>
                        <w:szCs w:val="18"/>
                      </w:rPr>
                      <w:t>413 370,00 €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3 100,00 €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685 013,00  €</w:t>
                    </w:r>
                  </w:p>
                </w:tc>
                <w:tc>
                  <w:tcPr>
                    <w:tcW w:w="1275" w:type="dxa"/>
                    <w:tcBorders>
                      <w:top w:val="nil"/>
                      <w:left w:val="nil"/>
                      <w:bottom w:val="single" w:sz="4" w:space="0" w:color="auto"/>
                      <w:right w:val="nil"/>
                    </w:tcBorders>
                    <w:noWrap/>
                  </w:tcPr>
                  <w:p>
                    <w:pPr>
                      <w:jc w:val="right"/>
                      <w:rPr>
                        <w:sz w:val="18"/>
                        <w:szCs w:val="18"/>
                      </w:rPr>
                    </w:pPr>
                    <w:r>
                      <w:rPr>
                        <w:sz w:val="18"/>
                        <w:szCs w:val="18"/>
                      </w:rPr>
                      <w:t>685 300,00 €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287,00 €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Sidabravo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509 050,00  €</w:t>
                    </w:r>
                  </w:p>
                </w:tc>
                <w:tc>
                  <w:tcPr>
                    <w:tcW w:w="1275" w:type="dxa"/>
                    <w:tcBorders>
                      <w:top w:val="nil"/>
                      <w:left w:val="nil"/>
                      <w:bottom w:val="single" w:sz="4" w:space="0" w:color="auto"/>
                      <w:right w:val="nil"/>
                    </w:tcBorders>
                    <w:noWrap/>
                  </w:tcPr>
                  <w:p>
                    <w:pPr>
                      <w:jc w:val="right"/>
                      <w:rPr>
                        <w:sz w:val="18"/>
                        <w:szCs w:val="18"/>
                      </w:rPr>
                    </w:pPr>
                    <w:r>
                      <w:rPr>
                        <w:sz w:val="18"/>
                        <w:szCs w:val="18"/>
                      </w:rPr>
                      <w:t>511 730,00 €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2 680,00 €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1 292 895,00  €</w:t>
                    </w:r>
                  </w:p>
                </w:tc>
                <w:tc>
                  <w:tcPr>
                    <w:tcW w:w="1275" w:type="dxa"/>
                    <w:tcBorders>
                      <w:top w:val="nil"/>
                      <w:left w:val="nil"/>
                      <w:bottom w:val="single" w:sz="4" w:space="0" w:color="auto"/>
                      <w:right w:val="nil"/>
                    </w:tcBorders>
                    <w:noWrap/>
                  </w:tcPr>
                  <w:p>
                    <w:pPr>
                      <w:jc w:val="right"/>
                      <w:rPr>
                        <w:sz w:val="18"/>
                        <w:szCs w:val="18"/>
                      </w:rPr>
                    </w:pPr>
                    <w:r>
                      <w:rPr>
                        <w:sz w:val="18"/>
                        <w:szCs w:val="18"/>
                      </w:rPr>
                      <w:t>1 292997,00 €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102,00 €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836 350,00  €</w:t>
                    </w:r>
                  </w:p>
                </w:tc>
                <w:tc>
                  <w:tcPr>
                    <w:tcW w:w="1275" w:type="dxa"/>
                    <w:tcBorders>
                      <w:top w:val="nil"/>
                      <w:left w:val="nil"/>
                      <w:bottom w:val="single" w:sz="4" w:space="0" w:color="auto"/>
                      <w:right w:val="nil"/>
                    </w:tcBorders>
                    <w:noWrap/>
                  </w:tcPr>
                  <w:p>
                    <w:pPr>
                      <w:jc w:val="right"/>
                      <w:rPr>
                        <w:sz w:val="18"/>
                        <w:szCs w:val="18"/>
                      </w:rPr>
                    </w:pPr>
                    <w:r>
                      <w:rPr>
                        <w:sz w:val="18"/>
                        <w:szCs w:val="18"/>
                      </w:rPr>
                      <w:t>839 070,00 €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2 720,00 €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02</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Švietimo paslaugų prieinamumo ir kokybės užtikrinimo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 Baisogalos mokykla- 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MK</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 xml:space="preserve">957 609,00  €</w:t>
                    </w:r>
                  </w:p>
                </w:tc>
                <w:tc>
                  <w:tcPr>
                    <w:tcW w:w="1275" w:type="dxa"/>
                    <w:tcBorders>
                      <w:top w:val="nil"/>
                      <w:left w:val="nil"/>
                      <w:bottom w:val="single" w:sz="4" w:space="0" w:color="auto"/>
                      <w:right w:val="nil"/>
                    </w:tcBorders>
                    <w:noWrap/>
                  </w:tcPr>
                  <w:p>
                    <w:pPr>
                      <w:jc w:val="right"/>
                      <w:rPr>
                        <w:sz w:val="18"/>
                        <w:szCs w:val="18"/>
                      </w:rPr>
                    </w:pPr>
                    <w:r>
                      <w:rPr>
                        <w:sz w:val="18"/>
                        <w:szCs w:val="18"/>
                      </w:rPr>
                      <w:t>958 463,00 €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854,00 €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administracijos Socialinės paramos skyrius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right"/>
                      <w:rPr>
                        <w:sz w:val="18"/>
                        <w:szCs w:val="18"/>
                      </w:rPr>
                    </w:pPr>
                    <w:r>
                      <w:rPr>
                        <w:sz w:val="18"/>
                        <w:szCs w:val="18"/>
                      </w:rPr>
                      <w:t>2 136 994,23 €</w:t>
                    </w:r>
                  </w:p>
                </w:tc>
                <w:tc>
                  <w:tcPr>
                    <w:tcW w:w="1275" w:type="dxa"/>
                    <w:tcBorders>
                      <w:top w:val="nil"/>
                      <w:left w:val="nil"/>
                      <w:bottom w:val="single" w:sz="4" w:space="0" w:color="auto"/>
                      <w:right w:val="nil"/>
                    </w:tcBorders>
                    <w:noWrap/>
                  </w:tcPr>
                  <w:p>
                    <w:pPr>
                      <w:jc w:val="right"/>
                      <w:rPr>
                        <w:sz w:val="18"/>
                        <w:szCs w:val="18"/>
                      </w:rPr>
                    </w:pPr>
                    <w:r>
                      <w:rPr>
                        <w:sz w:val="18"/>
                        <w:szCs w:val="18"/>
                      </w:rPr>
                      <w:t>2 104332,23 €</w:t>
                    </w:r>
                  </w:p>
                </w:tc>
                <w:tc>
                  <w:tcPr>
                    <w:tcW w:w="1247" w:type="dxa"/>
                    <w:tcBorders>
                      <w:top w:val="nil"/>
                      <w:left w:val="single" w:sz="4" w:space="0" w:color="auto"/>
                      <w:bottom w:val="single" w:sz="4" w:space="0" w:color="auto"/>
                      <w:right w:val="single" w:sz="4" w:space="0" w:color="auto"/>
                    </w:tcBorders>
                    <w:noWrap/>
                  </w:tcPr>
                  <w:p>
                    <w:pPr>
                      <w:jc w:val="right"/>
                      <w:rPr>
                        <w:sz w:val="18"/>
                        <w:szCs w:val="18"/>
                      </w:rPr>
                    </w:pPr>
                    <w:r>
                      <w:rPr>
                        <w:sz w:val="18"/>
                        <w:szCs w:val="18"/>
                      </w:rPr>
                      <w:t>-32 662,00 €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Daugyvenės kultūros istorijos muziejus-draustinis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8 700,00 €</w:t>
                    </w:r>
                  </w:p>
                </w:tc>
                <w:tc>
                  <w:tcPr>
                    <w:tcW w:w="1275" w:type="dxa"/>
                    <w:tcBorders>
                      <w:top w:val="nil"/>
                      <w:left w:val="nil"/>
                      <w:bottom w:val="single" w:sz="4" w:space="0" w:color="auto"/>
                      <w:right w:val="nil"/>
                    </w:tcBorders>
                    <w:noWrap/>
                  </w:tcPr>
                  <w:p>
                    <w:pPr>
                      <w:jc w:val="center"/>
                      <w:rPr>
                        <w:sz w:val="18"/>
                        <w:szCs w:val="18"/>
                      </w:rPr>
                    </w:pPr>
                    <w:r>
                      <w:rPr>
                        <w:sz w:val="18"/>
                        <w:szCs w:val="18"/>
                      </w:rPr>
                      <w:t>13 350,00 €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4 650,00 €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dailės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3 500,00  €</w:t>
                    </w:r>
                  </w:p>
                </w:tc>
                <w:tc>
                  <w:tcPr>
                    <w:tcW w:w="1275" w:type="dxa"/>
                    <w:tcBorders>
                      <w:top w:val="nil"/>
                      <w:left w:val="nil"/>
                      <w:bottom w:val="single" w:sz="4" w:space="0" w:color="auto"/>
                      <w:right w:val="nil"/>
                    </w:tcBorders>
                    <w:noWrap/>
                  </w:tcPr>
                  <w:p>
                    <w:pPr>
                      <w:jc w:val="center"/>
                      <w:rPr>
                        <w:sz w:val="18"/>
                        <w:szCs w:val="18"/>
                      </w:rPr>
                    </w:pPr>
                    <w:r>
                      <w:rPr>
                        <w:sz w:val="18"/>
                        <w:szCs w:val="18"/>
                      </w:rPr>
                      <w:t>2 861,49 €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-638,51 €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meno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3 000,00  €</w:t>
                    </w:r>
                  </w:p>
                </w:tc>
                <w:tc>
                  <w:tcPr>
                    <w:tcW w:w="1275" w:type="dxa"/>
                    <w:tcBorders>
                      <w:top w:val="nil"/>
                      <w:left w:val="nil"/>
                      <w:bottom w:val="single" w:sz="4" w:space="0" w:color="auto"/>
                      <w:right w:val="nil"/>
                    </w:tcBorders>
                    <w:noWrap/>
                  </w:tcPr>
                  <w:p>
                    <w:pPr>
                      <w:jc w:val="center"/>
                      <w:rPr>
                        <w:sz w:val="18"/>
                        <w:szCs w:val="18"/>
                      </w:rPr>
                    </w:pPr>
                    <w:r>
                      <w:rPr>
                        <w:sz w:val="18"/>
                        <w:szCs w:val="18"/>
                      </w:rPr>
                      <w:t>3 638,51 €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638,51 €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Lizdeikos 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3 996,00  €</w:t>
                    </w:r>
                  </w:p>
                </w:tc>
                <w:tc>
                  <w:tcPr>
                    <w:tcW w:w="1275" w:type="dxa"/>
                    <w:tcBorders>
                      <w:top w:val="nil"/>
                      <w:left w:val="nil"/>
                      <w:bottom w:val="single" w:sz="4" w:space="0" w:color="auto"/>
                      <w:right w:val="nil"/>
                    </w:tcBorders>
                    <w:noWrap/>
                  </w:tcPr>
                  <w:p>
                    <w:pPr>
                      <w:jc w:val="center"/>
                      <w:rPr>
                        <w:sz w:val="18"/>
                        <w:szCs w:val="18"/>
                      </w:rPr>
                    </w:pPr>
                    <w:r>
                      <w:rPr>
                        <w:sz w:val="18"/>
                        <w:szCs w:val="18"/>
                      </w:rPr>
                      <w:t>4 084,2€</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88,20 €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Vaižganto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86 089,95  €</w:t>
                    </w:r>
                  </w:p>
                </w:tc>
                <w:tc>
                  <w:tcPr>
                    <w:tcW w:w="1275" w:type="dxa"/>
                    <w:tcBorders>
                      <w:top w:val="nil"/>
                      <w:left w:val="nil"/>
                      <w:bottom w:val="single" w:sz="4" w:space="0" w:color="auto"/>
                      <w:right w:val="nil"/>
                    </w:tcBorders>
                    <w:noWrap/>
                  </w:tcPr>
                  <w:p>
                    <w:pPr>
                      <w:jc w:val="center"/>
                      <w:rPr>
                        <w:sz w:val="18"/>
                        <w:szCs w:val="18"/>
                      </w:rPr>
                    </w:pPr>
                    <w:r>
                      <w:rPr>
                        <w:sz w:val="18"/>
                        <w:szCs w:val="18"/>
                      </w:rPr>
                      <w:t>86 303,10 €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213,15 €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Grinkiškio J. Poderio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35 010,70  €</w:t>
                    </w:r>
                  </w:p>
                </w:tc>
                <w:tc>
                  <w:tcPr>
                    <w:tcW w:w="1275" w:type="dxa"/>
                    <w:tcBorders>
                      <w:top w:val="nil"/>
                      <w:left w:val="nil"/>
                      <w:bottom w:val="single" w:sz="4" w:space="0" w:color="auto"/>
                      <w:right w:val="nil"/>
                    </w:tcBorders>
                    <w:noWrap/>
                  </w:tcPr>
                  <w:p>
                    <w:pPr>
                      <w:jc w:val="center"/>
                      <w:rPr>
                        <w:sz w:val="18"/>
                        <w:szCs w:val="18"/>
                      </w:rPr>
                    </w:pPr>
                    <w:r>
                      <w:rPr>
                        <w:sz w:val="18"/>
                        <w:szCs w:val="18"/>
                      </w:rPr>
                      <w:t>35 140,80 €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130,10 €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Gražinos pagrindinė mokykla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123 195,00  €</w:t>
                    </w:r>
                  </w:p>
                </w:tc>
                <w:tc>
                  <w:tcPr>
                    <w:tcW w:w="1275" w:type="dxa"/>
                    <w:tcBorders>
                      <w:top w:val="nil"/>
                      <w:left w:val="nil"/>
                      <w:bottom w:val="single" w:sz="4" w:space="0" w:color="auto"/>
                      <w:right w:val="nil"/>
                    </w:tcBorders>
                    <w:noWrap/>
                  </w:tcPr>
                  <w:p>
                    <w:pPr>
                      <w:jc w:val="center"/>
                      <w:rPr>
                        <w:sz w:val="18"/>
                        <w:szCs w:val="18"/>
                      </w:rPr>
                    </w:pPr>
                    <w:r>
                      <w:rPr>
                        <w:sz w:val="18"/>
                        <w:szCs w:val="18"/>
                      </w:rPr>
                      <w:t>123 857,90 €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662,90 €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V. Kudirkos progimnazija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81 875,25  €</w:t>
                    </w:r>
                  </w:p>
                </w:tc>
                <w:tc>
                  <w:tcPr>
                    <w:tcW w:w="1275" w:type="dxa"/>
                    <w:tcBorders>
                      <w:top w:val="nil"/>
                      <w:left w:val="nil"/>
                      <w:bottom w:val="single" w:sz="4" w:space="0" w:color="auto"/>
                      <w:right w:val="nil"/>
                    </w:tcBorders>
                    <w:noWrap/>
                  </w:tcPr>
                  <w:p>
                    <w:pPr>
                      <w:jc w:val="center"/>
                      <w:rPr>
                        <w:sz w:val="18"/>
                        <w:szCs w:val="18"/>
                      </w:rPr>
                    </w:pPr>
                    <w:r>
                      <w:rPr>
                        <w:sz w:val="18"/>
                        <w:szCs w:val="18"/>
                      </w:rPr>
                      <w:t>81 972,45 €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97,20 €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 xml:space="preserve">Radviliškio lopšelis-darželis  „Kregždutė"</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2 523,70  €</w:t>
                    </w:r>
                  </w:p>
                </w:tc>
                <w:tc>
                  <w:tcPr>
                    <w:tcW w:w="1275" w:type="dxa"/>
                    <w:tcBorders>
                      <w:top w:val="nil"/>
                      <w:left w:val="nil"/>
                      <w:bottom w:val="single" w:sz="4" w:space="0" w:color="auto"/>
                      <w:right w:val="nil"/>
                    </w:tcBorders>
                    <w:noWrap/>
                  </w:tcPr>
                  <w:p>
                    <w:pPr>
                      <w:jc w:val="center"/>
                      <w:rPr>
                        <w:sz w:val="18"/>
                        <w:szCs w:val="18"/>
                      </w:rPr>
                    </w:pPr>
                    <w:r>
                      <w:rPr>
                        <w:sz w:val="18"/>
                        <w:szCs w:val="18"/>
                      </w:rPr>
                      <w:t>2 594,30 €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70,60 €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Baisogalos mokykla - darželis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52 010,90  €</w:t>
                    </w:r>
                  </w:p>
                </w:tc>
                <w:tc>
                  <w:tcPr>
                    <w:tcW w:w="1275" w:type="dxa"/>
                    <w:tcBorders>
                      <w:top w:val="nil"/>
                      <w:left w:val="nil"/>
                      <w:bottom w:val="single" w:sz="4" w:space="0" w:color="auto"/>
                      <w:right w:val="nil"/>
                    </w:tcBorders>
                    <w:noWrap/>
                  </w:tcPr>
                  <w:p>
                    <w:pPr>
                      <w:jc w:val="center"/>
                      <w:rPr>
                        <w:sz w:val="18"/>
                        <w:szCs w:val="18"/>
                      </w:rPr>
                    </w:pPr>
                    <w:r>
                      <w:rPr>
                        <w:sz w:val="18"/>
                        <w:szCs w:val="18"/>
                      </w:rPr>
                      <w:t>52 309,75 €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298,85 €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socialinių paslaugų centras</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VB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1 623 730,70  €</w:t>
                    </w:r>
                  </w:p>
                </w:tc>
                <w:tc>
                  <w:tcPr>
                    <w:tcW w:w="1275" w:type="dxa"/>
                    <w:tcBorders>
                      <w:top w:val="nil"/>
                      <w:left w:val="nil"/>
                      <w:bottom w:val="single" w:sz="4" w:space="0" w:color="auto"/>
                      <w:right w:val="nil"/>
                    </w:tcBorders>
                    <w:noWrap/>
                  </w:tcPr>
                  <w:p>
                    <w:pPr>
                      <w:jc w:val="center"/>
                      <w:rPr>
                        <w:sz w:val="18"/>
                        <w:szCs w:val="18"/>
                      </w:rPr>
                    </w:pPr>
                    <w:r>
                      <w:rPr>
                        <w:sz w:val="18"/>
                        <w:szCs w:val="18"/>
                      </w:rPr>
                      <w:t>1 585130,70 €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-38 600,00 €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840 000,00  €</w:t>
                    </w:r>
                  </w:p>
                </w:tc>
                <w:tc>
                  <w:tcPr>
                    <w:tcW w:w="1275" w:type="dxa"/>
                    <w:tcBorders>
                      <w:top w:val="nil"/>
                      <w:left w:val="nil"/>
                      <w:bottom w:val="single" w:sz="4" w:space="0" w:color="auto"/>
                      <w:right w:val="nil"/>
                    </w:tcBorders>
                    <w:noWrap/>
                  </w:tcPr>
                  <w:p>
                    <w:pPr>
                      <w:jc w:val="center"/>
                      <w:rPr>
                        <w:sz w:val="18"/>
                        <w:szCs w:val="18"/>
                      </w:rPr>
                    </w:pPr>
                    <w:r>
                      <w:rPr>
                        <w:sz w:val="18"/>
                        <w:szCs w:val="18"/>
                      </w:rPr>
                      <w:t>958 362,23 €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118 362,23 €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100 000,00  €</w:t>
                    </w:r>
                  </w:p>
                </w:tc>
                <w:tc>
                  <w:tcPr>
                    <w:tcW w:w="1275" w:type="dxa"/>
                    <w:tcBorders>
                      <w:top w:val="nil"/>
                      <w:left w:val="nil"/>
                      <w:bottom w:val="single" w:sz="4" w:space="0" w:color="auto"/>
                      <w:right w:val="nil"/>
                    </w:tcBorders>
                    <w:noWrap/>
                  </w:tcPr>
                  <w:p>
                    <w:pPr>
                      <w:jc w:val="center"/>
                      <w:rPr>
                        <w:sz w:val="18"/>
                        <w:szCs w:val="18"/>
                      </w:rPr>
                    </w:pPr>
                    <w:r>
                      <w:rPr>
                        <w:sz w:val="18"/>
                        <w:szCs w:val="18"/>
                      </w:rPr>
                      <w:t>104 907,23 €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4 907,23 €</w:t>
                    </w:r>
                  </w:p>
                </w:tc>
              </w:tr>
              <w:tr>
                <w:trPr>
                  <w:trHeight w:val="720"/>
                </w:trPr>
                <w:tc>
                  <w:tcPr>
                    <w:tcW w:w="421" w:type="dxa"/>
                    <w:tcBorders>
                      <w:top w:val="nil"/>
                      <w:left w:val="single" w:sz="4" w:space="0" w:color="auto"/>
                      <w:bottom w:val="single" w:sz="4" w:space="0" w:color="auto"/>
                      <w:right w:val="single" w:sz="4" w:space="0" w:color="auto"/>
                    </w:tcBorders>
                  </w:tcPr>
                  <w:p>
                    <w:pPr>
                      <w:rPr>
                        <w:sz w:val="18"/>
                        <w:szCs w:val="18"/>
                      </w:rPr>
                    </w:pPr>
                    <w:r>
                      <w:rPr>
                        <w:sz w:val="18"/>
                        <w:szCs w:val="18"/>
                      </w:rPr>
                      <w:t>03</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Socialinių paslaugų ir socialinės paramos teikimo programa</w:t>
                    </w:r>
                  </w:p>
                </w:tc>
                <w:tc>
                  <w:tcPr>
                    <w:tcW w:w="2438" w:type="dxa"/>
                    <w:tcBorders>
                      <w:top w:val="nil"/>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nil"/>
                      <w:left w:val="nil"/>
                      <w:bottom w:val="single" w:sz="4" w:space="0" w:color="auto"/>
                      <w:right w:val="single" w:sz="4" w:space="0" w:color="auto"/>
                    </w:tcBorders>
                    <w:noWrap/>
                  </w:tcPr>
                  <w:p>
                    <w:pPr>
                      <w:jc w:val="center"/>
                      <w:rPr>
                        <w:sz w:val="18"/>
                        <w:szCs w:val="18"/>
                      </w:rPr>
                    </w:pPr>
                    <w:r>
                      <w:rPr>
                        <w:sz w:val="18"/>
                        <w:szCs w:val="18"/>
                      </w:rPr>
                      <w:t xml:space="preserve">VB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91 300,00  €</w:t>
                    </w:r>
                  </w:p>
                </w:tc>
                <w:tc>
                  <w:tcPr>
                    <w:tcW w:w="1275" w:type="dxa"/>
                    <w:tcBorders>
                      <w:top w:val="nil"/>
                      <w:left w:val="nil"/>
                      <w:bottom w:val="single" w:sz="4" w:space="0" w:color="auto"/>
                      <w:right w:val="nil"/>
                    </w:tcBorders>
                    <w:noWrap/>
                  </w:tcPr>
                  <w:p>
                    <w:pPr>
                      <w:jc w:val="center"/>
                      <w:rPr>
                        <w:sz w:val="18"/>
                        <w:szCs w:val="18"/>
                      </w:rPr>
                    </w:pPr>
                    <w:r>
                      <w:rPr>
                        <w:sz w:val="18"/>
                        <w:szCs w:val="18"/>
                      </w:rPr>
                      <w:t>131 200,00 €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39 900,00 €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Rajono savivaldybės infrastruktūros objektų modernizavimo ir plėtros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1 688 703,00  €</w:t>
                    </w:r>
                  </w:p>
                </w:tc>
                <w:tc>
                  <w:tcPr>
                    <w:tcW w:w="1275" w:type="dxa"/>
                    <w:tcBorders>
                      <w:top w:val="nil"/>
                      <w:left w:val="nil"/>
                      <w:bottom w:val="single" w:sz="4" w:space="0" w:color="auto"/>
                      <w:right w:val="nil"/>
                    </w:tcBorders>
                    <w:noWrap/>
                  </w:tcPr>
                  <w:p>
                    <w:pPr>
                      <w:jc w:val="center"/>
                      <w:rPr>
                        <w:sz w:val="18"/>
                        <w:szCs w:val="18"/>
                      </w:rPr>
                    </w:pPr>
                    <w:r>
                      <w:rPr>
                        <w:sz w:val="18"/>
                        <w:szCs w:val="18"/>
                      </w:rPr>
                      <w:t>1 680 351,95€</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-8 351,05 €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04</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Rajono savivaldybės infrastruktūros objektų modernizavimo ir plėtros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LIK</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488 138,09  €</w:t>
                    </w:r>
                  </w:p>
                </w:tc>
                <w:tc>
                  <w:tcPr>
                    <w:tcW w:w="1275" w:type="dxa"/>
                    <w:tcBorders>
                      <w:top w:val="nil"/>
                      <w:left w:val="nil"/>
                      <w:bottom w:val="single" w:sz="4" w:space="0" w:color="auto"/>
                      <w:right w:val="nil"/>
                    </w:tcBorders>
                    <w:noWrap/>
                  </w:tcPr>
                  <w:p>
                    <w:pPr>
                      <w:jc w:val="center"/>
                      <w:rPr>
                        <w:sz w:val="18"/>
                        <w:szCs w:val="18"/>
                      </w:rPr>
                    </w:pPr>
                    <w:r>
                      <w:rPr>
                        <w:sz w:val="18"/>
                        <w:szCs w:val="18"/>
                      </w:rPr>
                      <w:t>483 230,86 €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-4 907,23 €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584 640,00  €</w:t>
                    </w:r>
                  </w:p>
                </w:tc>
                <w:tc>
                  <w:tcPr>
                    <w:tcW w:w="1275" w:type="dxa"/>
                    <w:tcBorders>
                      <w:top w:val="nil"/>
                      <w:left w:val="nil"/>
                      <w:bottom w:val="single" w:sz="4" w:space="0" w:color="auto"/>
                      <w:right w:val="nil"/>
                    </w:tcBorders>
                    <w:noWrap/>
                  </w:tcPr>
                  <w:p>
                    <w:pPr>
                      <w:jc w:val="center"/>
                      <w:rPr>
                        <w:sz w:val="18"/>
                        <w:szCs w:val="18"/>
                      </w:rPr>
                    </w:pPr>
                    <w:r>
                      <w:rPr>
                        <w:sz w:val="18"/>
                        <w:szCs w:val="18"/>
                      </w:rPr>
                      <w:t>517 640,00 €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-67 000,00 €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05</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Gyventojų turiningo laisvalaikio užtikrinimo, bendruomeniškumo ir veiklumo skatinimo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Daugyvenės kultūros istorijos muziejus-draustinis</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SB SP</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150 000,00  €</w:t>
                    </w:r>
                  </w:p>
                </w:tc>
                <w:tc>
                  <w:tcPr>
                    <w:tcW w:w="1275" w:type="dxa"/>
                    <w:tcBorders>
                      <w:top w:val="nil"/>
                      <w:left w:val="nil"/>
                      <w:bottom w:val="single" w:sz="4" w:space="0" w:color="auto"/>
                      <w:right w:val="nil"/>
                    </w:tcBorders>
                    <w:noWrap/>
                  </w:tcPr>
                  <w:p>
                    <w:pPr>
                      <w:jc w:val="center"/>
                      <w:rPr>
                        <w:sz w:val="18"/>
                        <w:szCs w:val="18"/>
                      </w:rPr>
                    </w:pPr>
                    <w:r>
                      <w:rPr>
                        <w:sz w:val="18"/>
                        <w:szCs w:val="18"/>
                      </w:rPr>
                      <w:t>200 000,00€</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50 000,00 €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4 004 383,00  €</w:t>
                    </w:r>
                  </w:p>
                </w:tc>
                <w:tc>
                  <w:tcPr>
                    <w:tcW w:w="1275" w:type="dxa"/>
                    <w:tcBorders>
                      <w:top w:val="nil"/>
                      <w:left w:val="nil"/>
                      <w:bottom w:val="single" w:sz="4" w:space="0" w:color="auto"/>
                      <w:right w:val="nil"/>
                    </w:tcBorders>
                    <w:noWrap/>
                  </w:tcPr>
                  <w:p>
                    <w:pPr>
                      <w:jc w:val="center"/>
                      <w:rPr>
                        <w:sz w:val="18"/>
                        <w:szCs w:val="18"/>
                      </w:rPr>
                    </w:pPr>
                    <w:r>
                      <w:rPr>
                        <w:sz w:val="18"/>
                        <w:szCs w:val="18"/>
                      </w:rPr>
                      <w:t>3 989383,00 €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-15 000,00 €</w:t>
                    </w:r>
                  </w:p>
                </w:tc>
              </w:tr>
              <w:tr>
                <w:trPr>
                  <w:trHeight w:val="720"/>
                </w:trPr>
                <w:tc>
                  <w:tcPr>
                    <w:tcW w:w="421" w:type="dxa"/>
                    <w:tcBorders>
                      <w:top w:val="single" w:sz="4" w:space="0" w:color="auto"/>
                      <w:left w:val="single" w:sz="4" w:space="0" w:color="auto"/>
                      <w:bottom w:val="single" w:sz="4" w:space="0" w:color="auto"/>
                      <w:right w:val="single" w:sz="4" w:space="0" w:color="auto"/>
                    </w:tcBorders>
                  </w:tcPr>
                  <w:p>
                    <w:pPr>
                      <w:rPr>
                        <w:sz w:val="18"/>
                        <w:szCs w:val="18"/>
                      </w:rPr>
                    </w:pPr>
                    <w:r>
                      <w:rPr>
                        <w:sz w:val="18"/>
                        <w:szCs w:val="18"/>
                      </w:rPr>
                      <w:t>06</w:t>
                    </w:r>
                  </w:p>
                </w:tc>
                <w:tc>
                  <w:tcPr>
                    <w:tcW w:w="2381" w:type="dxa"/>
                    <w:tcBorders>
                      <w:top w:val="single" w:sz="4" w:space="0" w:color="auto"/>
                      <w:left w:val="nil"/>
                      <w:bottom w:val="single" w:sz="4" w:space="0" w:color="auto"/>
                      <w:right w:val="single" w:sz="4" w:space="0" w:color="auto"/>
                    </w:tcBorders>
                  </w:tcPr>
                  <w:p>
                    <w:pPr>
                      <w:rPr>
                        <w:sz w:val="18"/>
                        <w:szCs w:val="18"/>
                      </w:rPr>
                    </w:pPr>
                    <w:r>
                      <w:rPr>
                        <w:sz w:val="18"/>
                        <w:szCs w:val="18"/>
                      </w:rPr>
                      <w:t>Saugios, švarios ir patogios aplinkos užtikrinimo programa</w:t>
                    </w:r>
                  </w:p>
                </w:tc>
                <w:tc>
                  <w:tcPr>
                    <w:tcW w:w="2438" w:type="dxa"/>
                    <w:tcBorders>
                      <w:top w:val="single" w:sz="4" w:space="0" w:color="auto"/>
                      <w:left w:val="nil"/>
                      <w:bottom w:val="single" w:sz="4" w:space="0" w:color="auto"/>
                      <w:right w:val="single" w:sz="4" w:space="0" w:color="auto"/>
                    </w:tcBorders>
                  </w:tcPr>
                  <w:p>
                    <w:pPr>
                      <w:rPr>
                        <w:sz w:val="18"/>
                        <w:szCs w:val="18"/>
                      </w:rPr>
                    </w:pPr>
                    <w:r>
                      <w:rPr>
                        <w:sz w:val="18"/>
                        <w:szCs w:val="18"/>
                      </w:rPr>
                      <w:t>Radviliškio rajono savivaldybės administracija</w:t>
                    </w:r>
                  </w:p>
                </w:tc>
                <w:tc>
                  <w:tcPr>
                    <w:tcW w:w="567" w:type="dxa"/>
                    <w:tcBorders>
                      <w:top w:val="single" w:sz="4" w:space="0" w:color="auto"/>
                      <w:left w:val="nil"/>
                      <w:bottom w:val="single" w:sz="4" w:space="0" w:color="auto"/>
                      <w:right w:val="single" w:sz="4" w:space="0" w:color="auto"/>
                    </w:tcBorders>
                    <w:noWrap/>
                  </w:tcPr>
                  <w:p>
                    <w:pPr>
                      <w:jc w:val="center"/>
                      <w:rPr>
                        <w:sz w:val="18"/>
                        <w:szCs w:val="18"/>
                      </w:rPr>
                    </w:pPr>
                    <w:r>
                      <w:rPr>
                        <w:sz w:val="18"/>
                        <w:szCs w:val="18"/>
                      </w:rPr>
                      <w:t xml:space="preserve">SB AA </w:t>
                    </w:r>
                  </w:p>
                </w:tc>
                <w:tc>
                  <w:tcPr>
                    <w:tcW w:w="1418" w:type="dxa"/>
                    <w:tcBorders>
                      <w:top w:val="nil"/>
                      <w:left w:val="nil"/>
                      <w:bottom w:val="single" w:sz="4" w:space="0" w:color="auto"/>
                      <w:right w:val="single" w:sz="4" w:space="0" w:color="auto"/>
                    </w:tcBorders>
                    <w:noWrap/>
                  </w:tcPr>
                  <w:p>
                    <w:pPr>
                      <w:jc w:val="center"/>
                      <w:rPr>
                        <w:sz w:val="18"/>
                        <w:szCs w:val="18"/>
                      </w:rPr>
                    </w:pPr>
                    <w:r>
                      <w:rPr>
                        <w:sz w:val="18"/>
                        <w:szCs w:val="18"/>
                      </w:rPr>
                      <w:t xml:space="preserve">220 000,00  €</w:t>
                    </w:r>
                  </w:p>
                </w:tc>
                <w:tc>
                  <w:tcPr>
                    <w:tcW w:w="1275" w:type="dxa"/>
                    <w:tcBorders>
                      <w:top w:val="nil"/>
                      <w:left w:val="nil"/>
                      <w:bottom w:val="single" w:sz="4" w:space="0" w:color="auto"/>
                      <w:right w:val="nil"/>
                    </w:tcBorders>
                    <w:noWrap/>
                  </w:tcPr>
                  <w:p>
                    <w:pPr>
                      <w:jc w:val="center"/>
                      <w:rPr>
                        <w:sz w:val="18"/>
                        <w:szCs w:val="18"/>
                      </w:rPr>
                    </w:pPr>
                    <w:r>
                      <w:rPr>
                        <w:sz w:val="18"/>
                        <w:szCs w:val="18"/>
                      </w:rPr>
                      <w:t>230 000,00 €</w:t>
                    </w:r>
                  </w:p>
                </w:tc>
                <w:tc>
                  <w:tcPr>
                    <w:tcW w:w="1247" w:type="dxa"/>
                    <w:tcBorders>
                      <w:top w:val="nil"/>
                      <w:left w:val="single" w:sz="4" w:space="0" w:color="auto"/>
                      <w:bottom w:val="single" w:sz="4" w:space="0" w:color="auto"/>
                      <w:right w:val="single" w:sz="4" w:space="0" w:color="auto"/>
                    </w:tcBorders>
                    <w:noWrap/>
                  </w:tcPr>
                  <w:p>
                    <w:pPr>
                      <w:jc w:val="center"/>
                      <w:rPr>
                        <w:sz w:val="18"/>
                        <w:szCs w:val="18"/>
                      </w:rPr>
                    </w:pPr>
                    <w:r>
                      <w:rPr>
                        <w:sz w:val="18"/>
                        <w:szCs w:val="18"/>
                      </w:rPr>
                      <w:t>10 000,00 €</w:t>
                    </w:r>
                  </w:p>
                </w:tc>
              </w:tr>
            </w:tbl>
            <w:p/>
          </w:sdtContent>
        </w:sdt>
        <w:sdt>
          <w:sdtPr>
            <w:alias w:val="signatura"/>
            <w:tag w:val="part_edcb5481ed164d25bfd03a2302f63392"/>
            <w:lock w:val="sdtLocked"/>
            <w:richText/>
          </w:sdtPr>
          <w:sdtContent>
            <w:p>
              <w:pPr>
                <w:spacing w:line="254" w:lineRule="auto"/>
                <w:ind w:firstLine="4101"/>
                <w:rPr>
                  <w:szCs w:val="24"/>
                </w:rPr>
              </w:pPr>
              <w:r>
                <w:rPr>
                  <w:color w:val="000000"/>
                  <w:sz w:val="20"/>
                </w:rPr>
                <w:t xml:space="preserve">Iš viso                                                                                   426 453,45 €             </w:t>
                <w:tab/>
                <w:t xml:space="preserve">    </w:t>
              </w:r>
              <w:r>
                <w:rPr>
                  <w:szCs w:val="24"/>
                </w:rPr>
                <w:t xml:space="preserve">         </w:t>
              </w:r>
            </w:p>
            <w:p>
              <w:pPr>
                <w:spacing w:line="254" w:lineRule="auto"/>
                <w:jc w:val="both"/>
                <w:rPr>
                  <w:szCs w:val="24"/>
                </w:rPr>
              </w:pPr>
            </w:p>
            <w:p>
              <w:pPr>
                <w:spacing w:line="254" w:lineRule="auto"/>
                <w:jc w:val="both"/>
                <w:rPr>
                  <w:szCs w:val="24"/>
                </w:rPr>
              </w:pPr>
            </w:p>
            <w:p>
              <w:pPr>
                <w:spacing w:line="254" w:lineRule="auto"/>
                <w:jc w:val="both"/>
                <w:rPr>
                  <w:szCs w:val="24"/>
                </w:rPr>
              </w:pPr>
              <w:r>
                <w:rPr>
                  <w:szCs w:val="24"/>
                </w:rPr>
                <w:t xml:space="preserve">Finansų skyriaus vedėja                                                                                                Lina Baškevičienė</w:t>
              </w:r>
            </w:p>
          </w:sdtContent>
        </w:sdt>
      </w:sdtContent>
    </w:sdt>
    <w:sectPr>
      <w:pgSz w:w="11906" w:h="16838"/>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31F5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8DAEE92-205F-4997-9452-25FB864AEFE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5208132">
      <w:bodyDiv w:val="1"/>
      <w:marLeft w:val="0"/>
      <w:marRight w:val="0"/>
      <w:marTop w:val="0"/>
      <w:marBottom w:val="0"/>
      <w:divBdr>
        <w:top w:val="none" w:sz="0" w:space="0" w:color="auto"/>
        <w:left w:val="none" w:sz="0" w:space="0" w:color="auto"/>
        <w:bottom w:val="none" w:sz="0" w:space="0" w:color="auto"/>
        <w:right w:val="none" w:sz="0" w:space="0" w:color="auto"/>
      </w:divBdr>
    </w:div>
    <w:div w:id="241329871">
      <w:bodyDiv w:val="1"/>
      <w:marLeft w:val="0"/>
      <w:marRight w:val="0"/>
      <w:marTop w:val="0"/>
      <w:marBottom w:val="0"/>
      <w:divBdr>
        <w:top w:val="none" w:sz="0" w:space="0" w:color="auto"/>
        <w:left w:val="none" w:sz="0" w:space="0" w:color="auto"/>
        <w:bottom w:val="none" w:sz="0" w:space="0" w:color="auto"/>
        <w:right w:val="none" w:sz="0" w:space="0" w:color="auto"/>
      </w:divBdr>
    </w:div>
    <w:div w:id="759833817">
      <w:bodyDiv w:val="1"/>
      <w:marLeft w:val="0"/>
      <w:marRight w:val="0"/>
      <w:marTop w:val="0"/>
      <w:marBottom w:val="0"/>
      <w:divBdr>
        <w:top w:val="none" w:sz="0" w:space="0" w:color="auto"/>
        <w:left w:val="none" w:sz="0" w:space="0" w:color="auto"/>
        <w:bottom w:val="none" w:sz="0" w:space="0" w:color="auto"/>
        <w:right w:val="none" w:sz="0" w:space="0" w:color="auto"/>
      </w:divBdr>
    </w:div>
    <w:div w:id="858547446">
      <w:bodyDiv w:val="1"/>
      <w:marLeft w:val="0"/>
      <w:marRight w:val="0"/>
      <w:marTop w:val="0"/>
      <w:marBottom w:val="0"/>
      <w:divBdr>
        <w:top w:val="none" w:sz="0" w:space="0" w:color="auto"/>
        <w:left w:val="none" w:sz="0" w:space="0" w:color="auto"/>
        <w:bottom w:val="none" w:sz="0" w:space="0" w:color="auto"/>
        <w:right w:val="none" w:sz="0" w:space="0" w:color="auto"/>
      </w:divBdr>
    </w:div>
    <w:div w:id="1600485108">
      <w:bodyDiv w:val="1"/>
      <w:marLeft w:val="0"/>
      <w:marRight w:val="0"/>
      <w:marTop w:val="0"/>
      <w:marBottom w:val="0"/>
      <w:divBdr>
        <w:top w:val="none" w:sz="0" w:space="0" w:color="auto"/>
        <w:left w:val="none" w:sz="0" w:space="0" w:color="auto"/>
        <w:bottom w:val="none" w:sz="0" w:space="0" w:color="auto"/>
        <w:right w:val="none" w:sz="0" w:space="0" w:color="auto"/>
      </w:divBdr>
    </w:div>
    <w:div w:id="1784183314">
      <w:bodyDiv w:val="1"/>
      <w:marLeft w:val="0"/>
      <w:marRight w:val="0"/>
      <w:marTop w:val="0"/>
      <w:marBottom w:val="0"/>
      <w:divBdr>
        <w:top w:val="none" w:sz="0" w:space="0" w:color="auto"/>
        <w:left w:val="none" w:sz="0" w:space="0" w:color="auto"/>
        <w:bottom w:val="none" w:sz="0" w:space="0" w:color="auto"/>
        <w:right w:val="none" w:sz="0" w:space="0" w:color="auto"/>
      </w:divBdr>
    </w:div>
    <w:div w:id="19339269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Relationships xmlns="http://schemas.openxmlformats.org/package/2006/relationships">
  <Relationship Id="rId1" Type="http://schemas.microsoft.com/office/2011/relationships/webextension" Target="webextension1.xml"/>
</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AB41E7C-CEB2-4723-947A-5145BDD630EE}">
  <we:reference id="fdf991e6-9106-41cd-a3e3-a99d86201b80" version="1.0.0.0" store="\\localhost\DekaOfficeAddins" storeType="Filesystem"/>
  <we:alternateReferences/>
  <we:properties/>
  <we:bindings/>
  <we:snapshot xmlns:r="http://schemas.openxmlformats.org/officeDocument/2006/relationships"/>
</we:webextension>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f6ba87f8617f4c77a03b6397bf23f1e4" PartId="8c448bcb4f9e44a8909e365d9fc2c571">
    <Part Type="preambule" DocPartId="ac2a2f4a3a384e5481ba6ad08d44bf23" PartId="69b748927e08452596c73a16dd1129d0"/>
    <Part Type="punktas" Nr="1" Abbr="1 p." DocPartId="846d4a47ca9d409096424fa242647d6b" PartId="3296846cbcc64710beadebc619d714b1">
      <Part Type="papunktis" Nr="1.1" Abbr="1.1 pp." DocPartId="803af8f4a5044fa5808ada13d8cdb2fd" PartId="0332e2a0346e43c89d6c6228f2f5f7bc">
        <Part Type="citata" DocPartId="47a240e8757b4e90817e069ab59818fc" PartId="ff4ce60842804d408803b881da9d9576">
          <Part Type="papunktis" Nr="1.1" Abbr="1.1 pp." DocPartId="687f01f73a3d40989c17ce498db2f6fb" PartId="7e24668ed8e84b1db8a7c5b613776809"/>
        </Part>
      </Part>
      <Part Type="papunktis" Nr="1.2" Abbr="1.2 pp." DocPartId="652e347a4f4e4ca4beda0896f63281c4" PartId="37bb4afc0c02448d93f681db5e6861bc">
        <Part Type="citata" DocPartId="5293555ded9e40268c3ee0ad705e508e" PartId="88e6a527e9f0422fadf92914e77b9047">
          <Part Type="papunktis" Nr="1.2" Abbr="1.2 pp." DocPartId="e93394c0050d4bbaba7c987145a47681" PartId="32db8784eb554388ac98310dbc953bd8"/>
        </Part>
      </Part>
      <Part Type="papunktis" Nr="1.3" Abbr="1.3 pp." DocPartId="8aa01b96b41e45ee8cc3b88a8e48437b" PartId="79492b1e1f0c4f7e8029e054fc0c6934"/>
    </Part>
    <Part Type="skirsnis" Title="RADVILIŠKIO RAJONO SAVIVALDYBĖS TARYBOS SPRENDIMO PROJEKTO „DĖL RADVILIŠKIO RAJONO SAVIVALDYBĖS TARYBOS 2025 M . VASARIO 13 D. SPRENDIMO NR. T-557 „DĖL RADVILIŠKIO RAJONO SAVIVALDYBĖS 2025-2027 METŲ BIUDŽETO PATVIRTINIMO“ PAKEITIMO“ AIŠKINAMASIS RAŠTAS" DocPartId="c248c0ec59c84be0a5bd8164b03d4a4a" PartId="e97e53ae19e84adb83e095fa47914cc2">
      <Part Type="punktas" Nr="1" Abbr="1 p." DocPartId="0ac82108015d4c3eb6665ad331a152c4" PartId="c62a3213067143dbb614fd7470253fa4"/>
      <Part Type="punktas" Nr="2" Abbr="2 p." DocPartId="308213629a1e4cdc8d752f9e245dd5a7" PartId="c7aa146bb66743bdab7fcf1d366916ca"/>
      <Part Type="punktas" Nr="3" Abbr="3 p." DocPartId="97a4c5aa6fae45cf9e489e2216c27254" PartId="46c646e405d14423ac6336d5db7d99e4"/>
      <Part Type="punktas" Nr="4" Abbr="4 p." DocPartId="ad11d1d51dfc485699d859da11b74ba8" PartId="a70f68d574914659bc3b64d8ac72a557"/>
      <Part Type="punktas" Nr="5" Abbr="5 p." DocPartId="e821e230df034d12a6b5ade0c5c0559f" PartId="64a6977f047146c288c819a1cde4a687"/>
      <Part Type="punktas" Nr="6" Abbr="6 p." DocPartId="4cf22fcfbd91439cbe5d7dac4dc2a9e7" PartId="a91c1345868d45139a39cdd26bca7955"/>
      <Part Type="punktas" Nr="7" Abbr="7 p." DocPartId="3f32301763ac4feab0dc064e347b62b6" PartId="fa5ebdacac0648b98e0afebafda8bbad"/>
      <Part Type="punktas" Nr="8" Abbr="8 p." DocPartId="3fabbff1776e4a8e999402a1a37611f3" PartId="47eb3fd28cd443f592ad12e9832a53af"/>
      <Part Type="punktas" Nr="9" Abbr="9 p." DocPartId="2a9107cec31549b6b55adeb5b1aaffaa" PartId="c8069287ad6647db92cdb334b9b17e9d"/>
      <Part Type="punktas" Nr="10" Abbr="10 p." DocPartId="54e152b2a00f4d2b817b577b4b0595fa" PartId="979693f1b13841319bfd874fdff810fd"/>
      <Part Type="punktas" Nr="11" Abbr="11 p." DocPartId="4494caad9f634936bb8011c824a538c8" PartId="cbf78a2407034b879071cca87f81752e"/>
      <Part Type="punktas" Nr="1" Abbr="1 p." Notes="Numeris ne iš eilės. Trūksta dalių? [DocDalys]" DocPartId="bd0ad30d35ae4329bef56deed749afb9" PartId="a34bebc4dbf544e68524df7d7e6b6f77">
        <Part Type="papunktis" Nr="1.1" Abbr="1.1 pp." Notes="Numeris ne iš eilės. Trūksta dalių? [DocDalys]" DocPartId="39944b2205834325ac57eaee95f9c3b1" PartId="fd9b11cb406f4515814b7adc558cb9eb"/>
        <Part Type="papunktis" Nr="1.2" Abbr="1.2 pp." DocPartId="ac92bbf47a9b4a078d071a0b22a96f74" PartId="fc07dbea2b6441ed92540f088ac0aec0"/>
        <Part Type="papunktis" Nr="1.3" Abbr="1.3 pp." DocPartId="fedfde1a5c634cd1a4c7e32a90de6e80" PartId="627cf3c4d3144eafb5331882cd76faad"/>
        <Part Type="papunktis" Nr="1.4" Abbr="1.4 pp." DocPartId="e731732887264c67b43f9bd0ade58ab4" PartId="7a4fc2b5b62442cd87b3ece9a9e70ff7"/>
        <Part Type="papunktis" Nr="1.5" Abbr="1.5 pp." DocPartId="14cacb56a3084bbb862655ed4834e631" PartId="b32c3f3658004e8e8022fa100e0586e8"/>
        <Part Type="papunktis" Nr="1.6" Abbr="1.6 pp." DocPartId="e57a723063b142798d88560618d9cf9a" PartId="e7a5a5af9acd438eb649fc180700deea"/>
        <Part Type="papunktis" Nr="1.7" Abbr="1.7 pp." DocPartId="787acfa8e86e41238ce04d19993a676b" PartId="a3f75f36ae64448092c73b801b4977cd">
          <Part Type="papunktis" Nr="1.7.1" Abbr="1.7.1 pp." DocPartId="2abdb565dea143afaf4916855d75c1b6" PartId="485261bcd8ea48f38943ae5425abe1c5"/>
          <Part Type="papunktis" Nr="1.7.2" Abbr="1.7.2 pp." DocPartId="91c5b75f858943dd8ec71dac079fa934" PartId="a3382d2bf121480bbfc17d5506f6337e"/>
          <Part Type="papunktis" Nr="1.7.3" Abbr="1.7.3 pp." DocPartId="05209ddb21ae4ab1ba4cd80d03c29ad6" PartId="5d332c8a7f924be98985675e4538bcd2"/>
        </Part>
      </Part>
      <Part Type="punktas" Nr="2" Abbr="2 p." DocPartId="851375b865d9413abfd97ec07a7f1190" PartId="afe89e0a763842528c78985ecb043a65">
        <Part Type="papunktis" Nr="2.1" Abbr="2.1 pp." DocPartId="0eb817323003476b871d9c97ff0e0a91" PartId="3925466f4d0644d696095d27f1791434"/>
        <Part Type="papunktis" Nr="2.2" Abbr="2.2 pp." DocPartId="13367e1b75114b57863c3ebd368bf00c" PartId="6808638473f94d09aeecb8432a444534"/>
        <Part Type="papunktis" Nr="2.3" Abbr="2.3 pp." DocPartId="916a71d8bbc44ad68fc1a428ee68074c" PartId="ec8e0e942cd5481a85adfa5334240511"/>
      </Part>
      <Part Type="punktas" Nr="3" Abbr="3 p." DocPartId="69f1ec851cff47ed99477e0704a3c7ea" PartId="d43bae5463884536abe366c5d973d9c0">
        <Part Type="papunktis" Nr="3.1" Abbr="3.1 pp." DocPartId="d7cf02dba62b467d933dce46251993c7" PartId="455a620fac0b46e8b444f2eb31737cd1">
          <Part Type="papunktis" Nr="3.1.1" Abbr="3.1.1 pp." DocPartId="b6d9746abdb142b19958fc2f72ae45e2" PartId="41ca7dd8a6184c1b810ad3ca9bb2392e"/>
          <Part Type="papunktis" Nr="3.1.2" Abbr="3.1.2 pp." DocPartId="ac414419a5cd4b3dbc2905cf33f942db" PartId="a859af9ec1524d078af4027a04f8a683"/>
        </Part>
        <Part Type="papunktis" Nr="3.2" Abbr="3.2 pp." DocPartId="c56999ae22bf4e54ad5cc0d934597341" PartId="5878079bc4f3477b89b125e26bab8795"/>
        <Part Type="papunktis" Nr="3.3" Abbr="3.3 pp." DocPartId="077a8411d0ab4af9af26139ace0ec4dc" PartId="94eaff7236f6442eb3c30bc54189ce40"/>
        <Part Type="papunktis" Nr="3.4" Abbr="3.4 pp." DocPartId="7d876cd746a844c88d901ce5bdc1669d" PartId="7a7555bdfed24463a03cd26f61b36505"/>
        <Part Type="papunktis" Nr="3.5" Abbr="3.5 pp." DocPartId="7a85d22e044442bf9435e926328388b7" PartId="fd6b59eb67594efcbdcb18c68cf7fc50"/>
        <Part Type="papunktis" Nr="3.6" Abbr="3.6 pp." DocPartId="2ff19c9193574b35bad3089b24743563" PartId="354d62298a83437099e87c2f71220cf7"/>
        <Part Type="papunktis" Nr="3.7" Abbr="3.7 pp." DocPartId="34232b676deb49eda42be7e7b98c83fc" PartId="47d1a38639714a559c3971424194760c"/>
        <Part Type="papunktis" Nr="3.8" Abbr="3.8 pp." DocPartId="9525e544ac4e4894bc2ad1f6edd75df2" PartId="8a92058514134122bbc6bbd01f87365f"/>
        <Part Type="papunktis" Nr="3.9" Abbr="3.9 pp." DocPartId="8de23fb1810b4bf9bd0fa507acd753b2" PartId="7c87a48869304d39a2be189e4a603fad"/>
      </Part>
      <Part Type="punktas" Nr="4" Abbr="4 p." DocPartId="022bdaf65abc4335af5bf1fb1bb04cbe" PartId="671a1dc6ffa2486fbf37041335da7cbf">
        <Part Type="papunktis" Nr="4.1" Abbr="4.1 pp." DocPartId="39856447c1eb4e229822a838a898e8c0" PartId="9a29adae3b624848b8869f494f5341a7"/>
        <Part Type="papunktis" Nr="4.2" Abbr="4.2 pp." DocPartId="bc559bb58290428dbf12d3597c6dc4be" PartId="e741ace01dca45428e9ed71d6b168da7"/>
      </Part>
      <Part Type="punktas" Nr="5" Abbr="5 p." DocPartId="ecc34b10b7594d77ade1bcb7fc23a9f7" PartId="e4e5d92b91414188858fd09d3b4598ef"/>
      <Part Type="punktas" Nr="6" Abbr="6 p." DocPartId="59114407cd314ad6b656d27e071925d8" PartId="c639e38078cb429db0ab30de9e2761b7"/>
      <Part Type="punktas" Nr="12" Abbr="12 p." Notes="Numeris ne iš eilės. Trūksta dalių? [DocDalys]" DocPartId="6c41b952c31a450ea3f9abe6b2110433" PartId="5c762a981cf84a6aa50486bf311afb12"/>
    </Part>
    <Part Type="skirsnis" Title="Lyginamasis variantas." DocPartId="7b0622dcff6944028fe99f175c6db680" PartId="f7caee3f34f941e8a4e383dd862e2b59"/>
    <Part Type="signatura" DocPartId="507aca41919542ed9aef9fe35d887145" PartId="edcb5481ed164d25bfd03a2302f63392"/>
  </Part>
</Parts>
</file>

<file path=customXml/itemProps1.xml><?xml version="1.0" encoding="utf-8"?>
<ds:datastoreItem xmlns:ds="http://schemas.openxmlformats.org/officeDocument/2006/customXml" ds:itemID="{78CA8332-B085-4423-8253-1FE9437A0F20}">
  <ds:schemaRefs>
    <ds:schemaRef ds:uri="http://schemas.openxmlformats.org/officeDocument/2006/bibliography"/>
  </ds:schemaRefs>
</ds:datastoreItem>
</file>

<file path=customXml/itemProps2.xml><?xml version="1.0" encoding="utf-8"?>
<ds:datastoreItem xmlns:ds="http://schemas.openxmlformats.org/officeDocument/2006/customXml" ds:itemID="{968F7FF8-4138-4138-BF1B-E63E900F51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3941</Words>
  <Characters>24986</Characters>
  <Application>Microsoft Office Word</Application>
  <DocSecurity>4</DocSecurity>
  <Lines>1388</Lines>
  <Paragraphs>964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27963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2025-09-18T05:19:00Z</dcterms:created>
  <dc:creator>Rita Chlebauskienė</dc:creator>
  <lastModifiedBy>adlibuser</lastModifiedBy>
  <lastPrinted>2025-09-10T10:02:00Z</lastPrinted>
  <dcterms:modified xsi:type="dcterms:W3CDTF">2025-09-18T05:19:00Z</dcterms:modified>
  <revision>2</revision>
</coreProperties>
</file>