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Metadata/LabelInfo.xml" ContentType="application/vnd.ms-office.classificationlabel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microsoft.com/office/2020/02/relationships/classificationlabels" Target="docMetadata/LabelInfo.xml"/>
  <Relationship Id="rId6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2a74b81681640dc9f388d615942af9b"/>
        <w:lock w:val="sdtLocked"/>
        <w:richText/>
      </w:sdtPr>
      <w:sdtContent>
        <w:p>
          <w:pPr>
            <w:ind w:firstLine="7068"/>
            <w:jc w:val="right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VYRIAUSYBĖ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b/>
              <w:bCs/>
              <w:szCs w:val="24"/>
            </w:rPr>
            <w:t>NUTARIMAS</w:t>
          </w:r>
        </w:p>
        <w:p>
          <w:pPr>
            <w:tabs>
              <w:tab w:val="center" w:pos="4819"/>
              <w:tab w:val="right" w:pos="9638"/>
            </w:tabs>
            <w:jc w:val="center"/>
            <w:rPr>
              <w:b/>
              <w:bCs/>
              <w:szCs w:val="24"/>
            </w:rPr>
          </w:pPr>
          <w:r>
            <w:rPr>
              <w:b/>
              <w:szCs w:val="24"/>
            </w:rPr>
            <w:t xml:space="preserve">DĖL </w:t>
          </w:r>
          <w:r>
            <w:rPr>
              <w:b/>
              <w:bCs/>
              <w:szCs w:val="24"/>
            </w:rPr>
            <w:t>REGLAMENTO (ES) 2025/327 ĮGYVENDINIMO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2026 m.</w:t>
          </w:r>
          <w:r>
            <w:rPr>
              <w:sz w:val="20"/>
            </w:rPr>
            <w:t xml:space="preserve">                       </w:t>
          </w:r>
          <w:r>
            <w:rPr>
              <w:szCs w:val="24"/>
            </w:rPr>
            <w:t xml:space="preserve">d. Nr. 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aefdc865a26241b983ed53be1ce5856a"/>
            <w:lock w:val="sdtLocked"/>
            <w:richText/>
          </w:sdtPr>
          <w:sdtContent>
            <w:p>
              <w:pPr>
                <w:ind w:firstLine="720"/>
                <w:jc w:val="both"/>
              </w:pPr>
              <w:r>
                <w:rPr>
                  <w:color w:val="000000"/>
                </w:rPr>
                <w:t xml:space="preserve">Įgyvendindama </w:t>
              </w:r>
              <w:r>
                <w:t xml:space="preserve">2025 m. vasario 11 d. Europos Parlamento ir Tarybos reglamento </w:t>
              </w:r>
              <w:fldSimple w:instr="HYPERLINK http://eur-lex.europa.eu/legal-content/LIT/TXT/?uri=CELEX:32025R0327&amp;locale=lt \t _blank">
                <w:r>
                  <w:rPr>
                    <w:u w:val="single"/>
                    <w:color w:val="0000FF" w:themeColor="hyperlink"/>
                  </w:rPr>
                  <w:t>(ES) 2025/327</w:t>
                </w:r>
              </w:fldSimple>
              <w:r>
                <w:rPr>
                  <w:color w:val="000000"/>
                </w:rPr>
                <w:t xml:space="preserve"> </w:t>
              </w:r>
              <w:r>
                <w:t xml:space="preserve">dėl Europos bendros sveikatos duomenų erdvės, kuriuo iš dalies keičiama Direktyva </w:t>
              </w:r>
              <w:fldSimple w:instr="HYPERLINK http://eur-lex.europa.eu/legal-content/LIT/TXT/?uri=CELEX:32011L0024&amp;locale=lt \t _blank">
                <w:r>
                  <w:rPr>
                    <w:u w:val="single"/>
                    <w:color w:val="0000FF" w:themeColor="hyperlink"/>
                  </w:rPr>
                  <w:t>2011/24/ES</w:t>
                </w:r>
              </w:fldSimple>
              <w:r>
                <w:t xml:space="preserve"> ir Reglamentas </w:t>
              </w:r>
              <w:fldSimple w:instr="HYPERLINK http://eur-lex.europa.eu/legal-content/LIT/TXT/?uri=CELEX:32024R2847&amp;locale=lt \t _blank">
                <w:r>
                  <w:rPr>
                    <w:u w:val="single"/>
                    <w:color w:val="0000FF" w:themeColor="hyperlink"/>
                  </w:rPr>
                  <w:t>(ES) 2024/2847</w:t>
                </w:r>
              </w:fldSimple>
              <w:r>
                <w:t>, 23 straipsnio 2 dalį, 55 straipsnio 1 ir 6 dalis bei 75 straipsnio 1 dalį, Lietuvos Respublikos Vyriausybė</w:t>
              </w:r>
              <w:r>
                <w:rPr>
                  <w:spacing w:val="60"/>
                </w:rPr>
                <w:t xml:space="preserve"> </w:t>
              </w:r>
              <w:r>
                <w:t>n u t a r i a</w:t>
              </w:r>
              <w:r>
                <w:rPr>
                  <w:szCs w:val="24"/>
                </w:rPr>
                <w:t>:</w:t>
              </w:r>
              <w:r>
                <w:t xml:space="preserve"> </w:t>
              </w:r>
            </w:p>
          </w:sdtContent>
        </w:sdt>
        <w:sdt>
          <w:sdtPr>
            <w:alias w:val="1 p."/>
            <w:tag w:val="part_a10ad98b83f14b34870ba6847aace1c7"/>
            <w:lock w:val="sdtLocked"/>
            <w:richText/>
          </w:sdtPr>
          <w:sdtContent>
            <w:p>
              <w:pPr>
                <w:ind w:firstLine="709"/>
                <w:jc w:val="both"/>
              </w:pPr>
              <w:sdt>
                <w:sdtPr>
                  <w:alias w:val="Numeris"/>
                  <w:tag w:val="nr_a10ad98b83f14b34870ba6847aace1c7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Paskirti:</w:t>
              </w:r>
            </w:p>
            <w:sdt>
              <w:sdtPr>
                <w:alias w:val="1.1 pp."/>
                <w:tag w:val="part_6875813a23914816b68d4f0cee473102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6875813a23914816b68d4f0cee473102"/>
                      <w:lock w:val="sdtLocked"/>
                      <w:richText/>
                    </w:sdtPr>
                    <w:sdtContent>
                      <w:r>
                        <w:t>1.1</w:t>
                      </w:r>
                    </w:sdtContent>
                  </w:sdt>
                  <w:r>
                    <w:t xml:space="preserve">. valstybės įmonę Registrų centrą Reglamento </w:t>
                  </w:r>
                  <w:fldSimple w:instr="HYPERLINK http://eur-lex.europa.eu/legal-content/LIT/TXT/?uri=CELEX:32025R0327&amp;locale=lt \t _blank">
                    <w:r>
                      <w:rPr>
                        <w:u w:val="single"/>
                        <w:color w:val="0000FF" w:themeColor="hyperlink"/>
                      </w:rPr>
                      <w:t>(ES) 2025/327</w:t>
                    </w:r>
                  </w:fldSimple>
                  <w:r>
                    <w:t xml:space="preserve"> 23 straipsnio 2 dalyje nurodytu nacionaliniu skaitmeninės sveikatos kontaktų centru, atsakingu už Reglamento </w:t>
                  </w:r>
                  <w:fldSimple w:instr="HYPERLINK http://eur-lex.europa.eu/legal-content/LIT/TXT/?uri=CELEX:32025R0327&amp;locale=lt \t _blank">
                    <w:r>
                      <w:rPr>
                        <w:u w:val="single"/>
                        <w:color w:val="0000FF" w:themeColor="hyperlink"/>
                      </w:rPr>
                      <w:t>(ES) 2025/327</w:t>
                    </w:r>
                  </w:fldSimple>
                  <w:r>
                    <w:t xml:space="preserve"> 23 straipsnyje numatytų funkcijų ir pareigų vykdymą; </w:t>
                  </w:r>
                </w:p>
              </w:sdtContent>
            </w:sdt>
            <w:sdt>
              <w:sdtPr>
                <w:alias w:val="1.2 pp."/>
                <w:tag w:val="part_947cffef765f4bc2ad329f58f162f44d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947cffef765f4bc2ad329f58f162f44d"/>
                      <w:lock w:val="sdtLocked"/>
                      <w:richText/>
                    </w:sdtPr>
                    <w:sdtContent>
                      <w:r>
                        <w:t>1.2</w:t>
                      </w:r>
                    </w:sdtContent>
                  </w:sdt>
                  <w:r>
                    <w:t>. Valstybės duomenų agentūrą:</w:t>
                  </w:r>
                </w:p>
                <w:sdt>
                  <w:sdtPr>
                    <w:alias w:val="1.2.1 pp."/>
                    <w:tag w:val="part_a89b01923b0e4d5291c19062d4015143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a89b01923b0e4d5291c19062d4015143"/>
                          <w:lock w:val="sdtLocked"/>
                          <w:richText/>
                        </w:sdtPr>
                        <w:sdtContent>
                          <w:r>
                            <w:t>1.2.1</w:t>
                          </w:r>
                        </w:sdtContent>
                      </w:sdt>
                      <w:r>
                        <w:t xml:space="preserve">. Reglamento </w:t>
                      </w:r>
                      <w:fldSimple w:instr="HYPERLINK http://eur-lex.europa.eu/legal-content/LIT/TXT/?uri=CELEX:32025R0327&amp;locale=lt \t _blank">
                        <w:r>
                          <w:rPr>
                            <w:u w:val="single"/>
                            <w:color w:val="0000FF" w:themeColor="hyperlink"/>
                          </w:rPr>
                          <w:t>(ES) 2025/327</w:t>
                        </w:r>
                      </w:fldSimple>
                      <w:r>
                        <w:t xml:space="preserve"> 55 straipsnio 1 dalyje nurodyta prieigos prie sveikatos duomenų įstaiga, atsakinga už Reglamento </w:t>
                      </w:r>
                      <w:fldSimple w:instr="HYPERLINK http://eur-lex.europa.eu/legal-content/LIT/TXT/?uri=CELEX:32025R0327&amp;locale=lt \t _blank">
                        <w:r>
                          <w:rPr>
                            <w:u w:val="single"/>
                            <w:color w:val="0000FF" w:themeColor="hyperlink"/>
                          </w:rPr>
                          <w:t>(ES) 2025/327</w:t>
                        </w:r>
                      </w:fldSimple>
                      <w:r>
                        <w:t xml:space="preserve"> 55, 57, 58, 59, 62, 63, 64, 66, 72, 76, 81, 85, 87 ir 89 straipsniuose numatytų funkcijų ir pareigų vykdymą;</w:t>
                      </w:r>
                    </w:p>
                  </w:sdtContent>
                </w:sdt>
                <w:sdt>
                  <w:sdtPr>
                    <w:alias w:val="1.2.2 pp."/>
                    <w:tag w:val="part_ae84af92c36045578b9e772ecc6973de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ae84af92c36045578b9e772ecc6973de"/>
                          <w:lock w:val="sdtLocked"/>
                          <w:richText/>
                        </w:sdtPr>
                        <w:sdtContent>
                          <w:r>
                            <w:t>1.2.2</w:t>
                          </w:r>
                        </w:sdtContent>
                      </w:sdt>
                      <w:r>
                        <w:t xml:space="preserve">. Reglamento </w:t>
                      </w:r>
                      <w:fldSimple w:instr="HYPERLINK http://eur-lex.europa.eu/legal-content/LIT/TXT/?uri=CELEX:32025R0327&amp;locale=lt \t _blank">
                        <w:r>
                          <w:rPr>
                            <w:u w:val="single"/>
                            <w:color w:val="0000FF" w:themeColor="hyperlink"/>
                          </w:rPr>
                          <w:t>(ES) 2025/327</w:t>
                        </w:r>
                      </w:fldSimple>
                      <w:r>
                        <w:t xml:space="preserve"> 75 straipsnio 1 dalyje nurodytu pakartotiniam naudojimui skirtu nacionaliniu kontaktų centru, atsakingu už Reglamento </w:t>
                      </w:r>
                      <w:fldSimple w:instr="HYPERLINK http://eur-lex.europa.eu/legal-content/LIT/TXT/?uri=CELEX:32025R0327&amp;locale=lt \t _blank">
                        <w:r>
                          <w:rPr>
                            <w:u w:val="single"/>
                            <w:color w:val="0000FF" w:themeColor="hyperlink"/>
                          </w:rPr>
                          <w:t>(ES) 2025/327</w:t>
                        </w:r>
                      </w:fldSimple>
                      <w:r>
                        <w:t xml:space="preserve"> 75 straipsnyje numatytų funkcijų ir pareigų vykdymą.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9cd05a9c2cc24c7e82fe53432590767c"/>
            <w:lock w:val="sdtLocked"/>
            <w:richText/>
          </w:sdtPr>
          <w:sdtContent>
            <w:p>
              <w:pPr>
                <w:ind w:firstLine="709"/>
                <w:jc w:val="both"/>
              </w:pPr>
              <w:sdt>
                <w:sdtPr>
                  <w:alias w:val="Numeris"/>
                  <w:tag w:val="nr_9cd05a9c2cc24c7e82fe53432590767c"/>
                  <w:lock w:val="sdtLocked"/>
                  <w:richText/>
                </w:sdtPr>
                <w:sdtContent>
                  <w:r>
                    <w:t>2</w:t>
                  </w:r>
                </w:sdtContent>
              </w:sdt>
              <w:r>
                <w:t xml:space="preserve">. Pavesti Lietuvos Respublikos sveikatos apsaugos ministerijai, įgyvendinant Reglamento </w:t>
              </w:r>
              <w:fldSimple w:instr="HYPERLINK http://eur-lex.europa.eu/legal-content/LIT/TXT/?uri=CELEX:32025R0327&amp;locale=lt \t _blank">
                <w:r>
                  <w:rPr>
                    <w:u w:val="single"/>
                    <w:color w:val="0000FF" w:themeColor="hyperlink"/>
                  </w:rPr>
                  <w:t>(ES) 2025/327</w:t>
                </w:r>
              </w:fldSimple>
              <w:r>
                <w:t xml:space="preserve"> 23 straipsnio 2 dalį, 55 straipsnio 6 dalį ir 75 straipsnio 1 dalį, pranešti Europos Komisijai apie šio nutarimo 1 punktu paskirtas kompetentingas institucijas ir visus po šio pranešimo padarytus jų pavadinimų ir adresų pakeitimus. </w:t>
              </w:r>
            </w:p>
            <w:p>
              <w:pPr>
                <w:tabs>
                  <w:tab w:val="right" w:pos="9639"/>
                </w:tabs>
                <w:rPr>
                  <w:szCs w:val="24"/>
                </w:rPr>
              </w:pPr>
            </w:p>
            <w:p>
              <w:pPr>
                <w:tabs>
                  <w:tab w:val="right" w:pos="9639"/>
                </w:tabs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85a8cedc063e4b689dc82fdbe8dfcbb9"/>
            <w:lock w:val="sdtLocked"/>
            <w:richText/>
          </w:sdtPr>
          <w:sdtContent>
            <w:p>
              <w:pPr>
                <w:tabs>
                  <w:tab w:val="right" w:pos="9639"/>
                </w:tabs>
                <w:rPr>
                  <w:rFonts w:ascii="Arial" w:hAnsi="Arial" w:cs="Arial"/>
                  <w:sz w:val="20"/>
                </w:rPr>
              </w:pPr>
              <w:r>
                <w:rPr>
                  <w:szCs w:val="24"/>
                </w:rPr>
                <w:t>Ministras Pirmininkas</w:t>
              </w:r>
            </w:p>
            <w:p>
              <w:pPr>
                <w:tabs>
                  <w:tab w:val="right" w:pos="9639"/>
                </w:tabs>
                <w:rPr>
                  <w:szCs w:val="24"/>
                </w:rPr>
              </w:pPr>
            </w:p>
            <w:p>
              <w:pPr>
                <w:tabs>
                  <w:tab w:val="right" w:pos="9639"/>
                </w:tabs>
                <w:rPr>
                  <w:szCs w:val="24"/>
                  <w:lang w:val="sv-SE"/>
                </w:rPr>
              </w:pPr>
            </w:p>
            <w:p>
              <w:pPr>
                <w:tabs>
                  <w:tab w:val="right" w:pos="9639"/>
                </w:tabs>
                <w:rPr>
                  <w:szCs w:val="24"/>
                </w:rPr>
              </w:pPr>
            </w:p>
            <w:p>
              <w:pPr>
                <w:tabs>
                  <w:tab w:val="right" w:pos="9639"/>
                </w:tabs>
                <w:rPr>
                  <w:rFonts w:ascii="Arial" w:hAnsi="Arial" w:cs="Arial"/>
                  <w:sz w:val="20"/>
                </w:rPr>
              </w:pPr>
              <w:r>
                <w:rPr>
                  <w:szCs w:val="24"/>
                </w:rPr>
                <w:t>Sveikatos apsaugos ministras</w:t>
              </w:r>
            </w:p>
            <w:p/>
          </w:sdtContent>
        </w:sdt>
      </w:sdtContent>
    </w:sdt>
    <w:sectPr>
      <w:pgSz w:w="11906" w:h="16838"/>
      <w:pgMar w:top="709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  <w:endnote w:type="continuationNotice" w:id="1">
    <w:p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Yu Gothic Light">
    <w:altName w:val="游ゴシック Light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  <w:footnote w:type="continuationNotice" w:id="1">
    <w:p/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5EA280B-BA11-4F4E-99D1-FD147EDA918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1083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32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ntTable" Target="fontTable.xml"/>
  <Relationship Id="rId11" Type="http://schemas.openxmlformats.org/officeDocument/2006/relationships/theme" Target="theme/theme1.xml"/>
  <Relationship Id="rId12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B4BD109E2853C442AF21E7453FC5CFFE" ma:contentTypeVersion="12" ma:contentTypeDescription="Kurkite naują dokumentą." ma:contentTypeScope="" ma:versionID="7db70a36d67d5303cd67c8209c1c596b">
  <xsd:schema xmlns:xsd="http://www.w3.org/2001/XMLSchema" xmlns:xs="http://www.w3.org/2001/XMLSchema" xmlns:p="http://schemas.microsoft.com/office/2006/metadata/properties" xmlns:ns2="ada19471-8a93-4138-8431-7e15c5e4b981" xmlns:ns3="2c4ada47-db89-45ce-9f12-ecc627eb0f1f" targetNamespace="http://schemas.microsoft.com/office/2006/metadata/properties" ma:root="true" ma:fieldsID="34670c2a410f4eef2630a30145dff2a2" ns2:_="" ns3:_="">
    <xsd:import namespace="ada19471-8a93-4138-8431-7e15c5e4b981"/>
    <xsd:import namespace="2c4ada47-db89-45ce-9f12-ecc627eb0f1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a19471-8a93-4138-8431-7e15c5e4b98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Vaizdų žymės" ma:readOnly="false" ma:fieldId="{5cf76f15-5ced-4ddc-b409-7134ff3c332f}" ma:taxonomyMulti="true" ma:sspId="b3f27d40-c0e5-4292-8fed-24edb16d59e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4ada47-db89-45ce-9f12-ecc627eb0f1f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b8390b69-21c9-4643-b86f-3225674920c9}" ma:internalName="TaxCatchAll" ma:showField="CatchAllData" ma:web="2c4ada47-db89-45ce-9f12-ecc627eb0f1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da19471-8a93-4138-8431-7e15c5e4b981">
      <Terms xmlns="http://schemas.microsoft.com/office/infopath/2007/PartnerControls"/>
    </lcf76f155ced4ddcb4097134ff3c332f>
    <TaxCatchAll xmlns="2c4ada47-db89-45ce-9f12-ecc627eb0f1f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agrindine" DocPartId="c0aa2b4b30914cbeabb3d2311d083eb1" PartId="62a74b81681640dc9f388d615942af9b">
    <Part Type="preambule" DocPartId="0c80ee886608469e975edca6fe9362eb" PartId="aefdc865a26241b983ed53be1ce5856a"/>
    <Part Type="punktas" Nr="1" Abbr="1 p." DocPartId="b8d40c611fbb48eebaa728caf63cc71c" PartId="a10ad98b83f14b34870ba6847aace1c7">
      <Part Type="papunktis" Nr="1.1" Abbr="1.1 pp." DocPartId="b7cff5dba8044c1ab4b86a4e901362c6" PartId="6875813a23914816b68d4f0cee473102"/>
      <Part Type="papunktis" Nr="1.2" Abbr="1.2 pp." DocPartId="9eaf174190a2402fb92cbc5a63f9f9a1" PartId="947cffef765f4bc2ad329f58f162f44d">
        <Part Type="papunktis" Nr="1.2.1" Abbr="1.2.1 pp." DocPartId="a7952418697a449eb63451f48d41730d" PartId="a89b01923b0e4d5291c19062d4015143"/>
        <Part Type="papunktis" Nr="1.2.2" Abbr="1.2.2 pp." DocPartId="33209b5bd38e458eaf9c9363e7567bbc" PartId="ae84af92c36045578b9e772ecc6973de"/>
      </Part>
    </Part>
    <Part Type="punktas" Nr="2" Abbr="2 p." DocPartId="bdb7e2ed1c60447db2c3c09ac6890d69" PartId="9cd05a9c2cc24c7e82fe53432590767c"/>
    <Part Type="signatura" DocPartId="f6a4f9610ee5466fa25b81fe917eda27" PartId="85a8cedc063e4b689dc82fdbe8dfcbb9"/>
  </Part>
</Parts>
</file>

<file path=customXml/itemProps1.xml><?xml version="1.0" encoding="utf-8"?>
<ds:datastoreItem xmlns:ds="http://schemas.openxmlformats.org/officeDocument/2006/customXml" ds:itemID="{AB67F65B-36DF-460F-9B7A-A7DD8960877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da19471-8a93-4138-8431-7e15c5e4b981"/>
    <ds:schemaRef ds:uri="2c4ada47-db89-45ce-9f12-ecc627eb0f1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766FDBC-36A2-49B6-947F-F6BDDBC2C41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027BF6-85BE-4E32-89C4-FED9AA22ECEB}">
  <ds:schemaRefs>
    <ds:schemaRef ds:uri="http://schemas.microsoft.com/office/2006/metadata/properties"/>
    <ds:schemaRef ds:uri="http://schemas.microsoft.com/office/infopath/2007/PartnerControls"/>
    <ds:schemaRef ds:uri="ada19471-8a93-4138-8431-7e15c5e4b981"/>
    <ds:schemaRef ds:uri="2c4ada47-db89-45ce-9f12-ecc627eb0f1f"/>
  </ds:schemaRefs>
</ds:datastoreItem>
</file>

<file path=customXml/itemProps4.xml><?xml version="1.0" encoding="utf-8"?>
<ds:datastoreItem xmlns:ds="http://schemas.openxmlformats.org/officeDocument/2006/customXml" ds:itemID="{38926D89-D63E-4133-BB48-8B0D1A54FA21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001065A0-5CBD-4B72-A48A-11BA9B2375D9}">
  <ds:schemaRefs>
    <ds:schemaRef ds:uri="http://lrs.lt/TAIS/DocParts"/>
  </ds:schemaRefs>
</ds:datastoreItem>
</file>

<file path=docMetadata/LabelInfo.xml><?xml version="1.0" encoding="utf-8"?>
<clbl:labelList xmlns:clbl="http://schemas.microsoft.com/office/2020/mipLabelMetadata">
  <clbl:label id="{07e6ee35-6814-4790-8669-80767694c28d}" enabled="0" method="" siteId="{07e6ee35-6814-4790-8669-80767694c28d}" removed="1"/>
  <clbl:label id="{34b993aa-f611-4e63-b03f-7248204b81a5}" enabled="0" method="" siteId="{34b993aa-f611-4e63-b03f-7248204b81a5}" removed="1"/>
  <clbl:label id="{7bce49ad-6e13-4667-9698-89b6274ba9f6}" enabled="0" method="" siteId="{7bce49ad-6e13-4667-9698-89b6274ba9f6}" removed="1"/>
  <clbl:label id="{a774fe3e-27fb-42cb-9d0e-8b2fb3d72474}" enabled="1" method="Standard" siteId="{298c9912-d762-4211-a02c-8aba974f62fb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228</Words>
  <Characters>1403</Characters>
  <Application>Microsoft Office Word</Application>
  <DocSecurity>4</DocSecurity>
  <Lines>37</Lines>
  <Paragraphs>17</Paragraphs>
  <ScaleCrop>false</ScaleCrop>
  <Company/>
  <LinksUpToDate>false</LinksUpToDate>
  <CharactersWithSpaces>1614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2026-07-10T10:19:00Z</dcterms:created>
  <dc:creator>Lina Giedraitienė</dc:creator>
  <lastModifiedBy>adlibuser</lastModifiedBy>
  <dcterms:modified xsi:type="dcterms:W3CDTF">2026-07-10T10:19:00Z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0x010100B4BD109E2853C442AF21E7453FC5CFFE</vt:lpwstr>
  </property>
  <property fmtid="{D5CDD505-2E9C-101B-9397-08002B2CF9AE}" pid="3" name="MediaServiceImageTags">
    <vt:lpwstr/>
  </property>
</Properties>
</file>